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62" w:type="pct"/>
        <w:tblCellSpacing w:w="0" w:type="dxa"/>
        <w:tblCellMar>
          <w:left w:w="0" w:type="dxa"/>
          <w:right w:w="0" w:type="dxa"/>
        </w:tblCellMar>
        <w:tblLook w:val="04A0" w:firstRow="1" w:lastRow="0" w:firstColumn="1" w:lastColumn="0" w:noHBand="0" w:noVBand="1"/>
      </w:tblPr>
      <w:tblGrid>
        <w:gridCol w:w="9003"/>
      </w:tblGrid>
      <w:tr w:rsidR="005C7B49" w:rsidTr="005C7B49">
        <w:trPr>
          <w:tblCellSpacing w:w="0" w:type="dxa"/>
        </w:trPr>
        <w:tc>
          <w:tcPr>
            <w:tcW w:w="5000" w:type="pct"/>
            <w:tcMar>
              <w:top w:w="15" w:type="dxa"/>
              <w:left w:w="150" w:type="dxa"/>
              <w:bottom w:w="15" w:type="dxa"/>
              <w:right w:w="15" w:type="dxa"/>
            </w:tcMar>
            <w:vAlign w:val="center"/>
            <w:hideMark/>
          </w:tcPr>
          <w:p w:rsidR="005C7B49" w:rsidRDefault="005C7B49">
            <w:pPr>
              <w:jc w:val="center"/>
              <w:rPr>
                <w:rFonts w:ascii="UEFA Colosseum" w:hAnsi="UEFA Colosseum"/>
                <w:b/>
                <w:bCs/>
                <w:color w:val="002060"/>
                <w:sz w:val="32"/>
                <w:szCs w:val="32"/>
              </w:rPr>
            </w:pPr>
            <w:r>
              <w:rPr>
                <w:rFonts w:ascii="UEFA Colosseum" w:hAnsi="UEFA Colosseum"/>
                <w:b/>
                <w:bCs/>
                <w:color w:val="002060"/>
                <w:sz w:val="32"/>
                <w:szCs w:val="32"/>
              </w:rPr>
              <w:t>Istanbul to host 2020 UEFA Champions League Final</w:t>
            </w:r>
          </w:p>
        </w:tc>
      </w:tr>
      <w:tr w:rsidR="005C7B49" w:rsidTr="005C7B49">
        <w:trPr>
          <w:tblCellSpacing w:w="0" w:type="dxa"/>
        </w:trPr>
        <w:tc>
          <w:tcPr>
            <w:tcW w:w="5000" w:type="pct"/>
            <w:tcMar>
              <w:top w:w="150" w:type="dxa"/>
              <w:left w:w="150" w:type="dxa"/>
              <w:bottom w:w="15" w:type="dxa"/>
              <w:right w:w="15" w:type="dxa"/>
            </w:tcMar>
            <w:vAlign w:val="center"/>
            <w:hideMark/>
          </w:tcPr>
          <w:p w:rsidR="005C7B49" w:rsidRDefault="005C7B49">
            <w:pPr>
              <w:rPr>
                <w:rFonts w:ascii="UEFA Colosseum" w:hAnsi="UEFA Colosseum"/>
                <w:b/>
                <w:bCs/>
                <w:color w:val="002060"/>
                <w:sz w:val="32"/>
                <w:szCs w:val="32"/>
              </w:rPr>
            </w:pPr>
          </w:p>
        </w:tc>
      </w:tr>
      <w:tr w:rsidR="005C7B49" w:rsidTr="005C7B49">
        <w:trPr>
          <w:tblCellSpacing w:w="0" w:type="dxa"/>
        </w:trPr>
        <w:tc>
          <w:tcPr>
            <w:tcW w:w="5000" w:type="pct"/>
            <w:tcBorders>
              <w:top w:val="nil"/>
              <w:left w:val="nil"/>
              <w:bottom w:val="single" w:sz="12" w:space="0" w:color="EAEAEA"/>
              <w:right w:val="nil"/>
            </w:tcBorders>
            <w:tcMar>
              <w:top w:w="150" w:type="dxa"/>
              <w:left w:w="15" w:type="dxa"/>
              <w:bottom w:w="15" w:type="dxa"/>
              <w:right w:w="150" w:type="dxa"/>
            </w:tcMar>
            <w:vAlign w:val="center"/>
            <w:hideMark/>
          </w:tcPr>
          <w:p w:rsidR="005C7B49" w:rsidRDefault="005C7B49">
            <w:pPr>
              <w:jc w:val="right"/>
              <w:rPr>
                <w:rFonts w:ascii="Arial" w:hAnsi="Arial" w:cs="Arial"/>
                <w:color w:val="404040"/>
                <w:sz w:val="16"/>
                <w:szCs w:val="16"/>
              </w:rPr>
            </w:pPr>
            <w:bookmarkStart w:id="0" w:name="_GoBack"/>
            <w:bookmarkEnd w:id="0"/>
          </w:p>
        </w:tc>
      </w:tr>
    </w:tbl>
    <w:p w:rsidR="005C7B49" w:rsidRDefault="005C7B49" w:rsidP="005C7B49">
      <w:pP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5C7B49" w:rsidTr="005C7B49">
        <w:trPr>
          <w:tblCellSpacing w:w="0" w:type="dxa"/>
          <w:jc w:val="center"/>
        </w:trPr>
        <w:tc>
          <w:tcPr>
            <w:tcW w:w="0" w:type="auto"/>
            <w:tcMar>
              <w:top w:w="225" w:type="dxa"/>
              <w:left w:w="150" w:type="dxa"/>
              <w:bottom w:w="0" w:type="dxa"/>
              <w:right w:w="75" w:type="dxa"/>
            </w:tcMar>
            <w:vAlign w:val="center"/>
          </w:tcPr>
          <w:p w:rsidR="005C7B49" w:rsidRDefault="005C7B49">
            <w:pPr>
              <w:pStyle w:val="NormalWeb"/>
              <w:spacing w:line="285" w:lineRule="atLeast"/>
              <w:jc w:val="both"/>
              <w:rPr>
                <w:rFonts w:ascii="Segoe UI" w:hAnsi="Segoe UI" w:cs="Segoe UI"/>
                <w:sz w:val="21"/>
                <w:szCs w:val="21"/>
              </w:rPr>
            </w:pPr>
            <w:r>
              <w:rPr>
                <w:rFonts w:ascii="Segoe UI" w:hAnsi="Segoe UI" w:cs="Segoe UI"/>
                <w:sz w:val="21"/>
                <w:szCs w:val="21"/>
              </w:rPr>
              <w:t>New strengthened Club Licensing and Financial Fair Play regulations approved</w:t>
            </w:r>
          </w:p>
          <w:p w:rsidR="005C7B49" w:rsidRDefault="005C7B49">
            <w:pPr>
              <w:pStyle w:val="BodyText"/>
              <w:spacing w:after="0"/>
              <w:jc w:val="both"/>
              <w:rPr>
                <w:sz w:val="20"/>
                <w:szCs w:val="20"/>
              </w:rPr>
            </w:pPr>
            <w:r>
              <w:rPr>
                <w:sz w:val="20"/>
                <w:szCs w:val="20"/>
              </w:rPr>
              <w:t>The UEFA Executive Committee met today in Kyiv and selected the venues for the 2020 UEFA club competitions finals as follows:</w:t>
            </w:r>
          </w:p>
          <w:p w:rsidR="005C7B49" w:rsidRDefault="005C7B49">
            <w:pPr>
              <w:pStyle w:val="BodyText"/>
              <w:spacing w:after="0"/>
              <w:jc w:val="both"/>
              <w:rPr>
                <w:sz w:val="20"/>
                <w:szCs w:val="20"/>
              </w:rPr>
            </w:pPr>
          </w:p>
          <w:p w:rsidR="005C7B49" w:rsidRDefault="005C7B49" w:rsidP="00875C5A">
            <w:pPr>
              <w:pStyle w:val="ListBullet"/>
              <w:numPr>
                <w:ilvl w:val="0"/>
                <w:numId w:val="2"/>
              </w:numPr>
              <w:ind w:left="0" w:firstLine="0"/>
              <w:jc w:val="both"/>
              <w:rPr>
                <w:sz w:val="20"/>
                <w:szCs w:val="20"/>
              </w:rPr>
            </w:pPr>
            <w:r>
              <w:rPr>
                <w:sz w:val="20"/>
                <w:szCs w:val="20"/>
              </w:rPr>
              <w:t xml:space="preserve">UEFA Champions League – Atatürk Olympic Stadium, Istanbul </w:t>
            </w:r>
          </w:p>
          <w:p w:rsidR="005C7B49" w:rsidRDefault="005C7B49" w:rsidP="00875C5A">
            <w:pPr>
              <w:pStyle w:val="ListBullet"/>
              <w:numPr>
                <w:ilvl w:val="0"/>
                <w:numId w:val="2"/>
              </w:numPr>
              <w:ind w:left="0" w:firstLine="0"/>
              <w:jc w:val="both"/>
              <w:rPr>
                <w:sz w:val="20"/>
                <w:szCs w:val="20"/>
              </w:rPr>
            </w:pPr>
            <w:r>
              <w:rPr>
                <w:sz w:val="20"/>
                <w:szCs w:val="20"/>
              </w:rPr>
              <w:t xml:space="preserve">UEFA Europa League – Arena Gdansk, </w:t>
            </w:r>
            <w:proofErr w:type="spellStart"/>
            <w:r>
              <w:rPr>
                <w:sz w:val="20"/>
                <w:szCs w:val="20"/>
              </w:rPr>
              <w:t>Gdańsk</w:t>
            </w:r>
            <w:proofErr w:type="spellEnd"/>
            <w:r>
              <w:rPr>
                <w:sz w:val="20"/>
                <w:szCs w:val="20"/>
              </w:rPr>
              <w:t> </w:t>
            </w:r>
          </w:p>
          <w:p w:rsidR="005C7B49" w:rsidRDefault="005C7B49" w:rsidP="00875C5A">
            <w:pPr>
              <w:pStyle w:val="ListBullet"/>
              <w:numPr>
                <w:ilvl w:val="0"/>
                <w:numId w:val="2"/>
              </w:numPr>
              <w:ind w:left="0" w:firstLine="0"/>
              <w:jc w:val="both"/>
              <w:rPr>
                <w:sz w:val="20"/>
                <w:szCs w:val="20"/>
              </w:rPr>
            </w:pPr>
            <w:r>
              <w:rPr>
                <w:sz w:val="20"/>
                <w:szCs w:val="20"/>
              </w:rPr>
              <w:t xml:space="preserve">UEFA Women’s Champions League – </w:t>
            </w:r>
            <w:r>
              <w:rPr>
                <w:color w:val="000000"/>
                <w:sz w:val="20"/>
                <w:szCs w:val="20"/>
              </w:rPr>
              <w:t xml:space="preserve">Austria Arena, </w:t>
            </w:r>
            <w:r>
              <w:rPr>
                <w:sz w:val="20"/>
                <w:szCs w:val="20"/>
              </w:rPr>
              <w:t xml:space="preserve">Vienna </w:t>
            </w:r>
          </w:p>
          <w:p w:rsidR="005C7B49" w:rsidRDefault="005C7B49" w:rsidP="00875C5A">
            <w:pPr>
              <w:pStyle w:val="ListBullet"/>
              <w:numPr>
                <w:ilvl w:val="0"/>
                <w:numId w:val="2"/>
              </w:numPr>
              <w:ind w:left="0" w:firstLine="0"/>
              <w:jc w:val="both"/>
              <w:rPr>
                <w:sz w:val="20"/>
                <w:szCs w:val="20"/>
              </w:rPr>
            </w:pPr>
            <w:r>
              <w:rPr>
                <w:sz w:val="20"/>
                <w:szCs w:val="20"/>
              </w:rPr>
              <w:t xml:space="preserve">UEFA Super Cup – </w:t>
            </w:r>
            <w:proofErr w:type="spellStart"/>
            <w:r>
              <w:rPr>
                <w:sz w:val="20"/>
                <w:szCs w:val="20"/>
              </w:rPr>
              <w:t>Estádio</w:t>
            </w:r>
            <w:proofErr w:type="spellEnd"/>
            <w:r>
              <w:rPr>
                <w:sz w:val="20"/>
                <w:szCs w:val="20"/>
              </w:rPr>
              <w:t xml:space="preserve"> do </w:t>
            </w:r>
            <w:proofErr w:type="spellStart"/>
            <w:r>
              <w:rPr>
                <w:sz w:val="20"/>
                <w:szCs w:val="20"/>
              </w:rPr>
              <w:t>Dragão</w:t>
            </w:r>
            <w:proofErr w:type="spellEnd"/>
            <w:r>
              <w:rPr>
                <w:sz w:val="20"/>
                <w:szCs w:val="20"/>
              </w:rPr>
              <w:t>, Porto</w:t>
            </w:r>
          </w:p>
          <w:p w:rsidR="005C7B49" w:rsidRDefault="005C7B49">
            <w:pPr>
              <w:pStyle w:val="BodyText"/>
              <w:spacing w:after="0"/>
              <w:jc w:val="both"/>
              <w:rPr>
                <w:sz w:val="20"/>
                <w:szCs w:val="20"/>
              </w:rPr>
            </w:pPr>
          </w:p>
          <w:p w:rsidR="005C7B49" w:rsidRDefault="005C7B49">
            <w:pPr>
              <w:pStyle w:val="BodyText"/>
              <w:spacing w:after="0"/>
              <w:jc w:val="both"/>
              <w:rPr>
                <w:sz w:val="20"/>
                <w:szCs w:val="20"/>
              </w:rPr>
            </w:pPr>
            <w:r>
              <w:rPr>
                <w:sz w:val="20"/>
                <w:szCs w:val="20"/>
              </w:rPr>
              <w:t>The UEFA Executive Committee approved today the new edition of the Club Licensing and Financial Fair Play regulations to further strengthen the existing rules and to adapt to the ever-evolving environment of European football.</w:t>
            </w:r>
          </w:p>
          <w:p w:rsidR="005C7B49" w:rsidRDefault="005C7B49">
            <w:pPr>
              <w:pStyle w:val="BodyText"/>
              <w:spacing w:after="0"/>
              <w:jc w:val="both"/>
              <w:rPr>
                <w:sz w:val="20"/>
                <w:szCs w:val="20"/>
              </w:rPr>
            </w:pPr>
          </w:p>
          <w:p w:rsidR="005C7B49" w:rsidRDefault="005C7B49">
            <w:pPr>
              <w:pStyle w:val="BodyText"/>
              <w:spacing w:after="0"/>
              <w:jc w:val="both"/>
              <w:rPr>
                <w:sz w:val="20"/>
                <w:szCs w:val="20"/>
              </w:rPr>
            </w:pPr>
            <w:r>
              <w:rPr>
                <w:sz w:val="20"/>
                <w:szCs w:val="20"/>
              </w:rPr>
              <w:t xml:space="preserve">A complete and comprehensive review had been undertaken in consultation with national associations and all other stakeholders (ECA, European Leagues, </w:t>
            </w:r>
            <w:proofErr w:type="spellStart"/>
            <w:proofErr w:type="gramStart"/>
            <w:r>
              <w:rPr>
                <w:sz w:val="20"/>
                <w:szCs w:val="20"/>
              </w:rPr>
              <w:t>FIFPro</w:t>
            </w:r>
            <w:proofErr w:type="spellEnd"/>
            <w:proofErr w:type="gramEnd"/>
            <w:r>
              <w:rPr>
                <w:sz w:val="20"/>
                <w:szCs w:val="20"/>
              </w:rPr>
              <w:t xml:space="preserve"> Europe).</w:t>
            </w:r>
          </w:p>
          <w:p w:rsidR="005C7B49" w:rsidRDefault="005C7B49">
            <w:pPr>
              <w:pStyle w:val="BodyText"/>
              <w:spacing w:after="0"/>
              <w:jc w:val="both"/>
              <w:rPr>
                <w:sz w:val="20"/>
                <w:szCs w:val="20"/>
              </w:rPr>
            </w:pPr>
          </w:p>
          <w:p w:rsidR="005C7B49" w:rsidRDefault="005C7B49">
            <w:pPr>
              <w:pStyle w:val="BodyText"/>
              <w:spacing w:after="0"/>
              <w:jc w:val="both"/>
              <w:rPr>
                <w:sz w:val="20"/>
                <w:szCs w:val="20"/>
              </w:rPr>
            </w:pPr>
            <w:r>
              <w:rPr>
                <w:sz w:val="20"/>
                <w:szCs w:val="20"/>
              </w:rPr>
              <w:t>Firstly, the new regulations will increase transparency with the obligation for clubs to publish their financial information, including payments to agents.</w:t>
            </w:r>
          </w:p>
          <w:p w:rsidR="005C7B49" w:rsidRDefault="005C7B49">
            <w:pPr>
              <w:pStyle w:val="BodyText"/>
              <w:spacing w:after="0"/>
              <w:jc w:val="both"/>
              <w:rPr>
                <w:sz w:val="20"/>
                <w:szCs w:val="20"/>
              </w:rPr>
            </w:pPr>
          </w:p>
          <w:p w:rsidR="005C7B49" w:rsidRDefault="005C7B49">
            <w:pPr>
              <w:pStyle w:val="BodyText"/>
              <w:spacing w:after="0"/>
              <w:jc w:val="both"/>
              <w:rPr>
                <w:sz w:val="20"/>
                <w:szCs w:val="20"/>
              </w:rPr>
            </w:pPr>
            <w:r>
              <w:rPr>
                <w:sz w:val="20"/>
                <w:szCs w:val="20"/>
              </w:rPr>
              <w:t>Secondly, there will be improved harmonisation of financial and accounting reporting principles on football specific transactions, such as specific accounting requirements for the transfer of players.</w:t>
            </w:r>
          </w:p>
          <w:p w:rsidR="005C7B49" w:rsidRDefault="005C7B49">
            <w:pPr>
              <w:pStyle w:val="BodyText"/>
              <w:spacing w:after="0"/>
              <w:jc w:val="both"/>
              <w:rPr>
                <w:sz w:val="20"/>
                <w:szCs w:val="20"/>
              </w:rPr>
            </w:pPr>
          </w:p>
          <w:p w:rsidR="005C7B49" w:rsidRDefault="005C7B49">
            <w:pPr>
              <w:pStyle w:val="BodyText"/>
              <w:spacing w:after="0"/>
              <w:jc w:val="both"/>
              <w:rPr>
                <w:sz w:val="20"/>
                <w:szCs w:val="20"/>
              </w:rPr>
            </w:pPr>
            <w:r>
              <w:rPr>
                <w:sz w:val="20"/>
                <w:szCs w:val="20"/>
              </w:rPr>
              <w:t>Thirdly, a more proactive approach in order to anticipate financial issues, by introducing a series of new financial indicators that will allow a stricter monitoring of clubs’ budgets by the CFCB. The indicators are: the sustainable debt ratio that will enhance the monitoring over the debt position of clubs and the player transfer deficit indicator that will enhance the monitoring on clubs transfer spending over a certain amount. </w:t>
            </w:r>
          </w:p>
          <w:p w:rsidR="005C7B49" w:rsidRDefault="005C7B49">
            <w:pPr>
              <w:pStyle w:val="BodyText"/>
              <w:spacing w:after="0"/>
              <w:jc w:val="both"/>
              <w:rPr>
                <w:sz w:val="20"/>
                <w:szCs w:val="20"/>
              </w:rPr>
            </w:pPr>
          </w:p>
          <w:p w:rsidR="005C7B49" w:rsidRDefault="005C7B49">
            <w:pPr>
              <w:pStyle w:val="BodyText"/>
              <w:spacing w:after="0"/>
              <w:jc w:val="both"/>
              <w:rPr>
                <w:sz w:val="20"/>
                <w:szCs w:val="20"/>
              </w:rPr>
            </w:pPr>
            <w:r>
              <w:rPr>
                <w:sz w:val="20"/>
                <w:szCs w:val="20"/>
              </w:rPr>
              <w:t>Finally the introduction of several requirements to provide better protection and education of youth players (introduction of child protection policy, new medical requirements and enhanced youth development programmes) and to enhance the standards and foster the development of women’s football in Europe.</w:t>
            </w:r>
          </w:p>
          <w:p w:rsidR="005C7B49" w:rsidRDefault="005C7B49">
            <w:pPr>
              <w:pStyle w:val="BodyText"/>
              <w:jc w:val="both"/>
              <w:rPr>
                <w:sz w:val="20"/>
                <w:szCs w:val="20"/>
              </w:rPr>
            </w:pPr>
          </w:p>
          <w:p w:rsidR="005C7B49" w:rsidRDefault="005C7B49">
            <w:pPr>
              <w:pStyle w:val="ListBullet"/>
              <w:numPr>
                <w:ilvl w:val="0"/>
                <w:numId w:val="0"/>
              </w:numPr>
              <w:ind w:left="360" w:hanging="360"/>
              <w:jc w:val="both"/>
              <w:rPr>
                <w:sz w:val="20"/>
                <w:szCs w:val="20"/>
              </w:rPr>
            </w:pPr>
            <w:r>
              <w:rPr>
                <w:sz w:val="20"/>
                <w:szCs w:val="20"/>
              </w:rPr>
              <w:t>The UEFA EURO 2020 final tournament match schedule was approved as follows:</w:t>
            </w:r>
          </w:p>
          <w:p w:rsidR="005C7B49" w:rsidRDefault="005C7B49">
            <w:pPr>
              <w:pStyle w:val="ListBullet"/>
              <w:numPr>
                <w:ilvl w:val="0"/>
                <w:numId w:val="0"/>
              </w:numPr>
              <w:ind w:left="360" w:hanging="360"/>
              <w:jc w:val="both"/>
              <w:rPr>
                <w:sz w:val="20"/>
                <w:szCs w:val="20"/>
              </w:rPr>
            </w:pPr>
            <w:hyperlink r:id="rId5" w:history="1">
              <w:r>
                <w:rPr>
                  <w:rStyle w:val="Hyperlink"/>
                  <w:color w:val="auto"/>
                  <w:sz w:val="20"/>
                  <w:szCs w:val="20"/>
                  <w:u w:val="none"/>
                </w:rPr>
                <w:t>https://bit.ly/2x7jlcl</w:t>
              </w:r>
            </w:hyperlink>
          </w:p>
          <w:p w:rsidR="005C7B49" w:rsidRDefault="005C7B49">
            <w:pPr>
              <w:pStyle w:val="ListBullet"/>
              <w:numPr>
                <w:ilvl w:val="0"/>
                <w:numId w:val="0"/>
              </w:numPr>
              <w:jc w:val="both"/>
              <w:rPr>
                <w:sz w:val="20"/>
                <w:szCs w:val="20"/>
              </w:rPr>
            </w:pPr>
          </w:p>
          <w:p w:rsidR="005C7B49" w:rsidRDefault="005C7B49">
            <w:pPr>
              <w:pStyle w:val="BodyText"/>
              <w:jc w:val="both"/>
              <w:rPr>
                <w:sz w:val="20"/>
                <w:szCs w:val="20"/>
              </w:rPr>
            </w:pPr>
            <w:r>
              <w:rPr>
                <w:sz w:val="20"/>
                <w:szCs w:val="20"/>
              </w:rPr>
              <w:t>The match pairings and the kick-off times will be added after the final draw in December 2019.</w:t>
            </w:r>
          </w:p>
          <w:p w:rsidR="005C7B49" w:rsidRDefault="005C7B49">
            <w:pPr>
              <w:pStyle w:val="BodyText"/>
              <w:jc w:val="both"/>
              <w:rPr>
                <w:sz w:val="20"/>
                <w:szCs w:val="20"/>
              </w:rPr>
            </w:pPr>
          </w:p>
          <w:p w:rsidR="005C7B49" w:rsidRDefault="005C7B49">
            <w:pPr>
              <w:jc w:val="both"/>
              <w:rPr>
                <w:rFonts w:ascii="Segoe UI" w:hAnsi="Segoe UI" w:cs="Segoe UI"/>
                <w:sz w:val="20"/>
                <w:szCs w:val="20"/>
                <w:lang w:eastAsia="en-GB"/>
              </w:rPr>
            </w:pPr>
            <w:r>
              <w:rPr>
                <w:rFonts w:ascii="Segoe UI" w:hAnsi="Segoe UI" w:cs="Segoe UI"/>
                <w:sz w:val="20"/>
                <w:szCs w:val="20"/>
                <w:lang w:eastAsia="en-GB"/>
              </w:rPr>
              <w:t xml:space="preserve">Finally, the UEFA Executive Committee appointed George </w:t>
            </w:r>
            <w:proofErr w:type="spellStart"/>
            <w:r>
              <w:rPr>
                <w:rFonts w:ascii="Segoe UI" w:hAnsi="Segoe UI" w:cs="Segoe UI"/>
                <w:sz w:val="20"/>
                <w:szCs w:val="20"/>
                <w:lang w:eastAsia="en-GB"/>
              </w:rPr>
              <w:t>Koumas</w:t>
            </w:r>
            <w:proofErr w:type="spellEnd"/>
            <w:r>
              <w:rPr>
                <w:rFonts w:ascii="Segoe UI" w:hAnsi="Segoe UI" w:cs="Segoe UI"/>
                <w:sz w:val="20"/>
                <w:szCs w:val="20"/>
                <w:lang w:eastAsia="en-GB"/>
              </w:rPr>
              <w:t xml:space="preserve">, President of the Cypriot FA, to replace the late </w:t>
            </w:r>
            <w:proofErr w:type="spellStart"/>
            <w:r>
              <w:rPr>
                <w:rFonts w:ascii="Segoe UI" w:hAnsi="Segoe UI" w:cs="Segoe UI"/>
                <w:sz w:val="20"/>
                <w:szCs w:val="20"/>
                <w:lang w:eastAsia="en-GB"/>
              </w:rPr>
              <w:t>Costakis</w:t>
            </w:r>
            <w:proofErr w:type="spellEnd"/>
            <w:r>
              <w:rPr>
                <w:rFonts w:ascii="Segoe UI" w:hAnsi="Segoe UI" w:cs="Segoe UI"/>
                <w:sz w:val="20"/>
                <w:szCs w:val="20"/>
                <w:lang w:eastAsia="en-GB"/>
              </w:rPr>
              <w:t xml:space="preserve"> </w:t>
            </w:r>
            <w:proofErr w:type="spellStart"/>
            <w:r>
              <w:rPr>
                <w:rFonts w:ascii="Segoe UI" w:hAnsi="Segoe UI" w:cs="Segoe UI"/>
                <w:sz w:val="20"/>
                <w:szCs w:val="20"/>
                <w:lang w:eastAsia="en-GB"/>
              </w:rPr>
              <w:t>Koutsokoumnis</w:t>
            </w:r>
            <w:proofErr w:type="spellEnd"/>
            <w:r>
              <w:rPr>
                <w:rFonts w:ascii="Segoe UI" w:hAnsi="Segoe UI" w:cs="Segoe UI"/>
                <w:sz w:val="20"/>
                <w:szCs w:val="20"/>
                <w:lang w:eastAsia="en-GB"/>
              </w:rPr>
              <w:t xml:space="preserve"> on the FIFA Council until the 2019 UEFA Congress.</w:t>
            </w:r>
          </w:p>
          <w:p w:rsidR="005C7B49" w:rsidRDefault="005C7B49">
            <w:pPr>
              <w:pStyle w:val="BodyText"/>
              <w:spacing w:after="0"/>
              <w:jc w:val="both"/>
              <w:rPr>
                <w:sz w:val="20"/>
                <w:szCs w:val="20"/>
              </w:rPr>
            </w:pPr>
          </w:p>
          <w:p w:rsidR="005C7B49" w:rsidRDefault="005C7B49">
            <w:pPr>
              <w:pStyle w:val="BodyText"/>
              <w:spacing w:after="0"/>
              <w:jc w:val="both"/>
              <w:rPr>
                <w:sz w:val="20"/>
                <w:szCs w:val="20"/>
              </w:rPr>
            </w:pPr>
            <w:r>
              <w:rPr>
                <w:sz w:val="20"/>
                <w:szCs w:val="20"/>
              </w:rPr>
              <w:t xml:space="preserve">The next meeting of the UEFA Executive Committee will take place in </w:t>
            </w:r>
            <w:proofErr w:type="spellStart"/>
            <w:r>
              <w:rPr>
                <w:sz w:val="20"/>
                <w:szCs w:val="20"/>
              </w:rPr>
              <w:t>Nyon</w:t>
            </w:r>
            <w:proofErr w:type="spellEnd"/>
            <w:r>
              <w:rPr>
                <w:sz w:val="20"/>
                <w:szCs w:val="20"/>
              </w:rPr>
              <w:t>, Switzerland on 27 September 2018.</w:t>
            </w:r>
          </w:p>
          <w:p w:rsidR="005C7B49" w:rsidRDefault="005C7B49">
            <w:pPr>
              <w:jc w:val="both"/>
              <w:rPr>
                <w:rFonts w:ascii="Segoe UI" w:hAnsi="Segoe UI" w:cs="Segoe UI"/>
                <w:color w:val="1F497D"/>
              </w:rPr>
            </w:pPr>
          </w:p>
          <w:p w:rsidR="005C7B49" w:rsidRDefault="005C7B49">
            <w:pPr>
              <w:pStyle w:val="NormalWeb"/>
              <w:spacing w:line="285" w:lineRule="atLeast"/>
              <w:rPr>
                <w:rFonts w:ascii="Arial" w:hAnsi="Arial" w:cs="Arial"/>
                <w:color w:val="404040"/>
                <w:sz w:val="21"/>
                <w:szCs w:val="21"/>
              </w:rPr>
            </w:pPr>
          </w:p>
        </w:tc>
      </w:tr>
    </w:tbl>
    <w:p w:rsidR="001807CE" w:rsidRDefault="001807CE"/>
    <w:sectPr w:rsidR="001807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UEFA Colosseum">
    <w:panose1 w:val="02000503050000020003"/>
    <w:charset w:val="00"/>
    <w:family w:val="auto"/>
    <w:pitch w:val="variable"/>
    <w:sig w:usb0="A00002EF" w:usb1="5000207A"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AC4DE94"/>
    <w:lvl w:ilvl="0">
      <w:start w:val="1"/>
      <w:numFmt w:val="bullet"/>
      <w:pStyle w:val="ListBullet"/>
      <w:lvlText w:val=""/>
      <w:lvlJc w:val="left"/>
      <w:pPr>
        <w:ind w:left="360" w:hanging="360"/>
      </w:pPr>
      <w:rPr>
        <w:rFonts w:ascii="Symbol" w:hAnsi="Symbol" w:hint="default"/>
        <w:color w:val="151E53"/>
      </w:rPr>
    </w:lvl>
  </w:abstractNum>
  <w:abstractNum w:abstractNumId="1" w15:restartNumberingAfterBreak="0">
    <w:nsid w:val="180234B3"/>
    <w:multiLevelType w:val="hybridMultilevel"/>
    <w:tmpl w:val="E1AE86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B49"/>
    <w:rsid w:val="001807CE"/>
    <w:rsid w:val="005C7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17AD3A-5363-4039-9E80-40C99FA2E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B4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7B49"/>
    <w:rPr>
      <w:color w:val="0563C1"/>
      <w:u w:val="single"/>
    </w:rPr>
  </w:style>
  <w:style w:type="paragraph" w:styleId="NormalWeb">
    <w:name w:val="Normal (Web)"/>
    <w:basedOn w:val="Normal"/>
    <w:uiPriority w:val="99"/>
    <w:semiHidden/>
    <w:unhideWhenUsed/>
    <w:rsid w:val="005C7B49"/>
    <w:pPr>
      <w:spacing w:before="100" w:beforeAutospacing="1" w:after="100" w:afterAutospacing="1"/>
    </w:pPr>
    <w:rPr>
      <w:rFonts w:ascii="Times New Roman" w:hAnsi="Times New Roman"/>
      <w:sz w:val="24"/>
      <w:szCs w:val="24"/>
      <w:lang w:eastAsia="en-GB"/>
    </w:rPr>
  </w:style>
  <w:style w:type="paragraph" w:styleId="ListBullet">
    <w:name w:val="List Bullet"/>
    <w:aliases w:val="UEFA Bullets"/>
    <w:basedOn w:val="Normal"/>
    <w:uiPriority w:val="13"/>
    <w:semiHidden/>
    <w:unhideWhenUsed/>
    <w:rsid w:val="005C7B49"/>
    <w:pPr>
      <w:numPr>
        <w:numId w:val="1"/>
      </w:numPr>
      <w:contextualSpacing/>
    </w:pPr>
    <w:rPr>
      <w:rFonts w:ascii="Segoe UI" w:hAnsi="Segoe UI" w:cs="Segoe UI"/>
      <w:lang w:eastAsia="en-GB"/>
    </w:rPr>
  </w:style>
  <w:style w:type="paragraph" w:styleId="BodyText">
    <w:name w:val="Body Text"/>
    <w:basedOn w:val="Normal"/>
    <w:link w:val="BodyTextChar"/>
    <w:uiPriority w:val="11"/>
    <w:semiHidden/>
    <w:unhideWhenUsed/>
    <w:rsid w:val="005C7B49"/>
    <w:pPr>
      <w:spacing w:after="60"/>
    </w:pPr>
    <w:rPr>
      <w:rFonts w:ascii="Segoe UI" w:hAnsi="Segoe UI" w:cs="Segoe UI"/>
      <w:lang w:eastAsia="en-GB"/>
    </w:rPr>
  </w:style>
  <w:style w:type="character" w:customStyle="1" w:styleId="BodyTextChar">
    <w:name w:val="Body Text Char"/>
    <w:basedOn w:val="DefaultParagraphFont"/>
    <w:link w:val="BodyText"/>
    <w:uiPriority w:val="11"/>
    <w:semiHidden/>
    <w:rsid w:val="005C7B49"/>
    <w:rPr>
      <w:rFonts w:ascii="Segoe UI" w:hAnsi="Segoe UI" w:cs="Segoe U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78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t.ly/2x7jlc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UEFA</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Huguenin Janine</dc:creator>
  <cp:keywords/>
  <dc:description/>
  <cp:lastModifiedBy>Huguenin Janine</cp:lastModifiedBy>
  <cp:revision>1</cp:revision>
  <dcterms:created xsi:type="dcterms:W3CDTF">2018-05-24T14:32:00Z</dcterms:created>
  <dcterms:modified xsi:type="dcterms:W3CDTF">2018-05-24T14:33:00Z</dcterms:modified>
</cp:coreProperties>
</file>