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7" w:type="dxa"/>
        <w:jc w:val="center"/>
        <w:tblCellSpacing w:w="0" w:type="dxa"/>
        <w:tblCellMar>
          <w:left w:w="0" w:type="dxa"/>
          <w:right w:w="0" w:type="dxa"/>
        </w:tblCellMar>
        <w:tblLook w:val="04A0" w:firstRow="1" w:lastRow="0" w:firstColumn="1" w:lastColumn="0" w:noHBand="0" w:noVBand="1"/>
      </w:tblPr>
      <w:tblGrid>
        <w:gridCol w:w="9007"/>
      </w:tblGrid>
      <w:tr w:rsidR="00965BEA" w:rsidRPr="00965BEA" w:rsidTr="00965BEA">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7"/>
            </w:tblGrid>
            <w:tr w:rsidR="00965BEA">
              <w:trPr>
                <w:tblCellSpacing w:w="0" w:type="dxa"/>
              </w:trPr>
              <w:tc>
                <w:tcPr>
                  <w:tcW w:w="0" w:type="auto"/>
                  <w:vAlign w:val="center"/>
                  <w:hideMark/>
                </w:tcPr>
                <w:p w:rsidR="00965BEA" w:rsidRDefault="00965BEA"/>
              </w:tc>
            </w:tr>
          </w:tbl>
          <w:p w:rsidR="00965BEA" w:rsidRDefault="00965BEA">
            <w:pPr>
              <w:rPr>
                <w:vanish/>
              </w:rPr>
            </w:pPr>
          </w:p>
          <w:tbl>
            <w:tblPr>
              <w:tblW w:w="5000" w:type="pct"/>
              <w:tblCellSpacing w:w="0" w:type="dxa"/>
              <w:tblCellMar>
                <w:left w:w="0" w:type="dxa"/>
                <w:right w:w="0" w:type="dxa"/>
              </w:tblCellMar>
              <w:tblLook w:val="04A0" w:firstRow="1" w:lastRow="0" w:firstColumn="1" w:lastColumn="0" w:noHBand="0" w:noVBand="1"/>
            </w:tblPr>
            <w:tblGrid>
              <w:gridCol w:w="9007"/>
            </w:tblGrid>
            <w:tr w:rsidR="00965BEA">
              <w:trPr>
                <w:tblCellSpacing w:w="0" w:type="dxa"/>
                <w:hidden/>
              </w:trPr>
              <w:tc>
                <w:tcPr>
                  <w:tcW w:w="0" w:type="auto"/>
                  <w:tcMar>
                    <w:top w:w="150" w:type="dxa"/>
                    <w:left w:w="150" w:type="dxa"/>
                    <w:bottom w:w="150" w:type="dxa"/>
                    <w:right w:w="150" w:type="dxa"/>
                  </w:tcMar>
                  <w:vAlign w:val="center"/>
                  <w:hideMark/>
                </w:tcPr>
                <w:p w:rsidR="00965BEA" w:rsidRDefault="00965BEA">
                  <w:pPr>
                    <w:rPr>
                      <w:vanish/>
                    </w:rPr>
                  </w:pPr>
                </w:p>
              </w:tc>
            </w:tr>
            <w:tr w:rsidR="00965BEA">
              <w:trPr>
                <w:tblCellSpacing w:w="0" w:type="dxa"/>
              </w:trPr>
              <w:tc>
                <w:tcPr>
                  <w:tcW w:w="0" w:type="auto"/>
                  <w:tcMar>
                    <w:top w:w="15" w:type="dxa"/>
                    <w:left w:w="150" w:type="dxa"/>
                    <w:bottom w:w="15" w:type="dxa"/>
                    <w:right w:w="15" w:type="dxa"/>
                  </w:tcMar>
                  <w:vAlign w:val="center"/>
                  <w:hideMark/>
                </w:tcPr>
                <w:p w:rsidR="00965BEA" w:rsidRDefault="00965BEA">
                  <w:pPr>
                    <w:pStyle w:val="Heading1"/>
                    <w:jc w:val="center"/>
                    <w:rPr>
                      <w:rFonts w:ascii="Georgia" w:eastAsia="Times New Roman" w:hAnsi="Georgia"/>
                      <w:b/>
                      <w:bCs/>
                      <w:color w:val="404040"/>
                      <w:sz w:val="36"/>
                      <w:szCs w:val="36"/>
                    </w:rPr>
                  </w:pPr>
                  <w:r>
                    <w:rPr>
                      <w:rFonts w:ascii="Georgia" w:eastAsia="Times New Roman" w:hAnsi="Georgia"/>
                      <w:b/>
                      <w:bCs/>
                      <w:color w:val="404040"/>
                      <w:sz w:val="36"/>
                      <w:szCs w:val="36"/>
                    </w:rPr>
                    <w:t>London to host additional matches</w:t>
                  </w:r>
                  <w:r>
                    <w:rPr>
                      <w:rFonts w:ascii="Georgia" w:eastAsia="Times New Roman" w:hAnsi="Georgia"/>
                      <w:b/>
                      <w:bCs/>
                      <w:color w:val="404040"/>
                      <w:sz w:val="36"/>
                      <w:szCs w:val="36"/>
                    </w:rPr>
                    <w:br/>
                    <w:t>at UEFA EURO 2020</w:t>
                  </w:r>
                </w:p>
              </w:tc>
            </w:tr>
            <w:tr w:rsidR="00965BEA">
              <w:trPr>
                <w:tblCellSpacing w:w="0" w:type="dxa"/>
              </w:trPr>
              <w:tc>
                <w:tcPr>
                  <w:tcW w:w="0" w:type="auto"/>
                  <w:tcMar>
                    <w:top w:w="150" w:type="dxa"/>
                    <w:left w:w="150" w:type="dxa"/>
                    <w:bottom w:w="15" w:type="dxa"/>
                    <w:right w:w="15" w:type="dxa"/>
                  </w:tcMar>
                  <w:vAlign w:val="center"/>
                  <w:hideMark/>
                </w:tcPr>
                <w:p w:rsidR="00965BEA" w:rsidRDefault="00965BEA">
                  <w:pPr>
                    <w:rPr>
                      <w:rFonts w:ascii="Georgia" w:eastAsia="Times New Roman" w:hAnsi="Georgia"/>
                      <w:b/>
                      <w:bCs/>
                      <w:color w:val="404040"/>
                      <w:sz w:val="36"/>
                      <w:szCs w:val="36"/>
                    </w:rPr>
                  </w:pPr>
                </w:p>
              </w:tc>
            </w:tr>
            <w:tr w:rsidR="00965BEA">
              <w:trPr>
                <w:tblCellSpacing w:w="0" w:type="dxa"/>
              </w:trPr>
              <w:tc>
                <w:tcPr>
                  <w:tcW w:w="0" w:type="auto"/>
                  <w:tcBorders>
                    <w:top w:val="nil"/>
                    <w:left w:val="nil"/>
                    <w:bottom w:val="single" w:sz="12" w:space="0" w:color="EAEAEA"/>
                    <w:right w:val="nil"/>
                  </w:tcBorders>
                  <w:tcMar>
                    <w:top w:w="150" w:type="dxa"/>
                    <w:left w:w="15" w:type="dxa"/>
                    <w:bottom w:w="15" w:type="dxa"/>
                    <w:right w:w="150" w:type="dxa"/>
                  </w:tcMar>
                  <w:vAlign w:val="center"/>
                  <w:hideMark/>
                </w:tcPr>
                <w:p w:rsidR="00965BEA" w:rsidRDefault="00965BEA">
                  <w:pPr>
                    <w:jc w:val="right"/>
                    <w:rPr>
                      <w:rFonts w:ascii="Arial" w:hAnsi="Arial" w:cs="Arial"/>
                      <w:color w:val="404040"/>
                      <w:sz w:val="16"/>
                      <w:szCs w:val="16"/>
                    </w:rPr>
                  </w:pPr>
                  <w:r>
                    <w:rPr>
                      <w:rFonts w:ascii="Arial" w:hAnsi="Arial" w:cs="Arial"/>
                      <w:color w:val="404040"/>
                      <w:sz w:val="16"/>
                      <w:szCs w:val="16"/>
                    </w:rPr>
                    <w:t>Published: 7 December 2017</w:t>
                  </w:r>
                </w:p>
              </w:tc>
            </w:tr>
          </w:tbl>
          <w:p w:rsidR="00965BEA" w:rsidRDefault="00965BE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959"/>
              <w:gridCol w:w="4048"/>
            </w:tblGrid>
            <w:tr w:rsidR="00965BEA">
              <w:trPr>
                <w:tblCellSpacing w:w="0" w:type="dxa"/>
                <w:jc w:val="center"/>
              </w:trPr>
              <w:tc>
                <w:tcPr>
                  <w:tcW w:w="0" w:type="auto"/>
                  <w:gridSpan w:val="2"/>
                  <w:tcMar>
                    <w:top w:w="225" w:type="dxa"/>
                    <w:left w:w="150" w:type="dxa"/>
                    <w:bottom w:w="0" w:type="dxa"/>
                    <w:right w:w="75" w:type="dxa"/>
                  </w:tcMar>
                  <w:vAlign w:val="center"/>
                </w:tcPr>
                <w:p w:rsidR="00965BEA" w:rsidRDefault="00965BEA">
                  <w:pPr>
                    <w:pStyle w:val="Heading2"/>
                    <w:rPr>
                      <w:rFonts w:ascii="Arial" w:eastAsia="Times New Roman" w:hAnsi="Arial" w:cs="Arial"/>
                      <w:color w:val="404040"/>
                      <w:sz w:val="21"/>
                      <w:szCs w:val="21"/>
                    </w:rPr>
                  </w:pPr>
                  <w:r>
                    <w:rPr>
                      <w:rFonts w:ascii="Arial" w:eastAsia="Times New Roman" w:hAnsi="Arial" w:cs="Arial"/>
                      <w:color w:val="404040"/>
                      <w:sz w:val="21"/>
                      <w:szCs w:val="21"/>
                    </w:rPr>
                    <w:t xml:space="preserve">044 - Rome selected to stage tournament’s opening match </w:t>
                  </w: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The UEFA Executive Committee met today at the House of European Football in </w:t>
                  </w:r>
                  <w:proofErr w:type="spellStart"/>
                  <w:r>
                    <w:rPr>
                      <w:rFonts w:ascii="Arial" w:hAnsi="Arial" w:cs="Arial"/>
                      <w:color w:val="404040"/>
                      <w:sz w:val="21"/>
                      <w:szCs w:val="21"/>
                      <w:lang w:eastAsia="en-GB"/>
                    </w:rPr>
                    <w:t>Nyon</w:t>
                  </w:r>
                  <w:proofErr w:type="spellEnd"/>
                  <w:r>
                    <w:rPr>
                      <w:rFonts w:ascii="Arial" w:hAnsi="Arial" w:cs="Arial"/>
                      <w:color w:val="404040"/>
                      <w:sz w:val="21"/>
                      <w:szCs w:val="21"/>
                      <w:lang w:eastAsia="en-GB"/>
                    </w:rPr>
                    <w:t>, Switzerland and took the following decisions:</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b/>
                      <w:bCs/>
                      <w:color w:val="404040"/>
                      <w:sz w:val="21"/>
                      <w:szCs w:val="21"/>
                      <w:lang w:eastAsia="en-GB"/>
                    </w:rPr>
                  </w:pPr>
                  <w:r>
                    <w:rPr>
                      <w:rFonts w:ascii="Arial" w:hAnsi="Arial" w:cs="Arial"/>
                      <w:b/>
                      <w:bCs/>
                      <w:color w:val="404040"/>
                      <w:sz w:val="21"/>
                      <w:szCs w:val="21"/>
                      <w:lang w:eastAsia="en-GB"/>
                    </w:rPr>
                    <w:t>UEFA EURO 2020</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 Due to the </w:t>
                  </w:r>
                  <w:proofErr w:type="spellStart"/>
                  <w:r>
                    <w:rPr>
                      <w:rFonts w:ascii="Arial" w:hAnsi="Arial" w:cs="Arial"/>
                      <w:color w:val="404040"/>
                      <w:sz w:val="21"/>
                      <w:szCs w:val="21"/>
                      <w:lang w:eastAsia="en-GB"/>
                    </w:rPr>
                    <w:t>Eurostadium</w:t>
                  </w:r>
                  <w:proofErr w:type="spellEnd"/>
                  <w:r>
                    <w:rPr>
                      <w:rFonts w:ascii="Arial" w:hAnsi="Arial" w:cs="Arial"/>
                      <w:color w:val="404040"/>
                      <w:sz w:val="21"/>
                      <w:szCs w:val="21"/>
                      <w:lang w:eastAsia="en-GB"/>
                    </w:rPr>
                    <w:t xml:space="preserve"> project’s failure to meet the conditions imposed by the UEFA Executive Committee during its meeting of 20th September 2017, the four matches initially scheduled to be held in Brussels will now be allocated to Wembley Stadium, London following a vote by the committee. This means Wembley will host a total of seven matches since they were already set to stage the semi-finals and final of the tournament. </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 The </w:t>
                  </w:r>
                  <w:proofErr w:type="spellStart"/>
                  <w:r>
                    <w:rPr>
                      <w:rFonts w:ascii="Arial" w:hAnsi="Arial" w:cs="Arial"/>
                      <w:color w:val="404040"/>
                      <w:sz w:val="21"/>
                      <w:szCs w:val="21"/>
                      <w:lang w:eastAsia="en-GB"/>
                    </w:rPr>
                    <w:t>Stadio</w:t>
                  </w:r>
                  <w:proofErr w:type="spellEnd"/>
                  <w:r>
                    <w:rPr>
                      <w:rFonts w:ascii="Arial" w:hAnsi="Arial" w:cs="Arial"/>
                      <w:color w:val="404040"/>
                      <w:sz w:val="21"/>
                      <w:szCs w:val="21"/>
                      <w:lang w:eastAsia="en-GB"/>
                    </w:rPr>
                    <w:t xml:space="preserve"> </w:t>
                  </w:r>
                  <w:proofErr w:type="spellStart"/>
                  <w:r>
                    <w:rPr>
                      <w:rFonts w:ascii="Arial" w:hAnsi="Arial" w:cs="Arial"/>
                      <w:color w:val="404040"/>
                      <w:sz w:val="21"/>
                      <w:szCs w:val="21"/>
                      <w:lang w:eastAsia="en-GB"/>
                    </w:rPr>
                    <w:t>Olimpico</w:t>
                  </w:r>
                  <w:proofErr w:type="spellEnd"/>
                  <w:r>
                    <w:rPr>
                      <w:rFonts w:ascii="Arial" w:hAnsi="Arial" w:cs="Arial"/>
                      <w:color w:val="404040"/>
                      <w:sz w:val="21"/>
                      <w:szCs w:val="21"/>
                      <w:lang w:eastAsia="en-GB"/>
                    </w:rPr>
                    <w:t xml:space="preserve"> in Rome was selected as the venue for the opening match.</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The host city pairings were decided by means of a random draw - from six different lists of city pairings established on the basis of sporting strength and geographical considerations - and will be as follows:</w:t>
                  </w:r>
                </w:p>
                <w:p w:rsidR="00965BEA" w:rsidRDefault="00965BEA">
                  <w:pPr>
                    <w:jc w:val="both"/>
                    <w:rPr>
                      <w:rFonts w:ascii="Arial" w:hAnsi="Arial" w:cs="Arial"/>
                      <w:color w:val="404040"/>
                      <w:sz w:val="21"/>
                      <w:szCs w:val="21"/>
                      <w:lang w:eastAsia="en-GB"/>
                    </w:rPr>
                  </w:pP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 xml:space="preserve">Group A: Rome and Baku </w:t>
                  </w: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Group B: Saint Petersburg and Copenhagen</w:t>
                  </w: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Group C: Amsterdam and Bucharest</w:t>
                  </w: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Group D: London and Glasgow</w:t>
                  </w: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Group E: Bilbao and Dublin</w:t>
                  </w:r>
                </w:p>
                <w:p w:rsidR="00965BEA" w:rsidRDefault="00965BEA" w:rsidP="00E160AD">
                  <w:pPr>
                    <w:pStyle w:val="ListParagraph"/>
                    <w:numPr>
                      <w:ilvl w:val="0"/>
                      <w:numId w:val="2"/>
                    </w:numPr>
                    <w:jc w:val="both"/>
                    <w:rPr>
                      <w:rFonts w:ascii="Arial" w:hAnsi="Arial" w:cs="Arial"/>
                      <w:color w:val="404040"/>
                      <w:sz w:val="21"/>
                      <w:szCs w:val="21"/>
                    </w:rPr>
                  </w:pPr>
                  <w:r>
                    <w:rPr>
                      <w:rFonts w:ascii="Arial" w:hAnsi="Arial" w:cs="Arial"/>
                      <w:color w:val="404040"/>
                      <w:sz w:val="21"/>
                      <w:szCs w:val="21"/>
                    </w:rPr>
                    <w:t>Group F: Munich and Budapest</w:t>
                  </w:r>
                </w:p>
                <w:p w:rsidR="00965BEA" w:rsidRDefault="00965BEA">
                  <w:pPr>
                    <w:pStyle w:val="ListParagraph"/>
                    <w:ind w:left="720"/>
                    <w:jc w:val="both"/>
                    <w:rPr>
                      <w:rFonts w:ascii="Arial" w:hAnsi="Arial" w:cs="Arial"/>
                      <w:color w:val="404040"/>
                      <w:sz w:val="21"/>
                      <w:szCs w:val="21"/>
                    </w:rPr>
                  </w:pP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Each qualified host country will play a minimum of two matches at home in the group stage.</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b/>
                      <w:bCs/>
                      <w:color w:val="404040"/>
                      <w:sz w:val="21"/>
                      <w:szCs w:val="21"/>
                      <w:lang w:eastAsia="en-GB"/>
                    </w:rPr>
                  </w:pPr>
                  <w:r>
                    <w:rPr>
                      <w:rFonts w:ascii="Arial" w:hAnsi="Arial" w:cs="Arial"/>
                      <w:b/>
                      <w:bCs/>
                      <w:color w:val="404040"/>
                      <w:sz w:val="21"/>
                      <w:szCs w:val="21"/>
                      <w:lang w:eastAsia="en-GB"/>
                    </w:rPr>
                    <w:t xml:space="preserve">UEFA Nations League </w:t>
                  </w: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The </w:t>
                  </w:r>
                  <w:proofErr w:type="spellStart"/>
                  <w:r>
                    <w:rPr>
                      <w:rFonts w:ascii="Arial" w:hAnsi="Arial" w:cs="Arial"/>
                      <w:color w:val="404040"/>
                      <w:sz w:val="21"/>
                      <w:szCs w:val="21"/>
                      <w:lang w:eastAsia="en-GB"/>
                    </w:rPr>
                    <w:t>seedings</w:t>
                  </w:r>
                  <w:proofErr w:type="spellEnd"/>
                  <w:r>
                    <w:rPr>
                      <w:rFonts w:ascii="Arial" w:hAnsi="Arial" w:cs="Arial"/>
                      <w:color w:val="404040"/>
                      <w:sz w:val="21"/>
                      <w:szCs w:val="21"/>
                      <w:lang w:eastAsia="en-GB"/>
                    </w:rPr>
                    <w:t xml:space="preserve"> and draw procedure were approved and teams in each league will be allocated to different pots on the basis of the national team coefficient. </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It was also confirmed that the teams of Russia/Ukraine and Armenia/Azerbaijan would be kept apart during the proceedings. The full </w:t>
                  </w:r>
                  <w:proofErr w:type="spellStart"/>
                  <w:r>
                    <w:rPr>
                      <w:rFonts w:ascii="Arial" w:hAnsi="Arial" w:cs="Arial"/>
                      <w:color w:val="404040"/>
                      <w:sz w:val="21"/>
                      <w:szCs w:val="21"/>
                      <w:lang w:eastAsia="en-GB"/>
                    </w:rPr>
                    <w:t>seedings</w:t>
                  </w:r>
                  <w:proofErr w:type="spellEnd"/>
                  <w:r>
                    <w:rPr>
                      <w:rFonts w:ascii="Arial" w:hAnsi="Arial" w:cs="Arial"/>
                      <w:color w:val="404040"/>
                      <w:sz w:val="21"/>
                      <w:szCs w:val="21"/>
                      <w:lang w:eastAsia="en-GB"/>
                    </w:rPr>
                    <w:t xml:space="preserve"> and draw procedure can be accessed here.</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b/>
                      <w:bCs/>
                      <w:color w:val="404040"/>
                      <w:sz w:val="21"/>
                      <w:szCs w:val="21"/>
                      <w:lang w:eastAsia="en-GB"/>
                    </w:rPr>
                  </w:pPr>
                  <w:r>
                    <w:rPr>
                      <w:rFonts w:ascii="Arial" w:hAnsi="Arial" w:cs="Arial"/>
                      <w:b/>
                      <w:bCs/>
                      <w:color w:val="404040"/>
                      <w:sz w:val="21"/>
                      <w:szCs w:val="21"/>
                      <w:lang w:eastAsia="en-GB"/>
                    </w:rPr>
                    <w:t>UEFA Futsal Cup</w:t>
                  </w: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The </w:t>
                  </w:r>
                  <w:proofErr w:type="spellStart"/>
                  <w:r>
                    <w:rPr>
                      <w:rFonts w:ascii="Arial" w:hAnsi="Arial" w:cs="Arial"/>
                      <w:color w:val="404040"/>
                      <w:sz w:val="21"/>
                      <w:szCs w:val="21"/>
                      <w:lang w:eastAsia="en-GB"/>
                    </w:rPr>
                    <w:t>Pabellón</w:t>
                  </w:r>
                  <w:proofErr w:type="spellEnd"/>
                  <w:r>
                    <w:rPr>
                      <w:rFonts w:ascii="Arial" w:hAnsi="Arial" w:cs="Arial"/>
                      <w:color w:val="404040"/>
                      <w:sz w:val="21"/>
                      <w:szCs w:val="21"/>
                      <w:lang w:eastAsia="en-GB"/>
                    </w:rPr>
                    <w:t xml:space="preserve"> Principe Felipe in Zaragoza was appointed to stage the 2018 Finals, to be played between 19 and 22 April.</w:t>
                  </w:r>
                </w:p>
                <w:p w:rsidR="00965BEA" w:rsidRDefault="00965BEA">
                  <w:pPr>
                    <w:jc w:val="both"/>
                    <w:rPr>
                      <w:rFonts w:ascii="Arial" w:hAnsi="Arial" w:cs="Arial"/>
                      <w:color w:val="404040"/>
                      <w:sz w:val="21"/>
                      <w:szCs w:val="21"/>
                      <w:lang w:eastAsia="en-GB"/>
                    </w:rPr>
                  </w:pPr>
                </w:p>
                <w:p w:rsidR="00965BEA" w:rsidRDefault="00965BEA">
                  <w:pPr>
                    <w:jc w:val="both"/>
                    <w:rPr>
                      <w:rFonts w:ascii="Arial" w:hAnsi="Arial" w:cs="Arial"/>
                      <w:b/>
                      <w:bCs/>
                      <w:color w:val="404040"/>
                      <w:sz w:val="21"/>
                      <w:szCs w:val="21"/>
                      <w:lang w:eastAsia="en-GB"/>
                    </w:rPr>
                  </w:pPr>
                  <w:r>
                    <w:rPr>
                      <w:rFonts w:ascii="Arial" w:hAnsi="Arial" w:cs="Arial"/>
                      <w:b/>
                      <w:bCs/>
                      <w:color w:val="404040"/>
                      <w:sz w:val="21"/>
                      <w:szCs w:val="21"/>
                      <w:lang w:eastAsia="en-GB"/>
                    </w:rPr>
                    <w:t>Further decision</w:t>
                  </w:r>
                </w:p>
                <w:p w:rsidR="00965BEA" w:rsidRDefault="00965BEA">
                  <w:pPr>
                    <w:jc w:val="both"/>
                    <w:rPr>
                      <w:rFonts w:ascii="Arial" w:hAnsi="Arial" w:cs="Arial"/>
                      <w:color w:val="404040"/>
                      <w:sz w:val="21"/>
                      <w:szCs w:val="21"/>
                      <w:lang w:eastAsia="en-GB"/>
                    </w:rPr>
                  </w:pPr>
                  <w:r>
                    <w:rPr>
                      <w:rFonts w:ascii="Arial" w:hAnsi="Arial" w:cs="Arial"/>
                      <w:color w:val="404040"/>
                      <w:sz w:val="21"/>
                      <w:szCs w:val="21"/>
                      <w:lang w:eastAsia="en-GB"/>
                    </w:rPr>
                    <w:t xml:space="preserve">A renewed Memorandum of Understanding with the Alliance of European Football Coaches’ Associations (AEFCA) was ratified for the period 2018-21, enabling further cooperation between UEFA and coaches. </w:t>
                  </w:r>
                </w:p>
                <w:p w:rsidR="00965BEA" w:rsidRDefault="00965BEA">
                  <w:pPr>
                    <w:jc w:val="both"/>
                    <w:rPr>
                      <w:rFonts w:ascii="Arial" w:hAnsi="Arial" w:cs="Arial"/>
                      <w:color w:val="404040"/>
                      <w:sz w:val="21"/>
                      <w:szCs w:val="21"/>
                      <w:lang w:eastAsia="en-GB"/>
                    </w:rPr>
                  </w:pPr>
                </w:p>
                <w:p w:rsidR="00965BEA" w:rsidRDefault="00965BEA">
                  <w:pPr>
                    <w:pStyle w:val="ListBullet"/>
                    <w:numPr>
                      <w:ilvl w:val="0"/>
                      <w:numId w:val="0"/>
                    </w:numPr>
                    <w:jc w:val="both"/>
                    <w:rPr>
                      <w:rFonts w:ascii="Arial" w:hAnsi="Arial" w:cs="Arial"/>
                      <w:color w:val="404040"/>
                      <w:sz w:val="21"/>
                      <w:szCs w:val="21"/>
                    </w:rPr>
                  </w:pPr>
                  <w:r>
                    <w:rPr>
                      <w:rFonts w:ascii="Arial" w:hAnsi="Arial" w:cs="Arial"/>
                      <w:color w:val="404040"/>
                      <w:sz w:val="21"/>
                      <w:szCs w:val="21"/>
                    </w:rPr>
                    <w:t xml:space="preserve">The next meeting of the UEFA Executive Committee is scheduled for 25 February 2018 - the day before the 42nd Ordinary UEFA Congress - in Bratislava, Slovakia. </w:t>
                  </w:r>
                </w:p>
                <w:p w:rsidR="00965BEA" w:rsidRDefault="00965BEA">
                  <w:pPr>
                    <w:pStyle w:val="ListBullet"/>
                    <w:numPr>
                      <w:ilvl w:val="0"/>
                      <w:numId w:val="0"/>
                    </w:numPr>
                    <w:jc w:val="both"/>
                    <w:rPr>
                      <w:sz w:val="21"/>
                      <w:szCs w:val="21"/>
                    </w:rPr>
                  </w:pPr>
                </w:p>
                <w:p w:rsidR="00965BEA" w:rsidRDefault="00965BEA">
                  <w:pPr>
                    <w:pStyle w:val="ListBullet"/>
                    <w:numPr>
                      <w:ilvl w:val="0"/>
                      <w:numId w:val="0"/>
                    </w:numPr>
                    <w:jc w:val="both"/>
                    <w:rPr>
                      <w:sz w:val="4"/>
                      <w:szCs w:val="4"/>
                    </w:rPr>
                  </w:pPr>
                </w:p>
                <w:p w:rsidR="00965BEA" w:rsidRDefault="00965BEA">
                  <w:pPr>
                    <w:pStyle w:val="ListBullet"/>
                    <w:numPr>
                      <w:ilvl w:val="0"/>
                      <w:numId w:val="0"/>
                    </w:numPr>
                    <w:jc w:val="both"/>
                    <w:rPr>
                      <w:b/>
                      <w:bCs/>
                      <w:sz w:val="20"/>
                      <w:szCs w:val="20"/>
                    </w:rPr>
                  </w:pPr>
                  <w:r>
                    <w:rPr>
                      <w:b/>
                      <w:bCs/>
                      <w:sz w:val="20"/>
                      <w:szCs w:val="20"/>
                    </w:rPr>
                    <w:lastRenderedPageBreak/>
                    <w:t xml:space="preserve">Note to editors: </w:t>
                  </w:r>
                  <w:r>
                    <w:rPr>
                      <w:rFonts w:ascii="Arial" w:hAnsi="Arial" w:cs="Arial"/>
                      <w:color w:val="404040"/>
                      <w:sz w:val="21"/>
                      <w:szCs w:val="21"/>
                    </w:rPr>
                    <w:t>Explanatory videos, Q&amp;A’s and logos about the UEFA Nations League can be found here:</w:t>
                  </w:r>
                  <w:r>
                    <w:rPr>
                      <w:sz w:val="20"/>
                      <w:szCs w:val="20"/>
                    </w:rPr>
                    <w:t> </w:t>
                  </w:r>
                  <w:hyperlink r:id="rId5" w:history="1">
                    <w:r>
                      <w:rPr>
                        <w:rStyle w:val="Hyperlink"/>
                        <w:sz w:val="20"/>
                        <w:szCs w:val="20"/>
                      </w:rPr>
                      <w:t xml:space="preserve">uefa.box.com/v/UNL </w:t>
                    </w:r>
                  </w:hyperlink>
                  <w:r>
                    <w:rPr>
                      <w:sz w:val="20"/>
                      <w:szCs w:val="20"/>
                    </w:rPr>
                    <w:t> </w:t>
                  </w:r>
                </w:p>
              </w:tc>
            </w:tr>
            <w:tr w:rsidR="00965BEA" w:rsidRPr="00965BEA">
              <w:trPr>
                <w:tblCellSpacing w:w="0" w:type="dxa"/>
                <w:jc w:val="center"/>
              </w:trPr>
              <w:tc>
                <w:tcPr>
                  <w:tcW w:w="0" w:type="auto"/>
                  <w:tcMar>
                    <w:top w:w="300" w:type="dxa"/>
                    <w:left w:w="150" w:type="dxa"/>
                    <w:bottom w:w="0" w:type="dxa"/>
                    <w:right w:w="75" w:type="dxa"/>
                  </w:tcMar>
                  <w:hideMark/>
                </w:tcPr>
                <w:p w:rsidR="00965BEA" w:rsidRDefault="00965BEA">
                  <w:pPr>
                    <w:spacing w:line="285" w:lineRule="atLeast"/>
                    <w:rPr>
                      <w:rFonts w:ascii="Arial" w:hAnsi="Arial" w:cs="Arial"/>
                      <w:color w:val="404040"/>
                      <w:sz w:val="21"/>
                      <w:szCs w:val="21"/>
                    </w:rPr>
                  </w:pPr>
                  <w:r>
                    <w:rPr>
                      <w:rStyle w:val="Strong"/>
                      <w:rFonts w:ascii="Arial" w:hAnsi="Arial" w:cs="Arial"/>
                      <w:color w:val="404040"/>
                      <w:sz w:val="21"/>
                      <w:szCs w:val="21"/>
                    </w:rPr>
                    <w:lastRenderedPageBreak/>
                    <w:t xml:space="preserve">For further information </w:t>
                  </w:r>
                  <w:r>
                    <w:rPr>
                      <w:rFonts w:ascii="Arial" w:hAnsi="Arial" w:cs="Arial"/>
                      <w:color w:val="404040"/>
                      <w:sz w:val="21"/>
                      <w:szCs w:val="21"/>
                    </w:rPr>
                    <w:br/>
                  </w:r>
                  <w:r>
                    <w:rPr>
                      <w:rFonts w:ascii="Arial" w:hAnsi="Arial" w:cs="Arial"/>
                      <w:color w:val="404040"/>
                      <w:sz w:val="21"/>
                      <w:szCs w:val="21"/>
                    </w:rPr>
                    <w:br/>
                    <w:t xml:space="preserve">UEFA Media &amp; Public Relations: </w:t>
                  </w:r>
                </w:p>
              </w:tc>
              <w:tc>
                <w:tcPr>
                  <w:tcW w:w="0" w:type="auto"/>
                  <w:tcMar>
                    <w:top w:w="300" w:type="dxa"/>
                    <w:left w:w="150" w:type="dxa"/>
                    <w:bottom w:w="0" w:type="dxa"/>
                    <w:right w:w="75" w:type="dxa"/>
                  </w:tcMar>
                  <w:vAlign w:val="center"/>
                  <w:hideMark/>
                </w:tcPr>
                <w:p w:rsidR="00965BEA" w:rsidRDefault="00965BEA">
                  <w:pPr>
                    <w:spacing w:line="285" w:lineRule="atLeast"/>
                    <w:jc w:val="right"/>
                    <w:rPr>
                      <w:rFonts w:ascii="Arial" w:hAnsi="Arial" w:cs="Arial"/>
                      <w:color w:val="404040"/>
                      <w:sz w:val="21"/>
                      <w:szCs w:val="21"/>
                      <w:lang w:val="fr-CH"/>
                    </w:rPr>
                  </w:pPr>
                  <w:r>
                    <w:rPr>
                      <w:rFonts w:ascii="Arial" w:hAnsi="Arial" w:cs="Arial"/>
                      <w:color w:val="404040"/>
                      <w:sz w:val="21"/>
                      <w:szCs w:val="21"/>
                      <w:lang w:val="fr-CH"/>
                    </w:rPr>
                    <w:t xml:space="preserve">Route de Genève 46 </w:t>
                  </w:r>
                  <w:r>
                    <w:rPr>
                      <w:rFonts w:ascii="Arial" w:hAnsi="Arial" w:cs="Arial"/>
                      <w:color w:val="404040"/>
                      <w:sz w:val="21"/>
                      <w:szCs w:val="21"/>
                      <w:lang w:val="fr-CH"/>
                    </w:rPr>
                    <w:br/>
                    <w:t xml:space="preserve">CH-1260 Nyon 2 </w:t>
                  </w:r>
                  <w:r>
                    <w:rPr>
                      <w:rFonts w:ascii="Arial" w:hAnsi="Arial" w:cs="Arial"/>
                      <w:color w:val="404040"/>
                      <w:sz w:val="21"/>
                      <w:szCs w:val="21"/>
                      <w:lang w:val="fr-CH"/>
                    </w:rPr>
                    <w:br/>
                    <w:t xml:space="preserve">Tel. +41 848 04 27 27 </w:t>
                  </w:r>
                  <w:r>
                    <w:rPr>
                      <w:rFonts w:ascii="Arial" w:hAnsi="Arial" w:cs="Arial"/>
                      <w:color w:val="404040"/>
                      <w:sz w:val="21"/>
                      <w:szCs w:val="21"/>
                      <w:lang w:val="fr-CH"/>
                    </w:rPr>
                    <w:br/>
                  </w:r>
                  <w:hyperlink r:id="rId6" w:history="1">
                    <w:r>
                      <w:rPr>
                        <w:rStyle w:val="Hyperlink"/>
                        <w:rFonts w:ascii="Arial" w:hAnsi="Arial" w:cs="Arial"/>
                        <w:sz w:val="21"/>
                        <w:szCs w:val="21"/>
                        <w:lang w:val="fr-CH"/>
                      </w:rPr>
                      <w:t>media@uefa.ch</w:t>
                    </w:r>
                  </w:hyperlink>
                  <w:r>
                    <w:rPr>
                      <w:rFonts w:ascii="Arial" w:hAnsi="Arial" w:cs="Arial"/>
                      <w:color w:val="404040"/>
                      <w:sz w:val="21"/>
                      <w:szCs w:val="21"/>
                      <w:lang w:val="fr-CH"/>
                    </w:rPr>
                    <w:br/>
                  </w:r>
                  <w:hyperlink r:id="rId7" w:history="1">
                    <w:r>
                      <w:rPr>
                        <w:rStyle w:val="Hyperlink"/>
                        <w:rFonts w:ascii="Arial" w:hAnsi="Arial" w:cs="Arial"/>
                        <w:sz w:val="21"/>
                        <w:szCs w:val="21"/>
                        <w:lang w:val="fr-CH"/>
                      </w:rPr>
                      <w:t>Twitter @</w:t>
                    </w:r>
                    <w:proofErr w:type="spellStart"/>
                    <w:r>
                      <w:rPr>
                        <w:rStyle w:val="Hyperlink"/>
                        <w:rFonts w:ascii="Arial" w:hAnsi="Arial" w:cs="Arial"/>
                        <w:sz w:val="21"/>
                        <w:szCs w:val="21"/>
                        <w:lang w:val="fr-CH"/>
                      </w:rPr>
                      <w:t>uefa</w:t>
                    </w:r>
                    <w:proofErr w:type="spellEnd"/>
                  </w:hyperlink>
                  <w:r>
                    <w:rPr>
                      <w:rFonts w:ascii="Arial" w:hAnsi="Arial" w:cs="Arial"/>
                      <w:color w:val="404040"/>
                      <w:sz w:val="21"/>
                      <w:szCs w:val="21"/>
                      <w:lang w:val="fr-CH"/>
                    </w:rPr>
                    <w:br/>
                  </w:r>
                  <w:hyperlink r:id="rId8" w:history="1">
                    <w:r>
                      <w:rPr>
                        <w:rStyle w:val="Hyperlink"/>
                        <w:rFonts w:ascii="Arial" w:hAnsi="Arial" w:cs="Arial"/>
                        <w:sz w:val="21"/>
                        <w:szCs w:val="21"/>
                        <w:lang w:val="fr-CH"/>
                      </w:rPr>
                      <w:t>UEFA.com</w:t>
                    </w:r>
                  </w:hyperlink>
                </w:p>
              </w:tc>
            </w:tr>
            <w:tr w:rsidR="00965BEA" w:rsidRPr="00965BEA">
              <w:trPr>
                <w:tblCellSpacing w:w="0" w:type="dxa"/>
                <w:jc w:val="center"/>
              </w:trPr>
              <w:tc>
                <w:tcPr>
                  <w:tcW w:w="0" w:type="auto"/>
                  <w:gridSpan w:val="2"/>
                  <w:tcMar>
                    <w:top w:w="300" w:type="dxa"/>
                    <w:left w:w="0" w:type="dxa"/>
                    <w:bottom w:w="0" w:type="dxa"/>
                    <w:right w:w="0" w:type="dxa"/>
                  </w:tcMar>
                  <w:vAlign w:val="center"/>
                  <w:hideMark/>
                </w:tcPr>
                <w:p w:rsidR="00965BEA" w:rsidRDefault="00965BEA">
                  <w:pPr>
                    <w:spacing w:before="100" w:beforeAutospacing="1" w:after="75"/>
                    <w:jc w:val="center"/>
                    <w:rPr>
                      <w:rFonts w:ascii="Arial" w:hAnsi="Arial" w:cs="Arial"/>
                      <w:color w:val="404040"/>
                      <w:sz w:val="21"/>
                      <w:szCs w:val="21"/>
                    </w:rPr>
                  </w:pPr>
                  <w:r>
                    <w:rPr>
                      <w:rFonts w:ascii="Arial" w:hAnsi="Arial" w:cs="Arial"/>
                      <w:color w:val="404040"/>
                      <w:sz w:val="21"/>
                      <w:szCs w:val="21"/>
                    </w:rPr>
                    <w:t xml:space="preserve">All language versions will be available shortly here: </w:t>
                  </w:r>
                </w:p>
                <w:p w:rsidR="00965BEA" w:rsidRDefault="00965BEA">
                  <w:pPr>
                    <w:jc w:val="center"/>
                    <w:rPr>
                      <w:rFonts w:ascii="Arial" w:hAnsi="Arial" w:cs="Arial"/>
                      <w:color w:val="404040"/>
                      <w:sz w:val="17"/>
                      <w:szCs w:val="17"/>
                      <w:lang w:val="de-CH"/>
                    </w:rPr>
                  </w:pPr>
                  <w:hyperlink r:id="rId9" w:tgtFrame="_blank" w:history="1">
                    <w:r>
                      <w:rPr>
                        <w:rStyle w:val="Hyperlink"/>
                        <w:rFonts w:ascii="Arial" w:hAnsi="Arial" w:cs="Arial"/>
                        <w:b/>
                        <w:bCs/>
                        <w:color w:val="404040"/>
                        <w:sz w:val="21"/>
                        <w:szCs w:val="21"/>
                        <w:lang w:val="de-CH"/>
                      </w:rPr>
                      <w:t>EN</w:t>
                    </w:r>
                  </w:hyperlink>
                  <w:r>
                    <w:rPr>
                      <w:rFonts w:ascii="Arial" w:hAnsi="Arial" w:cs="Arial"/>
                      <w:color w:val="404040"/>
                      <w:sz w:val="21"/>
                      <w:szCs w:val="21"/>
                      <w:lang w:val="de-CH"/>
                    </w:rPr>
                    <w:t xml:space="preserve"> - </w:t>
                  </w:r>
                  <w:hyperlink r:id="rId10" w:tgtFrame="_blank" w:history="1">
                    <w:r>
                      <w:rPr>
                        <w:rStyle w:val="Hyperlink"/>
                        <w:rFonts w:ascii="Arial" w:hAnsi="Arial" w:cs="Arial"/>
                        <w:b/>
                        <w:bCs/>
                        <w:color w:val="404040"/>
                        <w:sz w:val="21"/>
                        <w:szCs w:val="21"/>
                        <w:lang w:val="de-CH"/>
                      </w:rPr>
                      <w:t>FR</w:t>
                    </w:r>
                  </w:hyperlink>
                  <w:r>
                    <w:rPr>
                      <w:rFonts w:ascii="Arial" w:hAnsi="Arial" w:cs="Arial"/>
                      <w:color w:val="404040"/>
                      <w:sz w:val="21"/>
                      <w:szCs w:val="21"/>
                      <w:lang w:val="de-CH"/>
                    </w:rPr>
                    <w:t xml:space="preserve"> - </w:t>
                  </w:r>
                  <w:hyperlink r:id="rId11" w:tgtFrame="_blank" w:history="1">
                    <w:r>
                      <w:rPr>
                        <w:rStyle w:val="Hyperlink"/>
                        <w:rFonts w:ascii="Arial" w:hAnsi="Arial" w:cs="Arial"/>
                        <w:b/>
                        <w:bCs/>
                        <w:color w:val="404040"/>
                        <w:sz w:val="21"/>
                        <w:szCs w:val="21"/>
                        <w:lang w:val="de-CH"/>
                      </w:rPr>
                      <w:t>DE</w:t>
                    </w:r>
                  </w:hyperlink>
                  <w:r>
                    <w:rPr>
                      <w:rFonts w:ascii="Arial" w:hAnsi="Arial" w:cs="Arial"/>
                      <w:color w:val="404040"/>
                      <w:sz w:val="21"/>
                      <w:szCs w:val="21"/>
                      <w:lang w:val="de-CH"/>
                    </w:rPr>
                    <w:t xml:space="preserve"> - </w:t>
                  </w:r>
                  <w:hyperlink r:id="rId12" w:tgtFrame="_blank" w:history="1">
                    <w:r>
                      <w:rPr>
                        <w:rStyle w:val="Hyperlink"/>
                        <w:rFonts w:ascii="Arial" w:hAnsi="Arial" w:cs="Arial"/>
                        <w:b/>
                        <w:bCs/>
                        <w:color w:val="404040"/>
                        <w:sz w:val="21"/>
                        <w:szCs w:val="21"/>
                        <w:lang w:val="de-CH"/>
                      </w:rPr>
                      <w:t>ES</w:t>
                    </w:r>
                  </w:hyperlink>
                  <w:r>
                    <w:rPr>
                      <w:rFonts w:ascii="Arial" w:hAnsi="Arial" w:cs="Arial"/>
                      <w:color w:val="404040"/>
                      <w:sz w:val="21"/>
                      <w:szCs w:val="21"/>
                      <w:lang w:val="de-CH"/>
                    </w:rPr>
                    <w:t xml:space="preserve"> - </w:t>
                  </w:r>
                  <w:hyperlink r:id="rId13" w:tgtFrame="_blank" w:history="1">
                    <w:r>
                      <w:rPr>
                        <w:rStyle w:val="Hyperlink"/>
                        <w:rFonts w:ascii="Arial" w:hAnsi="Arial" w:cs="Arial"/>
                        <w:b/>
                        <w:bCs/>
                        <w:color w:val="404040"/>
                        <w:sz w:val="21"/>
                        <w:szCs w:val="21"/>
                        <w:lang w:val="de-CH"/>
                      </w:rPr>
                      <w:t>IT</w:t>
                    </w:r>
                  </w:hyperlink>
                  <w:r>
                    <w:rPr>
                      <w:rFonts w:ascii="Arial" w:hAnsi="Arial" w:cs="Arial"/>
                      <w:color w:val="404040"/>
                      <w:sz w:val="21"/>
                      <w:szCs w:val="21"/>
                      <w:lang w:val="de-CH"/>
                    </w:rPr>
                    <w:t xml:space="preserve"> - </w:t>
                  </w:r>
                  <w:hyperlink r:id="rId14" w:tgtFrame="_blank" w:history="1">
                    <w:r>
                      <w:rPr>
                        <w:rStyle w:val="Hyperlink"/>
                        <w:rFonts w:ascii="Arial" w:hAnsi="Arial" w:cs="Arial"/>
                        <w:b/>
                        <w:bCs/>
                        <w:color w:val="404040"/>
                        <w:sz w:val="21"/>
                        <w:szCs w:val="21"/>
                        <w:lang w:val="de-CH"/>
                      </w:rPr>
                      <w:t>PT</w:t>
                    </w:r>
                  </w:hyperlink>
                  <w:r>
                    <w:rPr>
                      <w:rFonts w:ascii="Arial" w:hAnsi="Arial" w:cs="Arial"/>
                      <w:color w:val="404040"/>
                      <w:sz w:val="21"/>
                      <w:szCs w:val="21"/>
                      <w:lang w:val="de-CH"/>
                    </w:rPr>
                    <w:t xml:space="preserve"> - </w:t>
                  </w:r>
                  <w:hyperlink r:id="rId15" w:tgtFrame="_blank" w:history="1">
                    <w:r>
                      <w:rPr>
                        <w:rStyle w:val="Hyperlink"/>
                        <w:rFonts w:ascii="Arial" w:hAnsi="Arial" w:cs="Arial"/>
                        <w:b/>
                        <w:bCs/>
                        <w:color w:val="404040"/>
                        <w:sz w:val="21"/>
                        <w:szCs w:val="21"/>
                        <w:lang w:val="de-CH"/>
                      </w:rPr>
                      <w:t>RU</w:t>
                    </w:r>
                  </w:hyperlink>
                </w:p>
              </w:tc>
            </w:tr>
          </w:tbl>
          <w:p w:rsidR="00965BEA" w:rsidRPr="00965BEA" w:rsidRDefault="00965BEA">
            <w:pPr>
              <w:jc w:val="center"/>
              <w:rPr>
                <w:rFonts w:ascii="Times New Roman" w:hAnsi="Times New Roman"/>
                <w:sz w:val="24"/>
                <w:szCs w:val="24"/>
                <w:lang w:val="de-CH" w:eastAsia="en-GB"/>
              </w:rPr>
            </w:pPr>
          </w:p>
        </w:tc>
      </w:tr>
    </w:tbl>
    <w:p w:rsidR="00E24281" w:rsidRPr="00965BEA" w:rsidRDefault="00E24281">
      <w:pPr>
        <w:rPr>
          <w:lang w:val="de-CH"/>
        </w:rPr>
      </w:pPr>
      <w:bookmarkStart w:id="0" w:name="_GoBack"/>
      <w:bookmarkEnd w:id="0"/>
    </w:p>
    <w:sectPr w:rsidR="00E24281" w:rsidRPr="00965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losseum Mediu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7643D6"/>
    <w:lvl w:ilvl="0">
      <w:start w:val="1"/>
      <w:numFmt w:val="bullet"/>
      <w:pStyle w:val="ListBullet"/>
      <w:lvlText w:val=""/>
      <w:lvlJc w:val="left"/>
      <w:pPr>
        <w:ind w:left="360" w:hanging="360"/>
      </w:pPr>
      <w:rPr>
        <w:rFonts w:ascii="Symbol" w:hAnsi="Symbol" w:hint="default"/>
        <w:color w:val="151E53"/>
      </w:rPr>
    </w:lvl>
  </w:abstractNum>
  <w:abstractNum w:abstractNumId="1" w15:restartNumberingAfterBreak="0">
    <w:nsid w:val="556F3DFF"/>
    <w:multiLevelType w:val="hybridMultilevel"/>
    <w:tmpl w:val="05B2FC40"/>
    <w:lvl w:ilvl="0" w:tplc="53404002">
      <w:start w:val="4"/>
      <w:numFmt w:val="bullet"/>
      <w:lvlText w:val=""/>
      <w:lvlJc w:val="left"/>
      <w:pPr>
        <w:ind w:left="720" w:hanging="360"/>
      </w:pPr>
      <w:rPr>
        <w:rFonts w:ascii="Symbol" w:eastAsia="Times New Roman"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EA"/>
    <w:rsid w:val="00965BEA"/>
    <w:rsid w:val="00E2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DF8C-F167-40AE-B4EB-EA2B9B9B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EA"/>
    <w:pPr>
      <w:spacing w:after="0" w:line="240" w:lineRule="auto"/>
    </w:pPr>
    <w:rPr>
      <w:rFonts w:ascii="Calibri" w:hAnsi="Calibri" w:cs="Times New Roman"/>
    </w:rPr>
  </w:style>
  <w:style w:type="paragraph" w:styleId="Heading1">
    <w:name w:val="heading 1"/>
    <w:basedOn w:val="Normal"/>
    <w:link w:val="Heading1Char"/>
    <w:uiPriority w:val="9"/>
    <w:qFormat/>
    <w:rsid w:val="00965BEA"/>
    <w:pPr>
      <w:keepNext/>
      <w:spacing w:before="240"/>
      <w:outlineLvl w:val="0"/>
    </w:pPr>
    <w:rPr>
      <w:rFonts w:ascii="Calibri Light" w:hAnsi="Calibri Light"/>
      <w:color w:val="2E74B5"/>
      <w:kern w:val="36"/>
      <w:sz w:val="32"/>
      <w:szCs w:val="32"/>
    </w:rPr>
  </w:style>
  <w:style w:type="paragraph" w:styleId="Heading2">
    <w:name w:val="heading 2"/>
    <w:aliases w:val="UEFA Subtitle"/>
    <w:basedOn w:val="Normal"/>
    <w:link w:val="Heading2Char"/>
    <w:uiPriority w:val="1"/>
    <w:semiHidden/>
    <w:unhideWhenUsed/>
    <w:qFormat/>
    <w:rsid w:val="00965BEA"/>
    <w:pPr>
      <w:keepNext/>
      <w:spacing w:before="240" w:after="240"/>
      <w:contextualSpacing/>
      <w:outlineLvl w:val="1"/>
    </w:pPr>
    <w:rPr>
      <w:rFonts w:ascii="Colosseum Medium" w:hAnsi="Colosseum Medium"/>
      <w:color w:val="151E5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BEA"/>
    <w:rPr>
      <w:rFonts w:ascii="Calibri Light" w:hAnsi="Calibri Light" w:cs="Times New Roman"/>
      <w:color w:val="2E74B5"/>
      <w:kern w:val="36"/>
      <w:sz w:val="32"/>
      <w:szCs w:val="32"/>
    </w:rPr>
  </w:style>
  <w:style w:type="character" w:customStyle="1" w:styleId="Heading2Char">
    <w:name w:val="Heading 2 Char"/>
    <w:aliases w:val="UEFA Subtitle Char"/>
    <w:basedOn w:val="DefaultParagraphFont"/>
    <w:link w:val="Heading2"/>
    <w:uiPriority w:val="1"/>
    <w:semiHidden/>
    <w:rsid w:val="00965BEA"/>
    <w:rPr>
      <w:rFonts w:ascii="Colosseum Medium" w:hAnsi="Colosseum Medium" w:cs="Times New Roman"/>
      <w:color w:val="151E53"/>
      <w:sz w:val="24"/>
      <w:szCs w:val="24"/>
      <w:lang w:eastAsia="en-GB"/>
    </w:rPr>
  </w:style>
  <w:style w:type="character" w:styleId="Hyperlink">
    <w:name w:val="Hyperlink"/>
    <w:basedOn w:val="DefaultParagraphFont"/>
    <w:uiPriority w:val="99"/>
    <w:semiHidden/>
    <w:unhideWhenUsed/>
    <w:rsid w:val="00965BEA"/>
    <w:rPr>
      <w:color w:val="0563C1"/>
      <w:u w:val="single"/>
    </w:rPr>
  </w:style>
  <w:style w:type="paragraph" w:styleId="ListBullet">
    <w:name w:val="List Bullet"/>
    <w:aliases w:val="UEFA Bullets"/>
    <w:basedOn w:val="Normal"/>
    <w:uiPriority w:val="13"/>
    <w:semiHidden/>
    <w:unhideWhenUsed/>
    <w:rsid w:val="00965BEA"/>
    <w:pPr>
      <w:numPr>
        <w:numId w:val="1"/>
      </w:numPr>
      <w:contextualSpacing/>
    </w:pPr>
    <w:rPr>
      <w:rFonts w:ascii="Segoe UI" w:hAnsi="Segoe UI" w:cs="Segoe UI"/>
      <w:lang w:eastAsia="en-GB"/>
    </w:rPr>
  </w:style>
  <w:style w:type="paragraph" w:styleId="ListParagraph">
    <w:name w:val="List Paragraph"/>
    <w:basedOn w:val="Normal"/>
    <w:uiPriority w:val="34"/>
    <w:qFormat/>
    <w:rsid w:val="00965BEA"/>
    <w:pPr>
      <w:contextualSpacing/>
    </w:pPr>
    <w:rPr>
      <w:rFonts w:ascii="Segoe UI" w:hAnsi="Segoe UI" w:cs="Segoe UI"/>
      <w:lang w:eastAsia="en-GB"/>
    </w:rPr>
  </w:style>
  <w:style w:type="character" w:styleId="Strong">
    <w:name w:val="Strong"/>
    <w:basedOn w:val="DefaultParagraphFont"/>
    <w:uiPriority w:val="22"/>
    <w:qFormat/>
    <w:rsid w:val="00965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com/" TargetMode="External"/><Relationship Id="rId13" Type="http://schemas.openxmlformats.org/officeDocument/2006/relationships/hyperlink" Target="http://it.uefa.org/mediaservices/mediareleases/index.html" TargetMode="External"/><Relationship Id="rId3" Type="http://schemas.openxmlformats.org/officeDocument/2006/relationships/settings" Target="settings.xml"/><Relationship Id="rId7" Type="http://schemas.openxmlformats.org/officeDocument/2006/relationships/hyperlink" Target="https://twitter.com/uefa" TargetMode="External"/><Relationship Id="rId12" Type="http://schemas.openxmlformats.org/officeDocument/2006/relationships/hyperlink" Target="http://es.uefa.org/mediaservices/mediarelease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dia@uefa.ch" TargetMode="External"/><Relationship Id="rId11" Type="http://schemas.openxmlformats.org/officeDocument/2006/relationships/hyperlink" Target="http://de.uefa.org/mediaservices/mediareleases/index.html" TargetMode="External"/><Relationship Id="rId5" Type="http://schemas.openxmlformats.org/officeDocument/2006/relationships/hyperlink" Target="https://uefa.box.com/v/UNL%20" TargetMode="External"/><Relationship Id="rId15" Type="http://schemas.openxmlformats.org/officeDocument/2006/relationships/hyperlink" Target="http://ru.uefa.org/mediaservices/mediareleases/index.html" TargetMode="External"/><Relationship Id="rId10" Type="http://schemas.openxmlformats.org/officeDocument/2006/relationships/hyperlink" Target="http://fr.uefa.org/mediaservices/mediareleases/index.html" TargetMode="External"/><Relationship Id="rId4" Type="http://schemas.openxmlformats.org/officeDocument/2006/relationships/webSettings" Target="webSettings.xml"/><Relationship Id="rId9" Type="http://schemas.openxmlformats.org/officeDocument/2006/relationships/hyperlink" Target="http://en.uefa.org/mediaservices/mediareleases/index.html" TargetMode="External"/><Relationship Id="rId14" Type="http://schemas.openxmlformats.org/officeDocument/2006/relationships/hyperlink" Target="http://pt.uefa.org/mediaservices/mediarele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2017-12-07T15:36:00Z</dcterms:created>
  <dcterms:modified xsi:type="dcterms:W3CDTF">2017-12-07T15:36:00Z</dcterms:modified>
</cp:coreProperties>
</file>