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0C" w:rsidRPr="000A2397" w:rsidRDefault="00660E81" w:rsidP="000A2397">
      <w:pPr>
        <w:jc w:val="center"/>
        <w:rPr>
          <w:rFonts w:ascii="Segoe UI" w:hAnsi="Segoe UI" w:cs="Segoe UI"/>
          <w:b/>
          <w:sz w:val="22"/>
          <w:szCs w:val="22"/>
          <w:u w:val="single"/>
        </w:rPr>
      </w:pPr>
      <w:r w:rsidRPr="000A2397">
        <w:rPr>
          <w:rFonts w:ascii="Segoe UI" w:hAnsi="Segoe UI" w:cs="Segoe UI"/>
          <w:b/>
          <w:sz w:val="22"/>
          <w:szCs w:val="22"/>
          <w:u w:val="single"/>
        </w:rPr>
        <w:t xml:space="preserve">Financial trends identified and documented in </w:t>
      </w:r>
      <w:r w:rsidR="00063A29">
        <w:rPr>
          <w:rFonts w:ascii="Segoe UI" w:hAnsi="Segoe UI" w:cs="Segoe UI"/>
          <w:b/>
          <w:sz w:val="22"/>
          <w:szCs w:val="22"/>
          <w:u w:val="single"/>
        </w:rPr>
        <w:t xml:space="preserve">the </w:t>
      </w:r>
      <w:r w:rsidRPr="000A2397">
        <w:rPr>
          <w:rFonts w:ascii="Segoe UI" w:hAnsi="Segoe UI" w:cs="Segoe UI"/>
          <w:b/>
          <w:sz w:val="22"/>
          <w:szCs w:val="22"/>
          <w:u w:val="single"/>
        </w:rPr>
        <w:t>report</w:t>
      </w:r>
    </w:p>
    <w:p w:rsidR="006A2DE6" w:rsidRPr="006A2DE6" w:rsidRDefault="006A2DE6" w:rsidP="006A2DE6">
      <w:pPr>
        <w:rPr>
          <w:rFonts w:ascii="Segoe UI" w:hAnsi="Segoe UI" w:cs="Segoe UI"/>
          <w:b/>
          <w:sz w:val="22"/>
          <w:szCs w:val="22"/>
        </w:rPr>
      </w:pPr>
    </w:p>
    <w:p w:rsidR="008F34A2" w:rsidRPr="00660E81" w:rsidRDefault="008F34A2" w:rsidP="008F34A2">
      <w:pPr>
        <w:pStyle w:val="ListParagraph"/>
        <w:numPr>
          <w:ilvl w:val="0"/>
          <w:numId w:val="2"/>
        </w:numPr>
        <w:rPr>
          <w:rFonts w:ascii="Segoe UI" w:hAnsi="Segoe UI" w:cs="Segoe UI"/>
          <w:b/>
          <w:sz w:val="22"/>
          <w:szCs w:val="22"/>
        </w:rPr>
      </w:pPr>
      <w:r w:rsidRPr="00660E81">
        <w:rPr>
          <w:rFonts w:ascii="Segoe UI" w:hAnsi="Segoe UI" w:cs="Segoe UI"/>
          <w:b/>
          <w:sz w:val="22"/>
          <w:szCs w:val="22"/>
        </w:rPr>
        <w:t xml:space="preserve">This report shows huge reductions in losses since the introduction of </w:t>
      </w:r>
      <w:r w:rsidR="00063A29">
        <w:rPr>
          <w:rFonts w:ascii="Segoe UI" w:hAnsi="Segoe UI" w:cs="Segoe UI"/>
          <w:b/>
          <w:sz w:val="22"/>
          <w:szCs w:val="22"/>
        </w:rPr>
        <w:t xml:space="preserve">financial </w:t>
      </w:r>
      <w:r w:rsidRPr="00660E81">
        <w:rPr>
          <w:rFonts w:ascii="Segoe UI" w:hAnsi="Segoe UI" w:cs="Segoe UI"/>
          <w:b/>
          <w:sz w:val="22"/>
          <w:szCs w:val="22"/>
        </w:rPr>
        <w:t>fair play</w:t>
      </w:r>
      <w:r w:rsidR="00063A29">
        <w:rPr>
          <w:rFonts w:ascii="Segoe UI" w:hAnsi="Segoe UI" w:cs="Segoe UI"/>
          <w:b/>
          <w:sz w:val="22"/>
          <w:szCs w:val="22"/>
        </w:rPr>
        <w:t>,</w:t>
      </w:r>
      <w:r w:rsidRPr="00660E81">
        <w:rPr>
          <w:rFonts w:ascii="Segoe UI" w:hAnsi="Segoe UI" w:cs="Segoe UI"/>
          <w:b/>
          <w:sz w:val="22"/>
          <w:szCs w:val="22"/>
        </w:rPr>
        <w:t xml:space="preserve"> record stadium and capital investment by clubs</w:t>
      </w:r>
      <w:r w:rsidR="00063A29">
        <w:rPr>
          <w:rFonts w:ascii="Segoe UI" w:hAnsi="Segoe UI" w:cs="Segoe UI"/>
          <w:b/>
          <w:sz w:val="22"/>
          <w:szCs w:val="22"/>
        </w:rPr>
        <w:t>,</w:t>
      </w:r>
      <w:r w:rsidRPr="00660E81">
        <w:rPr>
          <w:rFonts w:ascii="Segoe UI" w:hAnsi="Segoe UI" w:cs="Segoe UI"/>
          <w:b/>
          <w:sz w:val="22"/>
          <w:szCs w:val="22"/>
        </w:rPr>
        <w:t xml:space="preserve"> and club revenue increasing year on year. </w:t>
      </w:r>
    </w:p>
    <w:p w:rsidR="008F34A2" w:rsidRPr="008F34A2" w:rsidRDefault="008F34A2" w:rsidP="008F34A2">
      <w:pPr>
        <w:rPr>
          <w:rFonts w:ascii="Segoe UI" w:hAnsi="Segoe UI" w:cs="Segoe UI"/>
          <w:sz w:val="22"/>
          <w:szCs w:val="22"/>
        </w:rPr>
      </w:pPr>
    </w:p>
    <w:p w:rsidR="008F34A2" w:rsidRPr="008F34A2" w:rsidRDefault="008F34A2" w:rsidP="008F34A2">
      <w:pPr>
        <w:pStyle w:val="ListParagraph"/>
        <w:numPr>
          <w:ilvl w:val="0"/>
          <w:numId w:val="2"/>
        </w:numPr>
        <w:rPr>
          <w:rFonts w:ascii="Segoe UI" w:hAnsi="Segoe UI" w:cs="Segoe UI"/>
          <w:sz w:val="22"/>
          <w:szCs w:val="22"/>
        </w:rPr>
      </w:pPr>
      <w:r w:rsidRPr="008F34A2">
        <w:rPr>
          <w:rFonts w:ascii="Segoe UI" w:hAnsi="Segoe UI" w:cs="Segoe UI"/>
          <w:sz w:val="22"/>
          <w:szCs w:val="22"/>
        </w:rPr>
        <w:t xml:space="preserve">The report also proves beyond doubt that financial fair play has turned around football finance – </w:t>
      </w:r>
      <w:r w:rsidRPr="008F34A2">
        <w:rPr>
          <w:rFonts w:ascii="Segoe UI" w:hAnsi="Segoe UI" w:cs="Segoe UI"/>
          <w:b/>
          <w:sz w:val="22"/>
          <w:szCs w:val="22"/>
        </w:rPr>
        <w:t>aggregate operating profits rose to €1.5bn in the last two years</w:t>
      </w:r>
      <w:r w:rsidR="00063A29">
        <w:rPr>
          <w:rFonts w:ascii="Segoe UI" w:hAnsi="Segoe UI" w:cs="Segoe UI"/>
          <w:b/>
          <w:sz w:val="22"/>
          <w:szCs w:val="22"/>
        </w:rPr>
        <w:t>,</w:t>
      </w:r>
      <w:r w:rsidRPr="008F34A2">
        <w:rPr>
          <w:rFonts w:ascii="Segoe UI" w:hAnsi="Segoe UI" w:cs="Segoe UI"/>
          <w:b/>
          <w:sz w:val="22"/>
          <w:szCs w:val="22"/>
        </w:rPr>
        <w:t xml:space="preserve"> compared </w:t>
      </w:r>
      <w:r w:rsidR="00063A29">
        <w:rPr>
          <w:rFonts w:ascii="Segoe UI" w:hAnsi="Segoe UI" w:cs="Segoe UI"/>
          <w:b/>
          <w:sz w:val="22"/>
          <w:szCs w:val="22"/>
        </w:rPr>
        <w:t>with</w:t>
      </w:r>
      <w:r w:rsidR="00063A29" w:rsidRPr="008F34A2">
        <w:rPr>
          <w:rFonts w:ascii="Segoe UI" w:hAnsi="Segoe UI" w:cs="Segoe UI"/>
          <w:b/>
          <w:sz w:val="22"/>
          <w:szCs w:val="22"/>
        </w:rPr>
        <w:t xml:space="preserve"> </w:t>
      </w:r>
      <w:r w:rsidRPr="008F34A2">
        <w:rPr>
          <w:rFonts w:ascii="Segoe UI" w:hAnsi="Segoe UI" w:cs="Segoe UI"/>
          <w:b/>
          <w:sz w:val="22"/>
          <w:szCs w:val="22"/>
        </w:rPr>
        <w:t>losses of €700m in the two years immediately prior to the introduction of the break-even requirement.</w:t>
      </w:r>
    </w:p>
    <w:p w:rsidR="008F34A2" w:rsidRPr="008F34A2" w:rsidRDefault="008F34A2" w:rsidP="008F34A2">
      <w:pPr>
        <w:pStyle w:val="ListParagraph"/>
        <w:rPr>
          <w:rFonts w:ascii="Segoe UI" w:hAnsi="Segoe UI" w:cs="Segoe UI"/>
          <w:sz w:val="22"/>
          <w:szCs w:val="22"/>
        </w:rPr>
      </w:pPr>
    </w:p>
    <w:p w:rsidR="008F34A2" w:rsidRPr="008F34A2" w:rsidRDefault="008F34A2" w:rsidP="008F34A2">
      <w:pPr>
        <w:pStyle w:val="ListParagraph"/>
        <w:numPr>
          <w:ilvl w:val="0"/>
          <w:numId w:val="2"/>
        </w:numPr>
        <w:rPr>
          <w:rFonts w:ascii="Segoe UI" w:hAnsi="Segoe UI" w:cs="Segoe UI"/>
          <w:sz w:val="22"/>
          <w:szCs w:val="22"/>
        </w:rPr>
      </w:pPr>
      <w:r w:rsidRPr="008F34A2">
        <w:rPr>
          <w:rFonts w:ascii="Segoe UI" w:hAnsi="Segoe UI" w:cs="Segoe UI"/>
          <w:sz w:val="22"/>
          <w:szCs w:val="22"/>
        </w:rPr>
        <w:t>Football club revenues have increased for 20 consecutive years</w:t>
      </w:r>
      <w:r w:rsidR="006A2DE6">
        <w:rPr>
          <w:rFonts w:ascii="Segoe UI" w:hAnsi="Segoe UI" w:cs="Segoe UI"/>
          <w:sz w:val="22"/>
          <w:szCs w:val="22"/>
        </w:rPr>
        <w:t>,</w:t>
      </w:r>
      <w:r w:rsidRPr="008F34A2">
        <w:rPr>
          <w:rFonts w:ascii="Segoe UI" w:hAnsi="Segoe UI" w:cs="Segoe UI"/>
          <w:sz w:val="22"/>
          <w:szCs w:val="22"/>
        </w:rPr>
        <w:t xml:space="preserve"> now reaching almost </w:t>
      </w:r>
      <w:r w:rsidRPr="008F34A2">
        <w:rPr>
          <w:rFonts w:ascii="Segoe UI" w:hAnsi="Segoe UI" w:cs="Segoe UI"/>
          <w:b/>
          <w:sz w:val="22"/>
          <w:szCs w:val="22"/>
        </w:rPr>
        <w:t>€17bn</w:t>
      </w:r>
      <w:r w:rsidR="006A2DE6">
        <w:rPr>
          <w:rFonts w:ascii="Segoe UI" w:hAnsi="Segoe UI" w:cs="Segoe UI"/>
          <w:sz w:val="22"/>
          <w:szCs w:val="22"/>
        </w:rPr>
        <w:t xml:space="preserve"> for clubs in European</w:t>
      </w:r>
      <w:r w:rsidRPr="008F34A2">
        <w:rPr>
          <w:rFonts w:ascii="Segoe UI" w:hAnsi="Segoe UI" w:cs="Segoe UI"/>
          <w:sz w:val="22"/>
          <w:szCs w:val="22"/>
        </w:rPr>
        <w:t xml:space="preserve"> t</w:t>
      </w:r>
      <w:r w:rsidR="006A2DE6">
        <w:rPr>
          <w:rFonts w:ascii="Segoe UI" w:hAnsi="Segoe UI" w:cs="Segoe UI"/>
          <w:sz w:val="22"/>
          <w:szCs w:val="22"/>
        </w:rPr>
        <w:t>op divisions</w:t>
      </w:r>
      <w:r w:rsidRPr="008F34A2">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r>
    </w:p>
    <w:p w:rsidR="008F34A2" w:rsidRPr="008F34A2" w:rsidRDefault="008F34A2" w:rsidP="008F34A2">
      <w:pPr>
        <w:pStyle w:val="ListParagraph"/>
        <w:numPr>
          <w:ilvl w:val="1"/>
          <w:numId w:val="2"/>
        </w:numPr>
        <w:rPr>
          <w:rFonts w:ascii="Segoe UI" w:hAnsi="Segoe UI" w:cs="Segoe UI"/>
          <w:sz w:val="22"/>
          <w:szCs w:val="22"/>
        </w:rPr>
      </w:pPr>
      <w:r w:rsidRPr="008F34A2">
        <w:rPr>
          <w:rFonts w:ascii="Segoe UI" w:hAnsi="Segoe UI" w:cs="Segoe UI"/>
          <w:sz w:val="22"/>
          <w:szCs w:val="22"/>
        </w:rPr>
        <w:t>Club revenues are now more than double the level of 2004 and almost six times the level of 1996.</w:t>
      </w:r>
    </w:p>
    <w:p w:rsidR="008F34A2" w:rsidRPr="008F34A2" w:rsidRDefault="008F34A2" w:rsidP="008F34A2">
      <w:pPr>
        <w:pStyle w:val="ListParagraph"/>
        <w:numPr>
          <w:ilvl w:val="1"/>
          <w:numId w:val="2"/>
        </w:numPr>
        <w:rPr>
          <w:rFonts w:ascii="Segoe UI" w:hAnsi="Segoe UI" w:cs="Segoe UI"/>
          <w:sz w:val="22"/>
          <w:szCs w:val="22"/>
        </w:rPr>
      </w:pPr>
      <w:r w:rsidRPr="008F34A2">
        <w:rPr>
          <w:rFonts w:ascii="Segoe UI" w:hAnsi="Segoe UI" w:cs="Segoe UI"/>
          <w:sz w:val="22"/>
          <w:szCs w:val="22"/>
        </w:rPr>
        <w:t>European club revenues have grown every year over the last two decades at an average growth rate of 9.3%.</w:t>
      </w:r>
    </w:p>
    <w:p w:rsidR="008F34A2" w:rsidRDefault="008F34A2" w:rsidP="008F34A2">
      <w:pPr>
        <w:pStyle w:val="ListParagraph"/>
        <w:numPr>
          <w:ilvl w:val="1"/>
          <w:numId w:val="2"/>
        </w:numPr>
        <w:rPr>
          <w:rFonts w:ascii="Segoe UI" w:hAnsi="Segoe UI" w:cs="Segoe UI"/>
          <w:sz w:val="22"/>
          <w:szCs w:val="22"/>
        </w:rPr>
      </w:pPr>
      <w:r w:rsidRPr="008F34A2">
        <w:rPr>
          <w:rFonts w:ascii="Segoe UI" w:hAnsi="Segoe UI" w:cs="Segoe UI"/>
          <w:sz w:val="22"/>
          <w:szCs w:val="22"/>
        </w:rPr>
        <w:t xml:space="preserve">The achievement of this level and consistency of long-term revenue growth is extraordinary, especially given that this is a mature activity, with many leagues dating back more than a century. It is </w:t>
      </w:r>
      <w:r w:rsidR="00063A29">
        <w:rPr>
          <w:rFonts w:ascii="Segoe UI" w:hAnsi="Segoe UI" w:cs="Segoe UI"/>
          <w:sz w:val="22"/>
          <w:szCs w:val="22"/>
        </w:rPr>
        <w:t xml:space="preserve">a </w:t>
      </w:r>
      <w:r w:rsidRPr="008F34A2">
        <w:rPr>
          <w:rFonts w:ascii="Segoe UI" w:hAnsi="Segoe UI" w:cs="Segoe UI"/>
          <w:sz w:val="22"/>
          <w:szCs w:val="22"/>
        </w:rPr>
        <w:t>testament to the increasing interest in and health of European football.</w:t>
      </w:r>
    </w:p>
    <w:p w:rsidR="00660E81" w:rsidRPr="00DA34B2" w:rsidRDefault="00660E81" w:rsidP="00DA34B2">
      <w:pPr>
        <w:rPr>
          <w:rFonts w:ascii="Segoe UI" w:hAnsi="Segoe UI" w:cs="Segoe UI"/>
          <w:sz w:val="22"/>
          <w:szCs w:val="22"/>
        </w:rPr>
      </w:pPr>
    </w:p>
    <w:p w:rsidR="00660E81" w:rsidRDefault="00660E81" w:rsidP="00660E81">
      <w:pPr>
        <w:pStyle w:val="ListParagraph"/>
        <w:numPr>
          <w:ilvl w:val="0"/>
          <w:numId w:val="2"/>
        </w:numPr>
        <w:rPr>
          <w:rFonts w:ascii="Segoe UI" w:hAnsi="Segoe UI" w:cs="Segoe UI"/>
          <w:sz w:val="22"/>
          <w:szCs w:val="22"/>
        </w:rPr>
      </w:pPr>
      <w:r>
        <w:rPr>
          <w:rFonts w:ascii="Segoe UI" w:hAnsi="Segoe UI" w:cs="Segoe UI"/>
          <w:sz w:val="22"/>
          <w:szCs w:val="22"/>
        </w:rPr>
        <w:t>There has been a significant reduction in the number of loss-making clubs in Europe</w:t>
      </w:r>
      <w:r w:rsidR="00DA34B2">
        <w:rPr>
          <w:rFonts w:ascii="Segoe UI" w:hAnsi="Segoe UI" w:cs="Segoe UI"/>
          <w:sz w:val="22"/>
          <w:szCs w:val="22"/>
        </w:rPr>
        <w:t xml:space="preserve"> since the introduction of </w:t>
      </w:r>
      <w:r w:rsidR="00063A29">
        <w:rPr>
          <w:rFonts w:ascii="Segoe UI" w:hAnsi="Segoe UI" w:cs="Segoe UI"/>
          <w:sz w:val="22"/>
          <w:szCs w:val="22"/>
        </w:rPr>
        <w:t>f</w:t>
      </w:r>
      <w:r w:rsidR="00DA34B2">
        <w:rPr>
          <w:rFonts w:ascii="Segoe UI" w:hAnsi="Segoe UI" w:cs="Segoe UI"/>
          <w:sz w:val="22"/>
          <w:szCs w:val="22"/>
        </w:rPr>
        <w:t xml:space="preserve">inancial </w:t>
      </w:r>
      <w:r w:rsidR="00063A29">
        <w:rPr>
          <w:rFonts w:ascii="Segoe UI" w:hAnsi="Segoe UI" w:cs="Segoe UI"/>
          <w:sz w:val="22"/>
          <w:szCs w:val="22"/>
        </w:rPr>
        <w:t>f</w:t>
      </w:r>
      <w:r w:rsidR="00DA34B2">
        <w:rPr>
          <w:rFonts w:ascii="Segoe UI" w:hAnsi="Segoe UI" w:cs="Segoe UI"/>
          <w:sz w:val="22"/>
          <w:szCs w:val="22"/>
        </w:rPr>
        <w:t xml:space="preserve">air </w:t>
      </w:r>
      <w:r w:rsidR="00063A29">
        <w:rPr>
          <w:rFonts w:ascii="Segoe UI" w:hAnsi="Segoe UI" w:cs="Segoe UI"/>
          <w:sz w:val="22"/>
          <w:szCs w:val="22"/>
        </w:rPr>
        <w:t>p</w:t>
      </w:r>
      <w:r w:rsidR="00DA34B2">
        <w:rPr>
          <w:rFonts w:ascii="Segoe UI" w:hAnsi="Segoe UI" w:cs="Segoe UI"/>
          <w:sz w:val="22"/>
          <w:szCs w:val="22"/>
        </w:rPr>
        <w:t xml:space="preserve">lay, in particular the worst excesses, with the </w:t>
      </w:r>
      <w:r w:rsidRPr="003837FD">
        <w:rPr>
          <w:rFonts w:ascii="Segoe UI" w:hAnsi="Segoe UI" w:cs="Segoe UI"/>
          <w:b/>
          <w:sz w:val="22"/>
          <w:szCs w:val="22"/>
        </w:rPr>
        <w:t>number of clubs with a single-year lo</w:t>
      </w:r>
      <w:r w:rsidR="00DA34B2">
        <w:rPr>
          <w:rFonts w:ascii="Segoe UI" w:hAnsi="Segoe UI" w:cs="Segoe UI"/>
          <w:b/>
          <w:sz w:val="22"/>
          <w:szCs w:val="22"/>
        </w:rPr>
        <w:t>ss of more than €45m falling</w:t>
      </w:r>
      <w:r w:rsidR="00EC785A">
        <w:rPr>
          <w:rFonts w:ascii="Segoe UI" w:hAnsi="Segoe UI" w:cs="Segoe UI"/>
          <w:b/>
          <w:sz w:val="22"/>
          <w:szCs w:val="22"/>
        </w:rPr>
        <w:t xml:space="preserve"> from 11 clubs in FY11 to four</w:t>
      </w:r>
      <w:r w:rsidRPr="003837FD">
        <w:rPr>
          <w:rFonts w:ascii="Segoe UI" w:hAnsi="Segoe UI" w:cs="Segoe UI"/>
          <w:b/>
          <w:sz w:val="22"/>
          <w:szCs w:val="22"/>
        </w:rPr>
        <w:t xml:space="preserve"> clubs in FY15</w:t>
      </w:r>
      <w:r w:rsidR="00DA34B2">
        <w:rPr>
          <w:rFonts w:ascii="Segoe UI" w:hAnsi="Segoe UI" w:cs="Segoe UI"/>
          <w:b/>
          <w:sz w:val="22"/>
          <w:szCs w:val="22"/>
        </w:rPr>
        <w:t>.</w:t>
      </w:r>
    </w:p>
    <w:p w:rsidR="00DA34B2" w:rsidRPr="00DA34B2" w:rsidRDefault="00DA34B2" w:rsidP="00DA34B2">
      <w:pPr>
        <w:rPr>
          <w:rFonts w:ascii="Segoe UI" w:hAnsi="Segoe UI" w:cs="Segoe UI"/>
          <w:sz w:val="22"/>
          <w:szCs w:val="22"/>
        </w:rPr>
      </w:pPr>
    </w:p>
    <w:p w:rsidR="00DA34B2" w:rsidRDefault="00DA34B2" w:rsidP="00DA34B2">
      <w:pPr>
        <w:pStyle w:val="ListParagraph"/>
        <w:numPr>
          <w:ilvl w:val="0"/>
          <w:numId w:val="2"/>
        </w:numPr>
        <w:rPr>
          <w:rFonts w:ascii="Segoe UI" w:hAnsi="Segoe UI" w:cs="Segoe UI"/>
          <w:sz w:val="22"/>
          <w:szCs w:val="22"/>
        </w:rPr>
      </w:pPr>
      <w:r>
        <w:rPr>
          <w:rFonts w:ascii="Segoe UI" w:hAnsi="Segoe UI" w:cs="Segoe UI"/>
          <w:sz w:val="22"/>
          <w:szCs w:val="22"/>
        </w:rPr>
        <w:t>In general, E</w:t>
      </w:r>
      <w:r w:rsidRPr="008F34A2">
        <w:rPr>
          <w:rFonts w:ascii="Segoe UI" w:hAnsi="Segoe UI" w:cs="Segoe UI"/>
          <w:sz w:val="22"/>
          <w:szCs w:val="22"/>
        </w:rPr>
        <w:t>uropean club</w:t>
      </w:r>
      <w:r>
        <w:rPr>
          <w:rFonts w:ascii="Segoe UI" w:hAnsi="Segoe UI" w:cs="Segoe UI"/>
          <w:sz w:val="22"/>
          <w:szCs w:val="22"/>
        </w:rPr>
        <w:t>s are increasingly operating on a financially sustainable basis</w:t>
      </w:r>
      <w:r w:rsidR="00063A29">
        <w:rPr>
          <w:rFonts w:ascii="Segoe UI" w:hAnsi="Segoe UI" w:cs="Segoe UI"/>
          <w:sz w:val="22"/>
          <w:szCs w:val="22"/>
        </w:rPr>
        <w:t>,</w:t>
      </w:r>
      <w:r>
        <w:rPr>
          <w:rFonts w:ascii="Segoe UI" w:hAnsi="Segoe UI" w:cs="Segoe UI"/>
          <w:sz w:val="22"/>
          <w:szCs w:val="22"/>
        </w:rPr>
        <w:t xml:space="preserve"> with aggregate losses slashed by 81% since the full introduction of </w:t>
      </w:r>
      <w:r w:rsidR="00063A29">
        <w:rPr>
          <w:rFonts w:ascii="Segoe UI" w:hAnsi="Segoe UI" w:cs="Segoe UI"/>
          <w:sz w:val="22"/>
          <w:szCs w:val="22"/>
        </w:rPr>
        <w:t>f</w:t>
      </w:r>
      <w:r>
        <w:rPr>
          <w:rFonts w:ascii="Segoe UI" w:hAnsi="Segoe UI" w:cs="Segoe UI"/>
          <w:sz w:val="22"/>
          <w:szCs w:val="22"/>
        </w:rPr>
        <w:t xml:space="preserve">inancial </w:t>
      </w:r>
      <w:r w:rsidR="00063A29">
        <w:rPr>
          <w:rFonts w:ascii="Segoe UI" w:hAnsi="Segoe UI" w:cs="Segoe UI"/>
          <w:sz w:val="22"/>
          <w:szCs w:val="22"/>
        </w:rPr>
        <w:t>f</w:t>
      </w:r>
      <w:r>
        <w:rPr>
          <w:rFonts w:ascii="Segoe UI" w:hAnsi="Segoe UI" w:cs="Segoe UI"/>
          <w:sz w:val="22"/>
          <w:szCs w:val="22"/>
        </w:rPr>
        <w:t xml:space="preserve">air </w:t>
      </w:r>
      <w:r w:rsidR="00063A29">
        <w:rPr>
          <w:rFonts w:ascii="Segoe UI" w:hAnsi="Segoe UI" w:cs="Segoe UI"/>
          <w:sz w:val="22"/>
          <w:szCs w:val="22"/>
        </w:rPr>
        <w:t>p</w:t>
      </w:r>
      <w:r>
        <w:rPr>
          <w:rFonts w:ascii="Segoe UI" w:hAnsi="Segoe UI" w:cs="Segoe UI"/>
          <w:sz w:val="22"/>
          <w:szCs w:val="22"/>
        </w:rPr>
        <w:t>lay from €1.7bn in 2011 to just over €300m in 2015.</w:t>
      </w:r>
    </w:p>
    <w:p w:rsidR="00E9728E" w:rsidRDefault="00E9728E" w:rsidP="00E9728E">
      <w:pPr>
        <w:pStyle w:val="ListParagraph"/>
        <w:rPr>
          <w:rFonts w:ascii="Segoe UI" w:hAnsi="Segoe UI" w:cs="Segoe UI"/>
          <w:sz w:val="22"/>
          <w:szCs w:val="22"/>
        </w:rPr>
      </w:pPr>
    </w:p>
    <w:p w:rsidR="00E9728E" w:rsidRDefault="00E9728E" w:rsidP="00E9728E">
      <w:pPr>
        <w:pStyle w:val="ListParagraph"/>
        <w:numPr>
          <w:ilvl w:val="0"/>
          <w:numId w:val="2"/>
        </w:numPr>
        <w:rPr>
          <w:rFonts w:ascii="Segoe UI" w:hAnsi="Segoe UI" w:cs="Segoe UI"/>
          <w:sz w:val="22"/>
          <w:szCs w:val="22"/>
        </w:rPr>
      </w:pPr>
      <w:r w:rsidRPr="00E9728E">
        <w:rPr>
          <w:rFonts w:ascii="Segoe UI" w:hAnsi="Segoe UI" w:cs="Segoe UI"/>
          <w:sz w:val="22"/>
          <w:szCs w:val="22"/>
        </w:rPr>
        <w:t xml:space="preserve">European club football finances are now stronger – </w:t>
      </w:r>
      <w:r w:rsidR="00063A29">
        <w:rPr>
          <w:rFonts w:ascii="Segoe UI" w:hAnsi="Segoe UI" w:cs="Segoe UI"/>
          <w:sz w:val="22"/>
          <w:szCs w:val="22"/>
        </w:rPr>
        <w:t>n</w:t>
      </w:r>
      <w:r w:rsidRPr="00E9728E">
        <w:rPr>
          <w:rFonts w:ascii="Segoe UI" w:hAnsi="Segoe UI" w:cs="Segoe UI"/>
          <w:sz w:val="22"/>
          <w:szCs w:val="22"/>
        </w:rPr>
        <w:t>et debt as</w:t>
      </w:r>
      <w:r w:rsidR="00063A29">
        <w:rPr>
          <w:rFonts w:ascii="Segoe UI" w:hAnsi="Segoe UI" w:cs="Segoe UI"/>
          <w:sz w:val="22"/>
          <w:szCs w:val="22"/>
        </w:rPr>
        <w:t xml:space="preserve"> a percentage</w:t>
      </w:r>
      <w:r w:rsidRPr="00E9728E">
        <w:rPr>
          <w:rFonts w:ascii="Segoe UI" w:hAnsi="Segoe UI" w:cs="Segoe UI"/>
          <w:sz w:val="22"/>
          <w:szCs w:val="22"/>
        </w:rPr>
        <w:t xml:space="preserve"> of revenue has fallen from</w:t>
      </w:r>
      <w:r>
        <w:rPr>
          <w:rFonts w:ascii="Segoe UI" w:hAnsi="Segoe UI" w:cs="Segoe UI"/>
          <w:sz w:val="22"/>
          <w:szCs w:val="22"/>
        </w:rPr>
        <w:t xml:space="preserve"> </w:t>
      </w:r>
      <w:r w:rsidRPr="00E9728E">
        <w:rPr>
          <w:rFonts w:ascii="Segoe UI" w:hAnsi="Segoe UI" w:cs="Segoe UI"/>
          <w:sz w:val="22"/>
          <w:szCs w:val="22"/>
        </w:rPr>
        <w:t>65% in 2009 to 40% in 2015.</w:t>
      </w:r>
    </w:p>
    <w:p w:rsidR="00E9728E" w:rsidRPr="00E9728E" w:rsidRDefault="00E9728E" w:rsidP="00E9728E">
      <w:pPr>
        <w:pStyle w:val="ListParagraph"/>
        <w:rPr>
          <w:rFonts w:ascii="Segoe UI" w:hAnsi="Segoe UI" w:cs="Segoe UI"/>
          <w:sz w:val="22"/>
          <w:szCs w:val="22"/>
        </w:rPr>
      </w:pPr>
    </w:p>
    <w:p w:rsidR="003837FD" w:rsidRPr="003837FD" w:rsidRDefault="00E9728E" w:rsidP="003837FD">
      <w:pPr>
        <w:pStyle w:val="ListParagraph"/>
        <w:numPr>
          <w:ilvl w:val="0"/>
          <w:numId w:val="2"/>
        </w:numPr>
        <w:rPr>
          <w:rFonts w:ascii="Segoe UI" w:hAnsi="Segoe UI" w:cs="Segoe UI"/>
          <w:sz w:val="22"/>
          <w:szCs w:val="22"/>
        </w:rPr>
      </w:pPr>
      <w:r w:rsidRPr="00E9728E">
        <w:rPr>
          <w:rFonts w:ascii="Segoe UI" w:hAnsi="Segoe UI" w:cs="Segoe UI"/>
          <w:sz w:val="22"/>
          <w:szCs w:val="22"/>
        </w:rPr>
        <w:t xml:space="preserve">European club football is enjoying unprecedented levels of investment – </w:t>
      </w:r>
      <w:r w:rsidRPr="003837FD">
        <w:rPr>
          <w:rFonts w:ascii="Segoe UI" w:hAnsi="Segoe UI" w:cs="Segoe UI"/>
          <w:b/>
          <w:sz w:val="22"/>
          <w:szCs w:val="22"/>
        </w:rPr>
        <w:t>58 new club stadiums between 2014</w:t>
      </w:r>
      <w:r w:rsidR="00063A29">
        <w:rPr>
          <w:rFonts w:ascii="Segoe UI" w:hAnsi="Segoe UI" w:cs="Segoe UI"/>
          <w:b/>
          <w:sz w:val="22"/>
          <w:szCs w:val="22"/>
        </w:rPr>
        <w:t xml:space="preserve"> and </w:t>
      </w:r>
      <w:r w:rsidRPr="003837FD">
        <w:rPr>
          <w:rFonts w:ascii="Segoe UI" w:hAnsi="Segoe UI" w:cs="Segoe UI"/>
          <w:b/>
          <w:sz w:val="22"/>
          <w:szCs w:val="22"/>
        </w:rPr>
        <w:t>2017</w:t>
      </w:r>
      <w:r w:rsidR="00063A29">
        <w:rPr>
          <w:rFonts w:ascii="Segoe UI" w:hAnsi="Segoe UI" w:cs="Segoe UI"/>
          <w:b/>
          <w:sz w:val="22"/>
          <w:szCs w:val="22"/>
        </w:rPr>
        <w:t>,</w:t>
      </w:r>
      <w:r w:rsidRPr="003837FD">
        <w:rPr>
          <w:rFonts w:ascii="Segoe UI" w:hAnsi="Segoe UI" w:cs="Segoe UI"/>
          <w:b/>
          <w:sz w:val="22"/>
          <w:szCs w:val="22"/>
        </w:rPr>
        <w:t xml:space="preserve"> compared </w:t>
      </w:r>
      <w:r w:rsidR="00063A29">
        <w:rPr>
          <w:rFonts w:ascii="Segoe UI" w:hAnsi="Segoe UI" w:cs="Segoe UI"/>
          <w:b/>
          <w:sz w:val="22"/>
          <w:szCs w:val="22"/>
        </w:rPr>
        <w:t>with</w:t>
      </w:r>
      <w:r w:rsidR="00063A29" w:rsidRPr="003837FD">
        <w:rPr>
          <w:rFonts w:ascii="Segoe UI" w:hAnsi="Segoe UI" w:cs="Segoe UI"/>
          <w:b/>
          <w:sz w:val="22"/>
          <w:szCs w:val="22"/>
        </w:rPr>
        <w:t xml:space="preserve"> </w:t>
      </w:r>
      <w:r w:rsidRPr="003837FD">
        <w:rPr>
          <w:rFonts w:ascii="Segoe UI" w:hAnsi="Segoe UI" w:cs="Segoe UI"/>
          <w:b/>
          <w:sz w:val="22"/>
          <w:szCs w:val="22"/>
        </w:rPr>
        <w:t>23 in the previous four-year period</w:t>
      </w:r>
      <w:r w:rsidRPr="00E9728E">
        <w:rPr>
          <w:rFonts w:ascii="Segoe UI" w:hAnsi="Segoe UI" w:cs="Segoe UI"/>
          <w:sz w:val="22"/>
          <w:szCs w:val="22"/>
        </w:rPr>
        <w:t>.</w:t>
      </w:r>
    </w:p>
    <w:p w:rsidR="003837FD" w:rsidRDefault="003837FD" w:rsidP="003837FD">
      <w:pPr>
        <w:pStyle w:val="ListParagraph"/>
        <w:numPr>
          <w:ilvl w:val="1"/>
          <w:numId w:val="2"/>
        </w:numPr>
        <w:rPr>
          <w:rFonts w:ascii="Segoe UI" w:hAnsi="Segoe UI" w:cs="Segoe UI"/>
          <w:sz w:val="22"/>
          <w:szCs w:val="22"/>
        </w:rPr>
      </w:pPr>
      <w:r w:rsidRPr="003837FD">
        <w:rPr>
          <w:rFonts w:ascii="Segoe UI" w:hAnsi="Segoe UI" w:cs="Segoe UI"/>
          <w:b/>
          <w:sz w:val="22"/>
          <w:szCs w:val="22"/>
        </w:rPr>
        <w:t>Clubs invested €996m in new fixed assets in 2015,</w:t>
      </w:r>
      <w:r w:rsidRPr="003837FD">
        <w:rPr>
          <w:rFonts w:ascii="Segoe UI" w:hAnsi="Segoe UI" w:cs="Segoe UI"/>
          <w:sz w:val="22"/>
          <w:szCs w:val="22"/>
        </w:rPr>
        <w:t xml:space="preserve"> mainly in stadium and training facilities and complexes, which compares favourably </w:t>
      </w:r>
      <w:r w:rsidR="00063A29">
        <w:rPr>
          <w:rFonts w:ascii="Segoe UI" w:hAnsi="Segoe UI" w:cs="Segoe UI"/>
          <w:sz w:val="22"/>
          <w:szCs w:val="22"/>
        </w:rPr>
        <w:t>with</w:t>
      </w:r>
      <w:r w:rsidR="00063A29" w:rsidRPr="003837FD">
        <w:rPr>
          <w:rFonts w:ascii="Segoe UI" w:hAnsi="Segoe UI" w:cs="Segoe UI"/>
          <w:sz w:val="22"/>
          <w:szCs w:val="22"/>
        </w:rPr>
        <w:t xml:space="preserve"> </w:t>
      </w:r>
      <w:r w:rsidRPr="003837FD">
        <w:rPr>
          <w:rFonts w:ascii="Segoe UI" w:hAnsi="Segoe UI" w:cs="Segoe UI"/>
          <w:sz w:val="22"/>
          <w:szCs w:val="22"/>
        </w:rPr>
        <w:t>the €670m invested in the previous year. This contributed to the fastest growth (7%) in balance sheet fixed asset value since detailed records started.</w:t>
      </w:r>
    </w:p>
    <w:p w:rsidR="003837FD" w:rsidRDefault="003837FD" w:rsidP="003837FD">
      <w:pPr>
        <w:pStyle w:val="ListParagraph"/>
        <w:numPr>
          <w:ilvl w:val="1"/>
          <w:numId w:val="2"/>
        </w:numPr>
        <w:rPr>
          <w:rFonts w:ascii="Segoe UI" w:hAnsi="Segoe UI" w:cs="Segoe UI"/>
          <w:sz w:val="22"/>
          <w:szCs w:val="22"/>
        </w:rPr>
      </w:pPr>
      <w:r w:rsidRPr="003837FD">
        <w:rPr>
          <w:rFonts w:ascii="Segoe UI" w:hAnsi="Segoe UI" w:cs="Segoe UI"/>
          <w:b/>
          <w:sz w:val="22"/>
          <w:szCs w:val="22"/>
        </w:rPr>
        <w:t xml:space="preserve">Since the introduction of the </w:t>
      </w:r>
      <w:r w:rsidR="00063A29">
        <w:rPr>
          <w:rFonts w:ascii="Segoe UI" w:hAnsi="Segoe UI" w:cs="Segoe UI"/>
          <w:b/>
          <w:sz w:val="22"/>
          <w:szCs w:val="22"/>
        </w:rPr>
        <w:t>financial fair play</w:t>
      </w:r>
      <w:r w:rsidR="00063A29" w:rsidRPr="003837FD">
        <w:rPr>
          <w:rFonts w:ascii="Segoe UI" w:hAnsi="Segoe UI" w:cs="Segoe UI"/>
          <w:b/>
          <w:sz w:val="22"/>
          <w:szCs w:val="22"/>
        </w:rPr>
        <w:t xml:space="preserve"> </w:t>
      </w:r>
      <w:r w:rsidRPr="003837FD">
        <w:rPr>
          <w:rFonts w:ascii="Segoe UI" w:hAnsi="Segoe UI" w:cs="Segoe UI"/>
          <w:b/>
          <w:sz w:val="22"/>
          <w:szCs w:val="22"/>
        </w:rPr>
        <w:t>break-even requirements (2011</w:t>
      </w:r>
      <w:r w:rsidR="00063A29">
        <w:rPr>
          <w:rFonts w:ascii="Segoe UI" w:hAnsi="Segoe UI" w:cs="Segoe UI"/>
          <w:b/>
          <w:sz w:val="22"/>
          <w:szCs w:val="22"/>
        </w:rPr>
        <w:t>–</w:t>
      </w:r>
      <w:r w:rsidRPr="003837FD">
        <w:rPr>
          <w:rFonts w:ascii="Segoe UI" w:hAnsi="Segoe UI" w:cs="Segoe UI"/>
          <w:b/>
          <w:sz w:val="22"/>
          <w:szCs w:val="22"/>
        </w:rPr>
        <w:t>2015), €1.3bn has been added to the balance sheet value of fixed assets</w:t>
      </w:r>
      <w:r w:rsidRPr="003837FD">
        <w:rPr>
          <w:rFonts w:ascii="Segoe UI" w:hAnsi="Segoe UI" w:cs="Segoe UI"/>
          <w:sz w:val="22"/>
          <w:szCs w:val="22"/>
        </w:rPr>
        <w:t>, primarily stadium, training facil</w:t>
      </w:r>
      <w:r w:rsidR="00EC785A">
        <w:rPr>
          <w:rFonts w:ascii="Segoe UI" w:hAnsi="Segoe UI" w:cs="Segoe UI"/>
          <w:sz w:val="22"/>
          <w:szCs w:val="22"/>
        </w:rPr>
        <w:t>ities and other infrastructure</w:t>
      </w:r>
      <w:r w:rsidR="00063A29">
        <w:rPr>
          <w:rFonts w:ascii="Segoe UI" w:hAnsi="Segoe UI" w:cs="Segoe UI"/>
          <w:sz w:val="22"/>
          <w:szCs w:val="22"/>
        </w:rPr>
        <w:t>.</w:t>
      </w:r>
    </w:p>
    <w:p w:rsidR="00660E81" w:rsidRPr="00660E81" w:rsidRDefault="00660E81" w:rsidP="00660E81">
      <w:pPr>
        <w:ind w:left="360"/>
        <w:rPr>
          <w:rFonts w:ascii="Segoe UI" w:hAnsi="Segoe UI" w:cs="Segoe UI"/>
          <w:sz w:val="22"/>
          <w:szCs w:val="22"/>
        </w:rPr>
      </w:pPr>
    </w:p>
    <w:p w:rsidR="008F34A2" w:rsidRPr="00660E81" w:rsidRDefault="00F666A2" w:rsidP="004C730C">
      <w:pPr>
        <w:pStyle w:val="ListParagraph"/>
        <w:numPr>
          <w:ilvl w:val="0"/>
          <w:numId w:val="2"/>
        </w:numPr>
        <w:rPr>
          <w:rFonts w:ascii="Segoe UI" w:hAnsi="Segoe UI" w:cs="Segoe UI"/>
          <w:sz w:val="22"/>
          <w:szCs w:val="22"/>
        </w:rPr>
      </w:pPr>
      <w:r w:rsidRPr="00F666A2">
        <w:rPr>
          <w:rFonts w:ascii="Segoe UI" w:hAnsi="Segoe UI" w:cs="Segoe UI"/>
          <w:sz w:val="22"/>
          <w:szCs w:val="22"/>
        </w:rPr>
        <w:t xml:space="preserve">The ‘Big </w:t>
      </w:r>
      <w:r w:rsidR="006E1D49">
        <w:rPr>
          <w:rFonts w:ascii="Segoe UI" w:hAnsi="Segoe UI" w:cs="Segoe UI"/>
          <w:sz w:val="22"/>
          <w:szCs w:val="22"/>
        </w:rPr>
        <w:t>Four</w:t>
      </w:r>
      <w:r w:rsidR="00063A29">
        <w:rPr>
          <w:rFonts w:ascii="Segoe UI" w:hAnsi="Segoe UI" w:cs="Segoe UI"/>
          <w:sz w:val="22"/>
          <w:szCs w:val="22"/>
        </w:rPr>
        <w:t>’</w:t>
      </w:r>
      <w:r w:rsidRPr="00F666A2">
        <w:rPr>
          <w:rFonts w:ascii="Segoe UI" w:hAnsi="Segoe UI" w:cs="Segoe UI"/>
          <w:sz w:val="22"/>
          <w:szCs w:val="22"/>
        </w:rPr>
        <w:t xml:space="preserve"> leagues (England, Germany, Italy and Spain) were responsible for 81% of overall top-division transfer spending in FY2015, a notable increase in concentration of transfer spending from the previous record of 72% (FY2014).</w:t>
      </w:r>
    </w:p>
    <w:p w:rsidR="00660E81" w:rsidRPr="00660E81" w:rsidRDefault="00660E81" w:rsidP="00660E81">
      <w:pPr>
        <w:pStyle w:val="ListParagraph"/>
        <w:rPr>
          <w:rFonts w:ascii="Segoe UI" w:hAnsi="Segoe UI" w:cs="Segoe UI"/>
          <w:b/>
          <w:sz w:val="22"/>
          <w:szCs w:val="22"/>
        </w:rPr>
      </w:pPr>
    </w:p>
    <w:p w:rsidR="00660E81" w:rsidRDefault="00660E81" w:rsidP="00660E81">
      <w:pPr>
        <w:pStyle w:val="ListParagraph"/>
        <w:numPr>
          <w:ilvl w:val="0"/>
          <w:numId w:val="1"/>
        </w:numPr>
        <w:rPr>
          <w:rFonts w:ascii="Segoe UI" w:hAnsi="Segoe UI" w:cs="Segoe UI"/>
          <w:b/>
          <w:sz w:val="22"/>
          <w:szCs w:val="22"/>
        </w:rPr>
      </w:pPr>
      <w:r>
        <w:rPr>
          <w:rFonts w:ascii="Segoe UI" w:hAnsi="Segoe UI" w:cs="Segoe UI"/>
          <w:b/>
          <w:sz w:val="22"/>
          <w:szCs w:val="22"/>
        </w:rPr>
        <w:t>T</w:t>
      </w:r>
      <w:r w:rsidRPr="004C730C">
        <w:rPr>
          <w:rFonts w:ascii="Segoe UI" w:hAnsi="Segoe UI" w:cs="Segoe UI"/>
          <w:b/>
          <w:sz w:val="22"/>
          <w:szCs w:val="22"/>
        </w:rPr>
        <w:t xml:space="preserve">he 20 top-division English clubs together </w:t>
      </w:r>
      <w:r>
        <w:rPr>
          <w:rFonts w:ascii="Segoe UI" w:hAnsi="Segoe UI" w:cs="Segoe UI"/>
          <w:b/>
          <w:sz w:val="22"/>
          <w:szCs w:val="22"/>
        </w:rPr>
        <w:t xml:space="preserve">again </w:t>
      </w:r>
      <w:r w:rsidRPr="004C730C">
        <w:rPr>
          <w:rFonts w:ascii="Segoe UI" w:hAnsi="Segoe UI" w:cs="Segoe UI"/>
          <w:b/>
          <w:sz w:val="22"/>
          <w:szCs w:val="22"/>
        </w:rPr>
        <w:t>reported more revenue than all 597 clubs combined from the 48 smallest UEFA member associations.</w:t>
      </w:r>
    </w:p>
    <w:p w:rsidR="00660E81" w:rsidRPr="00660E81" w:rsidRDefault="00660E81" w:rsidP="00660E81">
      <w:pPr>
        <w:ind w:left="360"/>
        <w:rPr>
          <w:rFonts w:ascii="Segoe UI" w:hAnsi="Segoe UI" w:cs="Segoe UI"/>
          <w:b/>
          <w:sz w:val="22"/>
          <w:szCs w:val="22"/>
        </w:rPr>
      </w:pPr>
    </w:p>
    <w:p w:rsidR="00660E81" w:rsidRPr="00660E81" w:rsidRDefault="00660E81" w:rsidP="00660E81">
      <w:pPr>
        <w:pStyle w:val="ListParagraph"/>
        <w:numPr>
          <w:ilvl w:val="0"/>
          <w:numId w:val="1"/>
        </w:numPr>
        <w:rPr>
          <w:rFonts w:ascii="Segoe UI" w:hAnsi="Segoe UI" w:cs="Segoe UI"/>
          <w:b/>
          <w:sz w:val="22"/>
          <w:szCs w:val="22"/>
        </w:rPr>
      </w:pPr>
      <w:r w:rsidRPr="00F666A2">
        <w:rPr>
          <w:rFonts w:ascii="Segoe UI" w:hAnsi="Segoe UI" w:cs="Segoe UI"/>
          <w:sz w:val="22"/>
          <w:szCs w:val="22"/>
        </w:rPr>
        <w:t>While revenue continues to rise at record levels, it is also fuelling inequality as the growth of so-called super clubs with global appeal continues.</w:t>
      </w:r>
    </w:p>
    <w:p w:rsidR="00660E81" w:rsidRPr="00F666A2" w:rsidRDefault="00660E81" w:rsidP="00660E81">
      <w:pPr>
        <w:pStyle w:val="ListParagraph"/>
        <w:rPr>
          <w:rFonts w:ascii="Segoe UI" w:hAnsi="Segoe UI" w:cs="Segoe UI"/>
          <w:b/>
          <w:sz w:val="22"/>
          <w:szCs w:val="22"/>
        </w:rPr>
      </w:pPr>
    </w:p>
    <w:p w:rsidR="00F666A2" w:rsidRDefault="00F666A2" w:rsidP="00660E81">
      <w:pPr>
        <w:pStyle w:val="ListParagraph"/>
        <w:numPr>
          <w:ilvl w:val="0"/>
          <w:numId w:val="1"/>
        </w:numPr>
        <w:ind w:left="714" w:hanging="357"/>
        <w:rPr>
          <w:rFonts w:ascii="Segoe UI" w:hAnsi="Segoe UI" w:cs="Segoe UI"/>
          <w:b/>
          <w:sz w:val="22"/>
          <w:szCs w:val="22"/>
        </w:rPr>
      </w:pPr>
      <w:r w:rsidRPr="00F666A2">
        <w:rPr>
          <w:rFonts w:ascii="Segoe UI" w:hAnsi="Segoe UI" w:cs="Segoe UI"/>
          <w:b/>
          <w:sz w:val="22"/>
          <w:szCs w:val="22"/>
        </w:rPr>
        <w:t xml:space="preserve">The top 15 </w:t>
      </w:r>
      <w:r w:rsidR="00660E81">
        <w:rPr>
          <w:rFonts w:ascii="Segoe UI" w:hAnsi="Segoe UI" w:cs="Segoe UI"/>
          <w:b/>
          <w:sz w:val="22"/>
          <w:szCs w:val="22"/>
        </w:rPr>
        <w:t xml:space="preserve">European </w:t>
      </w:r>
      <w:r w:rsidRPr="00F666A2">
        <w:rPr>
          <w:rFonts w:ascii="Segoe UI" w:hAnsi="Segoe UI" w:cs="Segoe UI"/>
          <w:b/>
          <w:sz w:val="22"/>
          <w:szCs w:val="22"/>
        </w:rPr>
        <w:t xml:space="preserve">clubs have added a remarkable €1,514m in sponsorship and commercial revenues in the last six years (148% increase) compared </w:t>
      </w:r>
      <w:r w:rsidR="006E1D49">
        <w:rPr>
          <w:rFonts w:ascii="Segoe UI" w:hAnsi="Segoe UI" w:cs="Segoe UI"/>
          <w:b/>
          <w:sz w:val="22"/>
          <w:szCs w:val="22"/>
        </w:rPr>
        <w:t>with</w:t>
      </w:r>
      <w:r w:rsidR="006E1D49" w:rsidRPr="00F666A2">
        <w:rPr>
          <w:rFonts w:ascii="Segoe UI" w:hAnsi="Segoe UI" w:cs="Segoe UI"/>
          <w:b/>
          <w:sz w:val="22"/>
          <w:szCs w:val="22"/>
        </w:rPr>
        <w:t xml:space="preserve"> </w:t>
      </w:r>
      <w:r w:rsidRPr="00F666A2">
        <w:rPr>
          <w:rFonts w:ascii="Segoe UI" w:hAnsi="Segoe UI" w:cs="Segoe UI"/>
          <w:b/>
          <w:sz w:val="22"/>
          <w:szCs w:val="22"/>
        </w:rPr>
        <w:t>the €453m added by the rest of Europe’s 700 or so top</w:t>
      </w:r>
      <w:r w:rsidR="006E1D49">
        <w:rPr>
          <w:rFonts w:ascii="Segoe UI" w:hAnsi="Segoe UI" w:cs="Segoe UI"/>
          <w:b/>
          <w:sz w:val="22"/>
          <w:szCs w:val="22"/>
        </w:rPr>
        <w:t>-</w:t>
      </w:r>
      <w:r w:rsidRPr="00F666A2">
        <w:rPr>
          <w:rFonts w:ascii="Segoe UI" w:hAnsi="Segoe UI" w:cs="Segoe UI"/>
          <w:b/>
          <w:sz w:val="22"/>
          <w:szCs w:val="22"/>
        </w:rPr>
        <w:t>division clubs (17% increase).</w:t>
      </w:r>
    </w:p>
    <w:p w:rsidR="00F67536" w:rsidRDefault="00F666A2" w:rsidP="00F67536">
      <w:pPr>
        <w:pStyle w:val="ListParagraph"/>
        <w:numPr>
          <w:ilvl w:val="1"/>
          <w:numId w:val="1"/>
        </w:numPr>
        <w:rPr>
          <w:rFonts w:ascii="Segoe UI" w:hAnsi="Segoe UI" w:cs="Segoe UI"/>
          <w:sz w:val="22"/>
          <w:szCs w:val="22"/>
        </w:rPr>
      </w:pPr>
      <w:r w:rsidRPr="00F666A2">
        <w:rPr>
          <w:rFonts w:ascii="Segoe UI" w:hAnsi="Segoe UI" w:cs="Segoe UI"/>
          <w:sz w:val="22"/>
          <w:szCs w:val="22"/>
        </w:rPr>
        <w:t>By contrast, revenue growth from all other sources, including TV, UEFA prize money, gate receipts and other income, has grown at a similar rate for these top 15 clubs (45% growth) as the rest of Europe’s 700 or so clubs (37% growth)</w:t>
      </w:r>
      <w:r w:rsidR="006E1D49">
        <w:rPr>
          <w:rFonts w:ascii="Segoe UI" w:hAnsi="Segoe UI" w:cs="Segoe UI"/>
          <w:sz w:val="22"/>
          <w:szCs w:val="22"/>
        </w:rPr>
        <w:t>.</w:t>
      </w:r>
    </w:p>
    <w:p w:rsidR="00F67536" w:rsidRDefault="00F67536" w:rsidP="00F67536">
      <w:pPr>
        <w:pStyle w:val="ListParagraph"/>
        <w:numPr>
          <w:ilvl w:val="1"/>
          <w:numId w:val="1"/>
        </w:numPr>
        <w:rPr>
          <w:rFonts w:ascii="Segoe UI" w:hAnsi="Segoe UI" w:cs="Segoe UI"/>
          <w:sz w:val="22"/>
          <w:szCs w:val="22"/>
        </w:rPr>
      </w:pPr>
      <w:r w:rsidRPr="00F67536">
        <w:rPr>
          <w:rFonts w:ascii="Segoe UI" w:hAnsi="Segoe UI" w:cs="Segoe UI"/>
          <w:sz w:val="22"/>
          <w:szCs w:val="22"/>
        </w:rPr>
        <w:t xml:space="preserve">For the top </w:t>
      </w:r>
      <w:r w:rsidR="006E1D49">
        <w:rPr>
          <w:rFonts w:ascii="Segoe UI" w:hAnsi="Segoe UI" w:cs="Segoe UI"/>
          <w:sz w:val="22"/>
          <w:szCs w:val="22"/>
        </w:rPr>
        <w:t>nine</w:t>
      </w:r>
      <w:r w:rsidRPr="00F67536">
        <w:rPr>
          <w:rFonts w:ascii="Segoe UI" w:hAnsi="Segoe UI" w:cs="Segoe UI"/>
          <w:sz w:val="22"/>
          <w:szCs w:val="22"/>
        </w:rPr>
        <w:t xml:space="preserve"> clubs</w:t>
      </w:r>
      <w:r w:rsidR="00EC785A">
        <w:rPr>
          <w:rFonts w:ascii="Segoe UI" w:hAnsi="Segoe UI" w:cs="Segoe UI"/>
          <w:sz w:val="22"/>
          <w:szCs w:val="22"/>
        </w:rPr>
        <w:t>,</w:t>
      </w:r>
      <w:r w:rsidRPr="00F67536">
        <w:rPr>
          <w:rFonts w:ascii="Segoe UI" w:hAnsi="Segoe UI" w:cs="Segoe UI"/>
          <w:sz w:val="22"/>
          <w:szCs w:val="22"/>
        </w:rPr>
        <w:t xml:space="preserve"> commercial and sponsor revenues now dwarf TV money (1.6x). Across the remaining top 30 clubs</w:t>
      </w:r>
      <w:r w:rsidR="006E1D49">
        <w:rPr>
          <w:rFonts w:ascii="Segoe UI" w:hAnsi="Segoe UI" w:cs="Segoe UI"/>
          <w:sz w:val="22"/>
          <w:szCs w:val="22"/>
        </w:rPr>
        <w:t>,</w:t>
      </w:r>
      <w:r w:rsidRPr="00F67536">
        <w:rPr>
          <w:rFonts w:ascii="Segoe UI" w:hAnsi="Segoe UI" w:cs="Segoe UI"/>
          <w:sz w:val="22"/>
          <w:szCs w:val="22"/>
        </w:rPr>
        <w:t xml:space="preserve"> </w:t>
      </w:r>
      <w:r w:rsidR="005A20C8">
        <w:rPr>
          <w:rFonts w:ascii="Segoe UI" w:hAnsi="Segoe UI" w:cs="Segoe UI"/>
          <w:sz w:val="22"/>
          <w:szCs w:val="22"/>
        </w:rPr>
        <w:t>commercial and sponsor revenues still lag behind TV money</w:t>
      </w:r>
      <w:r w:rsidRPr="00F67536">
        <w:rPr>
          <w:rFonts w:ascii="Segoe UI" w:hAnsi="Segoe UI" w:cs="Segoe UI"/>
          <w:sz w:val="22"/>
          <w:szCs w:val="22"/>
        </w:rPr>
        <w:t xml:space="preserve"> (0.7x)</w:t>
      </w:r>
      <w:r w:rsidR="006E1D49">
        <w:rPr>
          <w:rFonts w:ascii="Segoe UI" w:hAnsi="Segoe UI" w:cs="Segoe UI"/>
          <w:sz w:val="22"/>
          <w:szCs w:val="22"/>
        </w:rPr>
        <w:t>.</w:t>
      </w:r>
    </w:p>
    <w:p w:rsidR="00F67536" w:rsidRDefault="00F67536" w:rsidP="00F67536">
      <w:pPr>
        <w:ind w:left="1080"/>
        <w:rPr>
          <w:rFonts w:ascii="Segoe UI" w:hAnsi="Segoe UI" w:cs="Segoe UI"/>
          <w:b/>
          <w:i/>
          <w:sz w:val="22"/>
          <w:szCs w:val="22"/>
        </w:rPr>
      </w:pPr>
    </w:p>
    <w:p w:rsidR="004C730C" w:rsidRDefault="00F67536" w:rsidP="00660E81">
      <w:pPr>
        <w:ind w:left="357"/>
        <w:rPr>
          <w:rFonts w:ascii="Segoe UI" w:hAnsi="Segoe UI" w:cs="Segoe UI"/>
          <w:i/>
          <w:sz w:val="22"/>
          <w:szCs w:val="22"/>
        </w:rPr>
      </w:pPr>
      <w:r>
        <w:rPr>
          <w:rFonts w:ascii="Segoe UI" w:hAnsi="Segoe UI" w:cs="Segoe UI"/>
          <w:b/>
          <w:i/>
          <w:sz w:val="22"/>
          <w:szCs w:val="22"/>
        </w:rPr>
        <w:t>(</w:t>
      </w:r>
      <w:r w:rsidR="004C730C" w:rsidRPr="00F67536">
        <w:rPr>
          <w:rFonts w:ascii="Segoe UI" w:hAnsi="Segoe UI" w:cs="Segoe UI"/>
          <w:b/>
          <w:i/>
          <w:sz w:val="22"/>
          <w:szCs w:val="22"/>
        </w:rPr>
        <w:t xml:space="preserve">It is important to note that such growing inequality in commercial revenue is not a consequence of financial fair play but the result of increased globalisation, increasing commercial exploitation of football to generate revenue, and the leveraging </w:t>
      </w:r>
      <w:r w:rsidR="006E1D49">
        <w:rPr>
          <w:rFonts w:ascii="Segoe UI" w:hAnsi="Segoe UI" w:cs="Segoe UI"/>
          <w:b/>
          <w:i/>
          <w:sz w:val="22"/>
          <w:szCs w:val="22"/>
        </w:rPr>
        <w:t>by</w:t>
      </w:r>
      <w:r w:rsidR="006E1D49" w:rsidRPr="00F67536">
        <w:rPr>
          <w:rFonts w:ascii="Segoe UI" w:hAnsi="Segoe UI" w:cs="Segoe UI"/>
          <w:b/>
          <w:i/>
          <w:sz w:val="22"/>
          <w:szCs w:val="22"/>
        </w:rPr>
        <w:t xml:space="preserve"> </w:t>
      </w:r>
      <w:r w:rsidR="004C730C" w:rsidRPr="00F67536">
        <w:rPr>
          <w:rFonts w:ascii="Segoe UI" w:hAnsi="Segoe UI" w:cs="Segoe UI"/>
          <w:b/>
          <w:i/>
          <w:sz w:val="22"/>
          <w:szCs w:val="22"/>
        </w:rPr>
        <w:t xml:space="preserve">clubs of their global appeal. </w:t>
      </w:r>
      <w:r w:rsidR="004C730C" w:rsidRPr="00F67536">
        <w:rPr>
          <w:rFonts w:ascii="Segoe UI" w:hAnsi="Segoe UI" w:cs="Segoe UI"/>
          <w:i/>
          <w:sz w:val="22"/>
          <w:szCs w:val="22"/>
        </w:rPr>
        <w:t>For the dozen or so ‘global super clubs’, sponsorship and commercial departments are expanding and sponsorship and commercial partnerships are being sliced and segmented into an ever larger and more lucrative number of deals. This is enabling those ‘global super clubs’ to monetise their huge supporter bases, which extend across the globe and which can be accessed far better through social media than was ever possible through traditional marketing in the past. These supporter bases are growing inexorably, powered by star players, overseas tours and regular participation in the UEFA Champions League group stage</w:t>
      </w:r>
      <w:r>
        <w:rPr>
          <w:rFonts w:ascii="Segoe UI" w:hAnsi="Segoe UI" w:cs="Segoe UI"/>
          <w:i/>
          <w:sz w:val="22"/>
          <w:szCs w:val="22"/>
        </w:rPr>
        <w:t>)</w:t>
      </w:r>
      <w:r w:rsidR="006E1D49">
        <w:rPr>
          <w:rFonts w:ascii="Segoe UI" w:hAnsi="Segoe UI" w:cs="Segoe UI"/>
          <w:i/>
          <w:sz w:val="22"/>
          <w:szCs w:val="22"/>
        </w:rPr>
        <w:t>.</w:t>
      </w:r>
    </w:p>
    <w:p w:rsidR="000A2397" w:rsidRPr="000A2397" w:rsidRDefault="000A2397" w:rsidP="00660E81">
      <w:pPr>
        <w:ind w:left="357"/>
        <w:rPr>
          <w:rFonts w:ascii="Segoe UI" w:hAnsi="Segoe UI" w:cs="Segoe UI"/>
          <w:sz w:val="22"/>
          <w:szCs w:val="22"/>
        </w:rPr>
      </w:pPr>
    </w:p>
    <w:p w:rsidR="005A74A7" w:rsidRPr="000A2397" w:rsidRDefault="000A2397" w:rsidP="000A2397">
      <w:pPr>
        <w:jc w:val="center"/>
        <w:rPr>
          <w:rFonts w:ascii="Segoe UI" w:hAnsi="Segoe UI" w:cs="Segoe UI"/>
          <w:b/>
          <w:sz w:val="22"/>
          <w:szCs w:val="22"/>
          <w:u w:val="single"/>
        </w:rPr>
      </w:pPr>
      <w:r w:rsidRPr="000A2397">
        <w:rPr>
          <w:rFonts w:ascii="Segoe UI" w:hAnsi="Segoe UI" w:cs="Segoe UI"/>
          <w:b/>
          <w:sz w:val="22"/>
          <w:szCs w:val="22"/>
          <w:u w:val="single"/>
        </w:rPr>
        <w:t>O</w:t>
      </w:r>
      <w:r w:rsidR="00660E81" w:rsidRPr="000A2397">
        <w:rPr>
          <w:rFonts w:ascii="Segoe UI" w:hAnsi="Segoe UI" w:cs="Segoe UI"/>
          <w:b/>
          <w:sz w:val="22"/>
          <w:szCs w:val="22"/>
          <w:u w:val="single"/>
        </w:rPr>
        <w:t>ther t</w:t>
      </w:r>
      <w:r w:rsidR="000355FC" w:rsidRPr="000A2397">
        <w:rPr>
          <w:rFonts w:ascii="Segoe UI" w:hAnsi="Segoe UI" w:cs="Segoe UI"/>
          <w:b/>
          <w:sz w:val="22"/>
          <w:szCs w:val="22"/>
          <w:u w:val="single"/>
        </w:rPr>
        <w:t xml:space="preserve">rends identified and documented in </w:t>
      </w:r>
      <w:r w:rsidR="006E1D49">
        <w:rPr>
          <w:rFonts w:ascii="Segoe UI" w:hAnsi="Segoe UI" w:cs="Segoe UI"/>
          <w:b/>
          <w:sz w:val="22"/>
          <w:szCs w:val="22"/>
          <w:u w:val="single"/>
        </w:rPr>
        <w:t xml:space="preserve">the </w:t>
      </w:r>
      <w:r w:rsidR="000355FC" w:rsidRPr="000A2397">
        <w:rPr>
          <w:rFonts w:ascii="Segoe UI" w:hAnsi="Segoe UI" w:cs="Segoe UI"/>
          <w:b/>
          <w:sz w:val="22"/>
          <w:szCs w:val="22"/>
          <w:u w:val="single"/>
        </w:rPr>
        <w:t>report</w:t>
      </w:r>
    </w:p>
    <w:p w:rsidR="000355FC" w:rsidRDefault="000355FC" w:rsidP="000355FC">
      <w:pPr>
        <w:rPr>
          <w:rFonts w:ascii="Segoe UI" w:hAnsi="Segoe UI" w:cs="Segoe UI"/>
          <w:sz w:val="22"/>
          <w:szCs w:val="22"/>
        </w:rPr>
      </w:pPr>
    </w:p>
    <w:p w:rsidR="00EB6ABD" w:rsidRDefault="00EB6ABD" w:rsidP="000355FC">
      <w:pPr>
        <w:rPr>
          <w:rFonts w:ascii="Segoe UI" w:hAnsi="Segoe UI" w:cs="Segoe UI"/>
          <w:sz w:val="22"/>
          <w:szCs w:val="22"/>
        </w:rPr>
      </w:pPr>
      <w:r w:rsidRPr="00EB6ABD">
        <w:rPr>
          <w:rFonts w:ascii="Segoe UI" w:hAnsi="Segoe UI" w:cs="Segoe UI"/>
          <w:i/>
          <w:sz w:val="22"/>
          <w:szCs w:val="22"/>
        </w:rPr>
        <w:t>Governance and structuring of domestic football</w:t>
      </w:r>
    </w:p>
    <w:p w:rsidR="00EB6ABD" w:rsidRPr="00EB6ABD" w:rsidRDefault="00EB6ABD" w:rsidP="00EB6ABD">
      <w:pPr>
        <w:pStyle w:val="ListParagraph"/>
        <w:numPr>
          <w:ilvl w:val="0"/>
          <w:numId w:val="1"/>
        </w:numPr>
        <w:rPr>
          <w:rFonts w:ascii="Segoe UI" w:hAnsi="Segoe UI" w:cs="Segoe UI"/>
          <w:sz w:val="22"/>
          <w:szCs w:val="22"/>
        </w:rPr>
      </w:pPr>
      <w:r w:rsidRPr="00EB6ABD">
        <w:rPr>
          <w:rFonts w:ascii="Segoe UI" w:hAnsi="Segoe UI" w:cs="Segoe UI"/>
          <w:sz w:val="22"/>
          <w:szCs w:val="22"/>
        </w:rPr>
        <w:t>Loan restrictions are increasingly popular (adopted by 15 leagues) as a means of preventing player hoarding and/or protecting the integrity of competitions</w:t>
      </w:r>
      <w:r w:rsidR="006E1D49">
        <w:rPr>
          <w:rFonts w:ascii="Segoe UI" w:hAnsi="Segoe UI" w:cs="Segoe UI"/>
          <w:sz w:val="22"/>
          <w:szCs w:val="22"/>
        </w:rPr>
        <w:t>.</w:t>
      </w:r>
    </w:p>
    <w:p w:rsidR="00EB6ABD" w:rsidRPr="00EB6ABD" w:rsidRDefault="00EB6ABD" w:rsidP="00EB6ABD">
      <w:pPr>
        <w:pStyle w:val="ListParagraph"/>
        <w:numPr>
          <w:ilvl w:val="0"/>
          <w:numId w:val="1"/>
        </w:numPr>
        <w:rPr>
          <w:rFonts w:ascii="Segoe UI" w:hAnsi="Segoe UI" w:cs="Segoe UI"/>
          <w:sz w:val="22"/>
          <w:szCs w:val="22"/>
        </w:rPr>
      </w:pPr>
      <w:r w:rsidRPr="00EB6ABD">
        <w:rPr>
          <w:rFonts w:ascii="Segoe UI" w:hAnsi="Segoe UI" w:cs="Segoe UI"/>
          <w:sz w:val="22"/>
          <w:szCs w:val="22"/>
        </w:rPr>
        <w:t>Squad limits are now in common use across Europe (28 countries) but there is no common approach (15 variations identified)</w:t>
      </w:r>
      <w:r w:rsidR="006E1D49">
        <w:rPr>
          <w:rFonts w:ascii="Segoe UI" w:hAnsi="Segoe UI" w:cs="Segoe UI"/>
          <w:sz w:val="22"/>
          <w:szCs w:val="22"/>
        </w:rPr>
        <w:t>.</w:t>
      </w:r>
    </w:p>
    <w:p w:rsidR="00EB6ABD" w:rsidRDefault="00EB6ABD" w:rsidP="00EB6ABD">
      <w:pPr>
        <w:pStyle w:val="ListParagraph"/>
        <w:numPr>
          <w:ilvl w:val="0"/>
          <w:numId w:val="1"/>
        </w:numPr>
        <w:rPr>
          <w:rFonts w:ascii="Segoe UI" w:hAnsi="Segoe UI" w:cs="Segoe UI"/>
          <w:sz w:val="22"/>
          <w:szCs w:val="22"/>
        </w:rPr>
      </w:pPr>
      <w:r>
        <w:rPr>
          <w:rFonts w:ascii="Segoe UI" w:hAnsi="Segoe UI" w:cs="Segoe UI"/>
          <w:sz w:val="22"/>
          <w:szCs w:val="22"/>
        </w:rPr>
        <w:t xml:space="preserve">52 national cups no longer use replays after drawn matches, with only England, </w:t>
      </w:r>
      <w:r w:rsidR="006E1D49">
        <w:rPr>
          <w:rFonts w:ascii="Segoe UI" w:hAnsi="Segoe UI" w:cs="Segoe UI"/>
          <w:sz w:val="22"/>
          <w:szCs w:val="22"/>
        </w:rPr>
        <w:t xml:space="preserve">the </w:t>
      </w:r>
      <w:r>
        <w:rPr>
          <w:rFonts w:ascii="Segoe UI" w:hAnsi="Segoe UI" w:cs="Segoe UI"/>
          <w:sz w:val="22"/>
          <w:szCs w:val="22"/>
        </w:rPr>
        <w:t>Republic of Ireland and Scotland still using them</w:t>
      </w:r>
      <w:r w:rsidR="006E1D49">
        <w:rPr>
          <w:rFonts w:ascii="Segoe UI" w:hAnsi="Segoe UI" w:cs="Segoe UI"/>
          <w:sz w:val="22"/>
          <w:szCs w:val="22"/>
        </w:rPr>
        <w:t>.</w:t>
      </w:r>
    </w:p>
    <w:p w:rsidR="00EB6ABD" w:rsidRDefault="00EB6ABD" w:rsidP="00EB6ABD">
      <w:pPr>
        <w:pStyle w:val="ListParagraph"/>
        <w:numPr>
          <w:ilvl w:val="0"/>
          <w:numId w:val="1"/>
        </w:numPr>
        <w:rPr>
          <w:rFonts w:ascii="Segoe UI" w:hAnsi="Segoe UI" w:cs="Segoe UI"/>
          <w:sz w:val="22"/>
          <w:szCs w:val="22"/>
        </w:rPr>
      </w:pPr>
      <w:r>
        <w:rPr>
          <w:rFonts w:ascii="Segoe UI" w:hAnsi="Segoe UI" w:cs="Segoe UI"/>
          <w:sz w:val="22"/>
          <w:szCs w:val="22"/>
        </w:rPr>
        <w:t xml:space="preserve">In </w:t>
      </w:r>
      <w:r w:rsidR="00980D62">
        <w:rPr>
          <w:rFonts w:ascii="Segoe UI" w:hAnsi="Segoe UI" w:cs="Segoe UI"/>
          <w:sz w:val="22"/>
          <w:szCs w:val="22"/>
        </w:rPr>
        <w:t>the face of fixture pressure, only</w:t>
      </w:r>
      <w:r>
        <w:rPr>
          <w:rFonts w:ascii="Segoe UI" w:hAnsi="Segoe UI" w:cs="Segoe UI"/>
          <w:sz w:val="22"/>
          <w:szCs w:val="22"/>
        </w:rPr>
        <w:t xml:space="preserve"> 11 of the 55 </w:t>
      </w:r>
      <w:r w:rsidR="006E1D49" w:rsidRPr="00940ED8">
        <w:rPr>
          <w:rFonts w:ascii="Segoe UI" w:hAnsi="Segoe UI" w:cs="Segoe UI"/>
          <w:sz w:val="22"/>
          <w:szCs w:val="22"/>
        </w:rPr>
        <w:t>UEFA member associations</w:t>
      </w:r>
      <w:r>
        <w:rPr>
          <w:rFonts w:ascii="Segoe UI" w:hAnsi="Segoe UI" w:cs="Segoe UI"/>
          <w:sz w:val="22"/>
          <w:szCs w:val="22"/>
        </w:rPr>
        <w:t xml:space="preserve"> have a second national cup competition</w:t>
      </w:r>
      <w:r w:rsidR="006E1D49">
        <w:rPr>
          <w:rFonts w:ascii="Segoe UI" w:hAnsi="Segoe UI" w:cs="Segoe UI"/>
          <w:sz w:val="22"/>
          <w:szCs w:val="22"/>
        </w:rPr>
        <w:t>.</w:t>
      </w:r>
    </w:p>
    <w:p w:rsidR="00EB6ABD" w:rsidRPr="00EB6ABD" w:rsidRDefault="00EB6ABD" w:rsidP="00EB6ABD">
      <w:pPr>
        <w:pStyle w:val="ListParagraph"/>
        <w:numPr>
          <w:ilvl w:val="0"/>
          <w:numId w:val="1"/>
        </w:numPr>
        <w:rPr>
          <w:rFonts w:ascii="Segoe UI" w:hAnsi="Segoe UI" w:cs="Segoe UI"/>
          <w:sz w:val="22"/>
          <w:szCs w:val="22"/>
        </w:rPr>
      </w:pPr>
      <w:r w:rsidRPr="00EB6ABD">
        <w:rPr>
          <w:rFonts w:ascii="Segoe UI" w:hAnsi="Segoe UI" w:cs="Segoe UI"/>
          <w:sz w:val="22"/>
          <w:szCs w:val="22"/>
        </w:rPr>
        <w:t>Specific locally trained player rules (23 countries) and nationality-based rules (38 countries) are widespread, with many variations</w:t>
      </w:r>
      <w:r w:rsidR="006E1D49">
        <w:rPr>
          <w:rFonts w:ascii="Segoe UI" w:hAnsi="Segoe UI" w:cs="Segoe UI"/>
          <w:sz w:val="22"/>
          <w:szCs w:val="22"/>
        </w:rPr>
        <w:t>.</w:t>
      </w:r>
    </w:p>
    <w:p w:rsidR="00EB6ABD" w:rsidRDefault="00EB6ABD" w:rsidP="00980D62">
      <w:pPr>
        <w:rPr>
          <w:rFonts w:ascii="Segoe UI" w:hAnsi="Segoe UI" w:cs="Segoe UI"/>
          <w:sz w:val="22"/>
          <w:szCs w:val="22"/>
        </w:rPr>
      </w:pPr>
    </w:p>
    <w:p w:rsidR="00980D62" w:rsidRPr="00980D62" w:rsidRDefault="00980D62" w:rsidP="00980D62">
      <w:pPr>
        <w:rPr>
          <w:rFonts w:ascii="Segoe UI" w:hAnsi="Segoe UI" w:cs="Segoe UI"/>
          <w:i/>
          <w:sz w:val="22"/>
          <w:szCs w:val="22"/>
        </w:rPr>
      </w:pPr>
      <w:r w:rsidRPr="00980D62">
        <w:rPr>
          <w:rFonts w:ascii="Segoe UI" w:hAnsi="Segoe UI" w:cs="Segoe UI"/>
          <w:i/>
          <w:sz w:val="22"/>
          <w:szCs w:val="22"/>
        </w:rPr>
        <w:t>Coaches and players</w:t>
      </w:r>
    </w:p>
    <w:p w:rsidR="00980D62" w:rsidRDefault="00980D62" w:rsidP="00980D62">
      <w:pPr>
        <w:pStyle w:val="ListParagraph"/>
        <w:numPr>
          <w:ilvl w:val="0"/>
          <w:numId w:val="3"/>
        </w:numPr>
        <w:rPr>
          <w:rFonts w:ascii="Segoe UI" w:hAnsi="Segoe UI" w:cs="Segoe UI"/>
          <w:sz w:val="22"/>
          <w:szCs w:val="22"/>
        </w:rPr>
      </w:pPr>
      <w:r>
        <w:rPr>
          <w:rFonts w:ascii="Segoe UI" w:hAnsi="Segoe UI" w:cs="Segoe UI"/>
          <w:sz w:val="22"/>
          <w:szCs w:val="22"/>
        </w:rPr>
        <w:t>At least one head coach was replaced in every one of the 60 European leagues analysed in the report</w:t>
      </w:r>
      <w:r w:rsidR="00315BE2">
        <w:rPr>
          <w:rFonts w:ascii="Segoe UI" w:hAnsi="Segoe UI" w:cs="Segoe UI"/>
          <w:sz w:val="22"/>
          <w:szCs w:val="22"/>
        </w:rPr>
        <w:t>.</w:t>
      </w:r>
    </w:p>
    <w:p w:rsidR="00980D62" w:rsidRDefault="00832D4A" w:rsidP="00980D62">
      <w:pPr>
        <w:pStyle w:val="ListParagraph"/>
        <w:numPr>
          <w:ilvl w:val="0"/>
          <w:numId w:val="3"/>
        </w:numPr>
        <w:rPr>
          <w:rFonts w:ascii="Segoe UI" w:hAnsi="Segoe UI" w:cs="Segoe UI"/>
          <w:sz w:val="22"/>
          <w:szCs w:val="22"/>
        </w:rPr>
      </w:pPr>
      <w:r>
        <w:rPr>
          <w:rFonts w:ascii="Segoe UI" w:hAnsi="Segoe UI" w:cs="Segoe UI"/>
          <w:sz w:val="22"/>
          <w:szCs w:val="22"/>
        </w:rPr>
        <w:lastRenderedPageBreak/>
        <w:t xml:space="preserve">The rate of head coach changes across the 90 </w:t>
      </w:r>
      <w:r w:rsidR="00DA34B2">
        <w:rPr>
          <w:rFonts w:ascii="Segoe UI" w:hAnsi="Segoe UI" w:cs="Segoe UI"/>
          <w:sz w:val="22"/>
          <w:szCs w:val="22"/>
        </w:rPr>
        <w:t>leagues</w:t>
      </w:r>
      <w:r w:rsidR="00940ED8">
        <w:rPr>
          <w:rFonts w:ascii="Segoe UI" w:hAnsi="Segoe UI" w:cs="Segoe UI"/>
          <w:sz w:val="22"/>
          <w:szCs w:val="22"/>
        </w:rPr>
        <w:t xml:space="preserve"> worldwide</w:t>
      </w:r>
      <w:r w:rsidR="00DA34B2">
        <w:rPr>
          <w:rFonts w:ascii="Segoe UI" w:hAnsi="Segoe UI" w:cs="Segoe UI"/>
          <w:sz w:val="22"/>
          <w:szCs w:val="22"/>
        </w:rPr>
        <w:t xml:space="preserve"> analysed by UEFA has remained</w:t>
      </w:r>
      <w:r>
        <w:rPr>
          <w:rFonts w:ascii="Segoe UI" w:hAnsi="Segoe UI" w:cs="Segoe UI"/>
          <w:sz w:val="22"/>
          <w:szCs w:val="22"/>
        </w:rPr>
        <w:t xml:space="preserve"> consistently high over the last </w:t>
      </w:r>
      <w:r w:rsidR="00315BE2">
        <w:rPr>
          <w:rFonts w:ascii="Segoe UI" w:hAnsi="Segoe UI" w:cs="Segoe UI"/>
          <w:sz w:val="22"/>
          <w:szCs w:val="22"/>
        </w:rPr>
        <w:t xml:space="preserve">four </w:t>
      </w:r>
      <w:r>
        <w:rPr>
          <w:rFonts w:ascii="Segoe UI" w:hAnsi="Segoe UI" w:cs="Segoe UI"/>
          <w:sz w:val="22"/>
          <w:szCs w:val="22"/>
        </w:rPr>
        <w:t>seasons, with 63% of clubs changing their head coach in 2015</w:t>
      </w:r>
      <w:r w:rsidR="00315BE2">
        <w:rPr>
          <w:rFonts w:ascii="Segoe UI" w:hAnsi="Segoe UI" w:cs="Segoe UI"/>
          <w:sz w:val="22"/>
          <w:szCs w:val="22"/>
        </w:rPr>
        <w:t>.</w:t>
      </w:r>
    </w:p>
    <w:p w:rsidR="00980D62" w:rsidRPr="00940ED8" w:rsidRDefault="00980D62" w:rsidP="00980D62">
      <w:pPr>
        <w:pStyle w:val="ListParagraph"/>
        <w:numPr>
          <w:ilvl w:val="0"/>
          <w:numId w:val="3"/>
        </w:numPr>
        <w:rPr>
          <w:rFonts w:ascii="Segoe UI" w:hAnsi="Segoe UI" w:cs="Segoe UI"/>
          <w:sz w:val="22"/>
          <w:szCs w:val="22"/>
        </w:rPr>
      </w:pPr>
      <w:r w:rsidRPr="00940ED8">
        <w:rPr>
          <w:rFonts w:ascii="Segoe UI" w:hAnsi="Segoe UI" w:cs="Segoe UI"/>
          <w:sz w:val="22"/>
          <w:szCs w:val="22"/>
        </w:rPr>
        <w:t xml:space="preserve">Italian and Serbian coaches are the most widely dispersed, coaching </w:t>
      </w:r>
      <w:r w:rsidR="00706E8C" w:rsidRPr="00940ED8">
        <w:rPr>
          <w:rFonts w:ascii="Segoe UI" w:hAnsi="Segoe UI" w:cs="Segoe UI"/>
          <w:sz w:val="22"/>
          <w:szCs w:val="22"/>
        </w:rPr>
        <w:t xml:space="preserve">in </w:t>
      </w:r>
      <w:r w:rsidRPr="00940ED8">
        <w:rPr>
          <w:rFonts w:ascii="Segoe UI" w:hAnsi="Segoe UI" w:cs="Segoe UI"/>
          <w:sz w:val="22"/>
          <w:szCs w:val="22"/>
        </w:rPr>
        <w:t xml:space="preserve">15 and 14 </w:t>
      </w:r>
      <w:r w:rsidR="00706E8C" w:rsidRPr="00940ED8">
        <w:rPr>
          <w:rFonts w:ascii="Segoe UI" w:hAnsi="Segoe UI" w:cs="Segoe UI"/>
          <w:sz w:val="22"/>
          <w:szCs w:val="22"/>
        </w:rPr>
        <w:t>different</w:t>
      </w:r>
      <w:r w:rsidRPr="00940ED8">
        <w:rPr>
          <w:rFonts w:ascii="Segoe UI" w:hAnsi="Segoe UI" w:cs="Segoe UI"/>
          <w:sz w:val="22"/>
          <w:szCs w:val="22"/>
        </w:rPr>
        <w:t xml:space="preserve"> leagues respectively</w:t>
      </w:r>
      <w:r w:rsidR="00315BE2" w:rsidRPr="00B121FC">
        <w:rPr>
          <w:rFonts w:ascii="Segoe UI" w:hAnsi="Segoe UI" w:cs="Segoe UI"/>
          <w:sz w:val="22"/>
          <w:szCs w:val="22"/>
        </w:rPr>
        <w:t>.</w:t>
      </w:r>
    </w:p>
    <w:p w:rsidR="00706E8C" w:rsidRPr="00706E8C" w:rsidRDefault="00706E8C" w:rsidP="00706E8C">
      <w:pPr>
        <w:pStyle w:val="ListParagraph"/>
        <w:numPr>
          <w:ilvl w:val="0"/>
          <w:numId w:val="3"/>
        </w:numPr>
        <w:rPr>
          <w:rFonts w:ascii="Segoe UI" w:hAnsi="Segoe UI" w:cs="Segoe UI"/>
          <w:sz w:val="22"/>
          <w:szCs w:val="22"/>
        </w:rPr>
      </w:pPr>
      <w:r w:rsidRPr="00706E8C">
        <w:rPr>
          <w:rFonts w:ascii="Segoe UI" w:hAnsi="Segoe UI" w:cs="Segoe UI"/>
          <w:sz w:val="22"/>
          <w:szCs w:val="22"/>
        </w:rPr>
        <w:t xml:space="preserve">A strong majority, 82%, of </w:t>
      </w:r>
      <w:r w:rsidR="005A20C8">
        <w:rPr>
          <w:rFonts w:ascii="Segoe UI" w:hAnsi="Segoe UI" w:cs="Segoe UI"/>
          <w:sz w:val="22"/>
          <w:szCs w:val="22"/>
        </w:rPr>
        <w:t>global</w:t>
      </w:r>
      <w:r w:rsidR="00940ED8">
        <w:rPr>
          <w:rFonts w:ascii="Segoe UI" w:hAnsi="Segoe UI" w:cs="Segoe UI"/>
          <w:sz w:val="22"/>
          <w:szCs w:val="22"/>
        </w:rPr>
        <w:t xml:space="preserve"> playing</w:t>
      </w:r>
      <w:r w:rsidR="00940ED8" w:rsidRPr="00706E8C">
        <w:rPr>
          <w:rFonts w:ascii="Segoe UI" w:hAnsi="Segoe UI" w:cs="Segoe UI"/>
          <w:sz w:val="22"/>
          <w:szCs w:val="22"/>
        </w:rPr>
        <w:t xml:space="preserve"> </w:t>
      </w:r>
      <w:r w:rsidRPr="00706E8C">
        <w:rPr>
          <w:rFonts w:ascii="Segoe UI" w:hAnsi="Segoe UI" w:cs="Segoe UI"/>
          <w:sz w:val="22"/>
          <w:szCs w:val="22"/>
        </w:rPr>
        <w:t xml:space="preserve">talent </w:t>
      </w:r>
      <w:r w:rsidR="005A20C8">
        <w:rPr>
          <w:rFonts w:ascii="Segoe UI" w:hAnsi="Segoe UI" w:cs="Segoe UI"/>
          <w:sz w:val="22"/>
          <w:szCs w:val="22"/>
        </w:rPr>
        <w:t xml:space="preserve">(by estimated market value) </w:t>
      </w:r>
      <w:r w:rsidRPr="00706E8C">
        <w:rPr>
          <w:rFonts w:ascii="Segoe UI" w:hAnsi="Segoe UI" w:cs="Segoe UI"/>
          <w:sz w:val="22"/>
          <w:szCs w:val="22"/>
        </w:rPr>
        <w:t>is concentrated in European leagues</w:t>
      </w:r>
      <w:r w:rsidR="00315BE2">
        <w:rPr>
          <w:rFonts w:ascii="Segoe UI" w:hAnsi="Segoe UI" w:cs="Segoe UI"/>
          <w:sz w:val="22"/>
          <w:szCs w:val="22"/>
        </w:rPr>
        <w:t>,</w:t>
      </w:r>
      <w:r w:rsidRPr="00706E8C">
        <w:rPr>
          <w:rFonts w:ascii="Segoe UI" w:hAnsi="Segoe UI" w:cs="Segoe UI"/>
          <w:sz w:val="22"/>
          <w:szCs w:val="22"/>
        </w:rPr>
        <w:t xml:space="preserve"> with 48% </w:t>
      </w:r>
      <w:r w:rsidRPr="00940ED8">
        <w:rPr>
          <w:rFonts w:ascii="Segoe UI" w:hAnsi="Segoe UI" w:cs="Segoe UI"/>
          <w:sz w:val="22"/>
          <w:szCs w:val="22"/>
        </w:rPr>
        <w:t>playing</w:t>
      </w:r>
      <w:r w:rsidRPr="00706E8C">
        <w:rPr>
          <w:rFonts w:ascii="Segoe UI" w:hAnsi="Segoe UI" w:cs="Segoe UI"/>
          <w:sz w:val="22"/>
          <w:szCs w:val="22"/>
        </w:rPr>
        <w:t xml:space="preserve"> in E</w:t>
      </w:r>
      <w:r w:rsidR="00EA0170">
        <w:rPr>
          <w:rFonts w:ascii="Segoe UI" w:hAnsi="Segoe UI" w:cs="Segoe UI"/>
          <w:sz w:val="22"/>
          <w:szCs w:val="22"/>
        </w:rPr>
        <w:t>ngland, Germany, Italy or Spain</w:t>
      </w:r>
      <w:r w:rsidR="00315BE2">
        <w:rPr>
          <w:rFonts w:ascii="Segoe UI" w:hAnsi="Segoe UI" w:cs="Segoe UI"/>
          <w:sz w:val="22"/>
          <w:szCs w:val="22"/>
        </w:rPr>
        <w:t>.</w:t>
      </w:r>
    </w:p>
    <w:p w:rsidR="00706E8C" w:rsidRPr="00706E8C" w:rsidRDefault="00706E8C" w:rsidP="00706E8C">
      <w:pPr>
        <w:pStyle w:val="ListParagraph"/>
        <w:numPr>
          <w:ilvl w:val="0"/>
          <w:numId w:val="3"/>
        </w:numPr>
        <w:rPr>
          <w:rFonts w:ascii="Segoe UI" w:hAnsi="Segoe UI" w:cs="Segoe UI"/>
          <w:sz w:val="22"/>
          <w:szCs w:val="22"/>
        </w:rPr>
      </w:pPr>
      <w:r w:rsidRPr="00706E8C">
        <w:rPr>
          <w:rFonts w:ascii="Segoe UI" w:hAnsi="Segoe UI" w:cs="Segoe UI"/>
          <w:sz w:val="22"/>
          <w:szCs w:val="22"/>
        </w:rPr>
        <w:t>The English Premier League has comfortably the highest percentage of expatriate players, at almost 70%</w:t>
      </w:r>
      <w:r w:rsidR="00EA0170">
        <w:rPr>
          <w:rFonts w:ascii="Segoe UI" w:hAnsi="Segoe UI" w:cs="Segoe UI"/>
          <w:sz w:val="22"/>
          <w:szCs w:val="22"/>
        </w:rPr>
        <w:t>.</w:t>
      </w:r>
    </w:p>
    <w:p w:rsidR="00980D62" w:rsidRDefault="00980D62" w:rsidP="00706E8C">
      <w:pPr>
        <w:ind w:left="360"/>
        <w:rPr>
          <w:rFonts w:ascii="Segoe UI" w:hAnsi="Segoe UI" w:cs="Segoe UI"/>
          <w:sz w:val="22"/>
          <w:szCs w:val="22"/>
        </w:rPr>
      </w:pPr>
    </w:p>
    <w:p w:rsidR="00706E8C" w:rsidRPr="00706E8C" w:rsidRDefault="00706E8C" w:rsidP="00706E8C">
      <w:pPr>
        <w:rPr>
          <w:rFonts w:ascii="Segoe UI" w:hAnsi="Segoe UI" w:cs="Segoe UI"/>
          <w:i/>
          <w:sz w:val="22"/>
          <w:szCs w:val="22"/>
        </w:rPr>
      </w:pPr>
      <w:r w:rsidRPr="00706E8C">
        <w:rPr>
          <w:rFonts w:ascii="Segoe UI" w:hAnsi="Segoe UI" w:cs="Segoe UI"/>
          <w:i/>
          <w:sz w:val="22"/>
          <w:szCs w:val="22"/>
        </w:rPr>
        <w:t>Supporters</w:t>
      </w:r>
    </w:p>
    <w:p w:rsidR="00706E8C" w:rsidRPr="00706E8C" w:rsidRDefault="00706E8C" w:rsidP="00EA0170">
      <w:pPr>
        <w:pStyle w:val="ListParagraph"/>
        <w:numPr>
          <w:ilvl w:val="0"/>
          <w:numId w:val="3"/>
        </w:numPr>
        <w:rPr>
          <w:rFonts w:ascii="Segoe UI" w:hAnsi="Segoe UI" w:cs="Segoe UI"/>
          <w:sz w:val="22"/>
          <w:szCs w:val="22"/>
        </w:rPr>
      </w:pPr>
      <w:r w:rsidRPr="00EA0170">
        <w:rPr>
          <w:rFonts w:ascii="Segoe UI" w:hAnsi="Segoe UI" w:cs="Segoe UI"/>
          <w:sz w:val="22"/>
          <w:szCs w:val="22"/>
        </w:rPr>
        <w:t>Crowds of more than 170 million went to European league matches in 2015/16, with 55 million attending matches in England and Germany</w:t>
      </w:r>
      <w:r w:rsidR="00940ED8">
        <w:rPr>
          <w:rFonts w:ascii="Segoe UI" w:hAnsi="Segoe UI" w:cs="Segoe UI"/>
          <w:sz w:val="22"/>
          <w:szCs w:val="22"/>
        </w:rPr>
        <w:t>.</w:t>
      </w:r>
    </w:p>
    <w:p w:rsidR="00706E8C" w:rsidRPr="00706E8C" w:rsidRDefault="00706E8C" w:rsidP="00EA0170">
      <w:pPr>
        <w:pStyle w:val="ListParagraph"/>
        <w:numPr>
          <w:ilvl w:val="0"/>
          <w:numId w:val="3"/>
        </w:numPr>
        <w:rPr>
          <w:rFonts w:ascii="Segoe UI" w:hAnsi="Segoe UI" w:cs="Segoe UI"/>
          <w:sz w:val="22"/>
          <w:szCs w:val="22"/>
        </w:rPr>
      </w:pPr>
      <w:r w:rsidRPr="00EA0170">
        <w:rPr>
          <w:rFonts w:ascii="Segoe UI" w:hAnsi="Segoe UI" w:cs="Segoe UI"/>
          <w:sz w:val="22"/>
          <w:szCs w:val="22"/>
        </w:rPr>
        <w:t>There was a significant 2.6 million increase in European crowds last season, with 14 leagues achieving their best attendance figures in more than ten years</w:t>
      </w:r>
      <w:r w:rsidR="00940ED8">
        <w:rPr>
          <w:rFonts w:ascii="Segoe UI" w:hAnsi="Segoe UI" w:cs="Segoe UI"/>
          <w:sz w:val="22"/>
          <w:szCs w:val="22"/>
        </w:rPr>
        <w:t>.</w:t>
      </w:r>
    </w:p>
    <w:p w:rsidR="00706E8C" w:rsidRDefault="00EA0170" w:rsidP="00EA0170">
      <w:pPr>
        <w:pStyle w:val="ListParagraph"/>
        <w:numPr>
          <w:ilvl w:val="0"/>
          <w:numId w:val="3"/>
        </w:numPr>
        <w:rPr>
          <w:rFonts w:ascii="Segoe UI" w:hAnsi="Segoe UI" w:cs="Segoe UI"/>
          <w:sz w:val="22"/>
          <w:szCs w:val="22"/>
        </w:rPr>
      </w:pPr>
      <w:r>
        <w:rPr>
          <w:rFonts w:ascii="Segoe UI" w:hAnsi="Segoe UI" w:cs="Segoe UI"/>
          <w:sz w:val="22"/>
          <w:szCs w:val="22"/>
        </w:rPr>
        <w:t>29 clubs enjoyed at least 1 million monthly supporter visits to their official club websites in 2016</w:t>
      </w:r>
      <w:r w:rsidR="00940ED8">
        <w:rPr>
          <w:rFonts w:ascii="Segoe UI" w:hAnsi="Segoe UI" w:cs="Segoe UI"/>
          <w:sz w:val="22"/>
          <w:szCs w:val="22"/>
        </w:rPr>
        <w:t>,</w:t>
      </w:r>
      <w:r>
        <w:rPr>
          <w:rFonts w:ascii="Segoe UI" w:hAnsi="Segoe UI" w:cs="Segoe UI"/>
          <w:sz w:val="22"/>
          <w:szCs w:val="22"/>
        </w:rPr>
        <w:t xml:space="preserve"> including 7 English, 5 G</w:t>
      </w:r>
      <w:bookmarkStart w:id="0" w:name="_GoBack"/>
      <w:bookmarkEnd w:id="0"/>
      <w:r>
        <w:rPr>
          <w:rFonts w:ascii="Segoe UI" w:hAnsi="Segoe UI" w:cs="Segoe UI"/>
          <w:sz w:val="22"/>
          <w:szCs w:val="22"/>
        </w:rPr>
        <w:t>erman, 15 other European clubs and 2 clubs from outside Europe.</w:t>
      </w:r>
    </w:p>
    <w:p w:rsidR="00EA0170" w:rsidRDefault="00EA0170" w:rsidP="00EA0170">
      <w:pPr>
        <w:rPr>
          <w:rFonts w:ascii="Segoe UI" w:hAnsi="Segoe UI" w:cs="Segoe UI"/>
          <w:sz w:val="22"/>
          <w:szCs w:val="22"/>
        </w:rPr>
      </w:pPr>
    </w:p>
    <w:p w:rsidR="00EA0170" w:rsidRPr="00EA0170" w:rsidRDefault="00EA0170" w:rsidP="00EA0170">
      <w:pPr>
        <w:rPr>
          <w:rFonts w:ascii="Segoe UI" w:hAnsi="Segoe UI" w:cs="Segoe UI"/>
          <w:i/>
          <w:sz w:val="22"/>
          <w:szCs w:val="22"/>
        </w:rPr>
      </w:pPr>
      <w:r w:rsidRPr="00EA0170">
        <w:rPr>
          <w:rFonts w:ascii="Segoe UI" w:hAnsi="Segoe UI" w:cs="Segoe UI"/>
          <w:i/>
          <w:sz w:val="22"/>
          <w:szCs w:val="22"/>
        </w:rPr>
        <w:t>Stadiums and stadium development</w:t>
      </w:r>
    </w:p>
    <w:p w:rsidR="00EA0170" w:rsidRDefault="00EA0170" w:rsidP="00EA0170">
      <w:pPr>
        <w:pStyle w:val="ListParagraph"/>
        <w:numPr>
          <w:ilvl w:val="0"/>
          <w:numId w:val="5"/>
        </w:numPr>
        <w:rPr>
          <w:rFonts w:ascii="Segoe UI" w:hAnsi="Segoe UI" w:cs="Segoe UI"/>
          <w:sz w:val="22"/>
          <w:szCs w:val="22"/>
        </w:rPr>
      </w:pPr>
      <w:r>
        <w:rPr>
          <w:rFonts w:ascii="Segoe UI" w:hAnsi="Segoe UI" w:cs="Segoe UI"/>
          <w:sz w:val="22"/>
          <w:szCs w:val="22"/>
        </w:rPr>
        <w:t>Football accounts for 240 of the 365 major global stadium projects (outdoor and 5,000+) in the last decade</w:t>
      </w:r>
      <w:r w:rsidR="00940ED8">
        <w:rPr>
          <w:rFonts w:ascii="Segoe UI" w:hAnsi="Segoe UI" w:cs="Segoe UI"/>
          <w:sz w:val="22"/>
          <w:szCs w:val="22"/>
        </w:rPr>
        <w:t>.</w:t>
      </w:r>
    </w:p>
    <w:p w:rsidR="00EA0170" w:rsidRPr="00EA0170" w:rsidRDefault="00EA0170" w:rsidP="00EA0170">
      <w:pPr>
        <w:pStyle w:val="ListParagraph"/>
        <w:numPr>
          <w:ilvl w:val="0"/>
          <w:numId w:val="5"/>
        </w:numPr>
        <w:rPr>
          <w:rFonts w:ascii="Segoe UI" w:hAnsi="Segoe UI" w:cs="Segoe UI"/>
          <w:sz w:val="22"/>
          <w:szCs w:val="22"/>
        </w:rPr>
      </w:pPr>
      <w:r w:rsidRPr="00EA0170">
        <w:rPr>
          <w:rFonts w:ascii="Segoe UI" w:hAnsi="Segoe UI" w:cs="Segoe UI"/>
          <w:sz w:val="22"/>
          <w:szCs w:val="22"/>
        </w:rPr>
        <w:t xml:space="preserve">Turkey (18), Poland </w:t>
      </w:r>
      <w:r w:rsidR="00E168EE">
        <w:rPr>
          <w:rFonts w:ascii="Segoe UI" w:hAnsi="Segoe UI" w:cs="Segoe UI"/>
          <w:sz w:val="22"/>
          <w:szCs w:val="22"/>
        </w:rPr>
        <w:t xml:space="preserve">(14) </w:t>
      </w:r>
      <w:r w:rsidRPr="00EA0170">
        <w:rPr>
          <w:rFonts w:ascii="Segoe UI" w:hAnsi="Segoe UI" w:cs="Segoe UI"/>
          <w:sz w:val="22"/>
          <w:szCs w:val="22"/>
        </w:rPr>
        <w:t xml:space="preserve">and Russia (14) have undertaken the </w:t>
      </w:r>
      <w:r>
        <w:rPr>
          <w:rFonts w:ascii="Segoe UI" w:hAnsi="Segoe UI" w:cs="Segoe UI"/>
          <w:sz w:val="22"/>
          <w:szCs w:val="22"/>
        </w:rPr>
        <w:t xml:space="preserve">largest number of </w:t>
      </w:r>
      <w:r w:rsidRPr="00EA0170">
        <w:rPr>
          <w:rFonts w:ascii="Segoe UI" w:hAnsi="Segoe UI" w:cs="Segoe UI"/>
          <w:sz w:val="22"/>
          <w:szCs w:val="22"/>
        </w:rPr>
        <w:t>major new stadium projects in Europe since 2007</w:t>
      </w:r>
      <w:r>
        <w:rPr>
          <w:rFonts w:ascii="Segoe UI" w:hAnsi="Segoe UI" w:cs="Segoe UI"/>
          <w:sz w:val="22"/>
          <w:szCs w:val="22"/>
        </w:rPr>
        <w:t>.</w:t>
      </w:r>
    </w:p>
    <w:p w:rsidR="0051240F" w:rsidRPr="00EA0170" w:rsidRDefault="0051240F" w:rsidP="0051240F">
      <w:pPr>
        <w:pStyle w:val="ListParagraph"/>
        <w:numPr>
          <w:ilvl w:val="0"/>
          <w:numId w:val="5"/>
        </w:numPr>
        <w:rPr>
          <w:rFonts w:ascii="Segoe UI" w:hAnsi="Segoe UI" w:cs="Segoe UI"/>
          <w:sz w:val="22"/>
          <w:szCs w:val="22"/>
        </w:rPr>
      </w:pPr>
      <w:r w:rsidRPr="00EA0170">
        <w:rPr>
          <w:rFonts w:ascii="Segoe UI" w:hAnsi="Segoe UI" w:cs="Segoe UI"/>
          <w:sz w:val="22"/>
          <w:szCs w:val="22"/>
        </w:rPr>
        <w:t xml:space="preserve">There has been a notable upward trend in European stadium building, 58 new </w:t>
      </w:r>
      <w:r>
        <w:rPr>
          <w:rFonts w:ascii="Segoe UI" w:hAnsi="Segoe UI" w:cs="Segoe UI"/>
          <w:sz w:val="22"/>
          <w:szCs w:val="22"/>
        </w:rPr>
        <w:t>or rebuilt club stadiums</w:t>
      </w:r>
      <w:r w:rsidRPr="00EA0170">
        <w:rPr>
          <w:rFonts w:ascii="Segoe UI" w:hAnsi="Segoe UI" w:cs="Segoe UI"/>
          <w:sz w:val="22"/>
          <w:szCs w:val="22"/>
        </w:rPr>
        <w:t xml:space="preserve"> having been scheduled between 2013 and 2017, compared with 23 between 2008 and 2012</w:t>
      </w:r>
      <w:r w:rsidR="00940ED8">
        <w:rPr>
          <w:rFonts w:ascii="Segoe UI" w:hAnsi="Segoe UI" w:cs="Segoe UI"/>
          <w:sz w:val="22"/>
          <w:szCs w:val="22"/>
        </w:rPr>
        <w:t>.</w:t>
      </w:r>
    </w:p>
    <w:p w:rsidR="00EA0170" w:rsidRDefault="00EA0170" w:rsidP="0051240F">
      <w:pPr>
        <w:rPr>
          <w:rFonts w:ascii="Segoe UI" w:hAnsi="Segoe UI" w:cs="Segoe UI"/>
          <w:sz w:val="22"/>
          <w:szCs w:val="22"/>
        </w:rPr>
      </w:pPr>
    </w:p>
    <w:p w:rsidR="0051240F" w:rsidRPr="0051240F" w:rsidRDefault="0051240F" w:rsidP="0051240F">
      <w:pPr>
        <w:rPr>
          <w:rFonts w:ascii="Segoe UI" w:hAnsi="Segoe UI" w:cs="Segoe UI"/>
          <w:i/>
          <w:sz w:val="22"/>
          <w:szCs w:val="22"/>
        </w:rPr>
      </w:pPr>
      <w:r w:rsidRPr="0051240F">
        <w:rPr>
          <w:rFonts w:ascii="Segoe UI" w:hAnsi="Segoe UI" w:cs="Segoe UI"/>
          <w:i/>
          <w:sz w:val="22"/>
          <w:szCs w:val="22"/>
        </w:rPr>
        <w:t>Club ownership and sponsorship</w:t>
      </w:r>
    </w:p>
    <w:p w:rsidR="0051240F" w:rsidRPr="0051240F" w:rsidRDefault="00940ED8" w:rsidP="0051240F">
      <w:pPr>
        <w:pStyle w:val="ListParagraph"/>
        <w:numPr>
          <w:ilvl w:val="0"/>
          <w:numId w:val="5"/>
        </w:numPr>
        <w:rPr>
          <w:rFonts w:ascii="Segoe UI" w:hAnsi="Segoe UI" w:cs="Segoe UI"/>
          <w:sz w:val="22"/>
          <w:szCs w:val="22"/>
        </w:rPr>
      </w:pPr>
      <w:r>
        <w:rPr>
          <w:rFonts w:ascii="Segoe UI" w:hAnsi="Segoe UI" w:cs="Segoe UI"/>
          <w:sz w:val="22"/>
          <w:szCs w:val="22"/>
        </w:rPr>
        <w:t>44</w:t>
      </w:r>
      <w:r w:rsidR="0051240F" w:rsidRPr="0051240F">
        <w:rPr>
          <w:rFonts w:ascii="Segoe UI" w:hAnsi="Segoe UI" w:cs="Segoe UI"/>
          <w:sz w:val="22"/>
          <w:szCs w:val="22"/>
        </w:rPr>
        <w:t xml:space="preserve"> clubs in major European leagues are now under foreign ownership, </w:t>
      </w:r>
      <w:r>
        <w:rPr>
          <w:rFonts w:ascii="Segoe UI" w:hAnsi="Segoe UI" w:cs="Segoe UI"/>
          <w:sz w:val="22"/>
          <w:szCs w:val="22"/>
        </w:rPr>
        <w:t>with</w:t>
      </w:r>
      <w:r w:rsidRPr="0051240F">
        <w:rPr>
          <w:rFonts w:ascii="Segoe UI" w:hAnsi="Segoe UI" w:cs="Segoe UI"/>
          <w:sz w:val="22"/>
          <w:szCs w:val="22"/>
        </w:rPr>
        <w:t xml:space="preserve"> </w:t>
      </w:r>
      <w:r w:rsidR="0051240F" w:rsidRPr="0051240F">
        <w:rPr>
          <w:rFonts w:ascii="Segoe UI" w:hAnsi="Segoe UI" w:cs="Segoe UI"/>
          <w:sz w:val="22"/>
          <w:szCs w:val="22"/>
        </w:rPr>
        <w:t>owners of 18 different nationalities</w:t>
      </w:r>
      <w:r>
        <w:rPr>
          <w:rFonts w:ascii="Segoe UI" w:hAnsi="Segoe UI" w:cs="Segoe UI"/>
          <w:sz w:val="22"/>
          <w:szCs w:val="22"/>
        </w:rPr>
        <w:t>.</w:t>
      </w:r>
    </w:p>
    <w:p w:rsidR="0051240F" w:rsidRPr="0051240F" w:rsidRDefault="0051240F" w:rsidP="0051240F">
      <w:pPr>
        <w:pStyle w:val="ListParagraph"/>
        <w:numPr>
          <w:ilvl w:val="0"/>
          <w:numId w:val="5"/>
        </w:numPr>
        <w:rPr>
          <w:rFonts w:ascii="Segoe UI" w:hAnsi="Segoe UI" w:cs="Segoe UI"/>
          <w:sz w:val="22"/>
          <w:szCs w:val="22"/>
        </w:rPr>
      </w:pPr>
      <w:r w:rsidRPr="0051240F">
        <w:rPr>
          <w:rFonts w:ascii="Segoe UI" w:hAnsi="Segoe UI" w:cs="Segoe UI"/>
          <w:sz w:val="22"/>
          <w:szCs w:val="22"/>
        </w:rPr>
        <w:t xml:space="preserve">2016 </w:t>
      </w:r>
      <w:r>
        <w:rPr>
          <w:rFonts w:ascii="Segoe UI" w:hAnsi="Segoe UI" w:cs="Segoe UI"/>
          <w:sz w:val="22"/>
          <w:szCs w:val="22"/>
        </w:rPr>
        <w:t xml:space="preserve">was </w:t>
      </w:r>
      <w:r w:rsidRPr="0051240F">
        <w:rPr>
          <w:rFonts w:ascii="Segoe UI" w:hAnsi="Segoe UI" w:cs="Segoe UI"/>
          <w:sz w:val="22"/>
          <w:szCs w:val="22"/>
        </w:rPr>
        <w:t xml:space="preserve">the most active year for foreign club takeovers, with ten new acquisitions </w:t>
      </w:r>
      <w:r w:rsidR="00753CCC">
        <w:rPr>
          <w:rFonts w:ascii="Segoe UI" w:hAnsi="Segoe UI" w:cs="Segoe UI"/>
          <w:sz w:val="22"/>
          <w:szCs w:val="22"/>
        </w:rPr>
        <w:t xml:space="preserve">completed </w:t>
      </w:r>
      <w:r w:rsidRPr="0051240F">
        <w:rPr>
          <w:rFonts w:ascii="Segoe UI" w:hAnsi="Segoe UI" w:cs="Segoe UI"/>
          <w:sz w:val="22"/>
          <w:szCs w:val="22"/>
        </w:rPr>
        <w:t>by November, including eight new Chinese owners</w:t>
      </w:r>
      <w:r w:rsidR="00940ED8">
        <w:rPr>
          <w:rFonts w:ascii="Segoe UI" w:hAnsi="Segoe UI" w:cs="Segoe UI"/>
          <w:sz w:val="22"/>
          <w:szCs w:val="22"/>
        </w:rPr>
        <w:t>.</w:t>
      </w:r>
    </w:p>
    <w:p w:rsidR="0051240F" w:rsidRPr="0051240F" w:rsidRDefault="0051240F" w:rsidP="0051240F">
      <w:pPr>
        <w:pStyle w:val="ListParagraph"/>
        <w:numPr>
          <w:ilvl w:val="0"/>
          <w:numId w:val="5"/>
        </w:numPr>
        <w:rPr>
          <w:rFonts w:ascii="Segoe UI" w:hAnsi="Segoe UI" w:cs="Segoe UI"/>
          <w:sz w:val="22"/>
          <w:szCs w:val="22"/>
        </w:rPr>
      </w:pPr>
      <w:r w:rsidRPr="0051240F">
        <w:rPr>
          <w:rFonts w:ascii="Segoe UI" w:hAnsi="Segoe UI" w:cs="Segoe UI"/>
          <w:sz w:val="22"/>
          <w:szCs w:val="22"/>
        </w:rPr>
        <w:t>Foreign ownership is still centred in England, where more than half of the clubs in the top two leagues now have foreign owners</w:t>
      </w:r>
      <w:r w:rsidR="00940ED8">
        <w:rPr>
          <w:rFonts w:ascii="Segoe UI" w:hAnsi="Segoe UI" w:cs="Segoe UI"/>
          <w:sz w:val="22"/>
          <w:szCs w:val="22"/>
        </w:rPr>
        <w:t>.</w:t>
      </w:r>
    </w:p>
    <w:p w:rsidR="0051240F" w:rsidRDefault="000D0F14" w:rsidP="0051240F">
      <w:pPr>
        <w:pStyle w:val="ListParagraph"/>
        <w:numPr>
          <w:ilvl w:val="0"/>
          <w:numId w:val="5"/>
        </w:numPr>
        <w:rPr>
          <w:rFonts w:ascii="Segoe UI" w:hAnsi="Segoe UI" w:cs="Segoe UI"/>
          <w:sz w:val="22"/>
          <w:szCs w:val="22"/>
        </w:rPr>
      </w:pPr>
      <w:r>
        <w:rPr>
          <w:rFonts w:ascii="Segoe UI" w:hAnsi="Segoe UI" w:cs="Segoe UI"/>
          <w:sz w:val="22"/>
          <w:szCs w:val="22"/>
        </w:rPr>
        <w:t xml:space="preserve">Commercial naming rights are applied in 25% of European club stadiums but </w:t>
      </w:r>
      <w:r w:rsidR="0051240F">
        <w:rPr>
          <w:rFonts w:ascii="Segoe UI" w:hAnsi="Segoe UI" w:cs="Segoe UI"/>
          <w:sz w:val="22"/>
          <w:szCs w:val="22"/>
        </w:rPr>
        <w:t>are increasing and are most common in Germany then Denmark</w:t>
      </w:r>
      <w:r w:rsidR="00940ED8">
        <w:rPr>
          <w:rFonts w:ascii="Segoe UI" w:hAnsi="Segoe UI" w:cs="Segoe UI"/>
          <w:sz w:val="22"/>
          <w:szCs w:val="22"/>
        </w:rPr>
        <w:t>,</w:t>
      </w:r>
      <w:r w:rsidR="0051240F">
        <w:rPr>
          <w:rFonts w:ascii="Segoe UI" w:hAnsi="Segoe UI" w:cs="Segoe UI"/>
          <w:sz w:val="22"/>
          <w:szCs w:val="22"/>
        </w:rPr>
        <w:t xml:space="preserve"> where over half </w:t>
      </w:r>
      <w:r w:rsidR="00940ED8">
        <w:rPr>
          <w:rFonts w:ascii="Segoe UI" w:hAnsi="Segoe UI" w:cs="Segoe UI"/>
          <w:sz w:val="22"/>
          <w:szCs w:val="22"/>
        </w:rPr>
        <w:t xml:space="preserve">of </w:t>
      </w:r>
      <w:r w:rsidR="0051240F">
        <w:rPr>
          <w:rFonts w:ascii="Segoe UI" w:hAnsi="Segoe UI" w:cs="Segoe UI"/>
          <w:sz w:val="22"/>
          <w:szCs w:val="22"/>
        </w:rPr>
        <w:t>stadiums have commercial naming rights deals</w:t>
      </w:r>
      <w:r w:rsidR="00940ED8">
        <w:rPr>
          <w:rFonts w:ascii="Segoe UI" w:hAnsi="Segoe UI" w:cs="Segoe UI"/>
          <w:sz w:val="22"/>
          <w:szCs w:val="22"/>
        </w:rPr>
        <w:t>.</w:t>
      </w:r>
    </w:p>
    <w:p w:rsidR="0051240F" w:rsidRPr="0051240F" w:rsidRDefault="0051240F" w:rsidP="0051240F">
      <w:pPr>
        <w:pStyle w:val="ListParagraph"/>
        <w:numPr>
          <w:ilvl w:val="0"/>
          <w:numId w:val="5"/>
        </w:numPr>
        <w:rPr>
          <w:rFonts w:ascii="Segoe UI" w:hAnsi="Segoe UI" w:cs="Segoe UI"/>
          <w:sz w:val="22"/>
          <w:szCs w:val="22"/>
        </w:rPr>
      </w:pPr>
      <w:r w:rsidRPr="0051240F">
        <w:rPr>
          <w:rFonts w:ascii="Segoe UI" w:hAnsi="Segoe UI" w:cs="Segoe UI"/>
          <w:sz w:val="22"/>
          <w:szCs w:val="22"/>
        </w:rPr>
        <w:t>The top three kit manufacturers (</w:t>
      </w:r>
      <w:r w:rsidR="00940ED8">
        <w:rPr>
          <w:rFonts w:ascii="Segoe UI" w:hAnsi="Segoe UI" w:cs="Segoe UI"/>
          <w:sz w:val="22"/>
          <w:szCs w:val="22"/>
        </w:rPr>
        <w:t>a</w:t>
      </w:r>
      <w:r w:rsidRPr="0051240F">
        <w:rPr>
          <w:rFonts w:ascii="Segoe UI" w:hAnsi="Segoe UI" w:cs="Segoe UI"/>
          <w:sz w:val="22"/>
          <w:szCs w:val="22"/>
        </w:rPr>
        <w:t>didas, Nike and Puma) supply just under half of European club teams</w:t>
      </w:r>
      <w:r>
        <w:rPr>
          <w:rFonts w:ascii="Segoe UI" w:hAnsi="Segoe UI" w:cs="Segoe UI"/>
          <w:sz w:val="22"/>
          <w:szCs w:val="22"/>
        </w:rPr>
        <w:t xml:space="preserve"> in the major leagues</w:t>
      </w:r>
      <w:r w:rsidR="00940ED8">
        <w:rPr>
          <w:rFonts w:ascii="Segoe UI" w:hAnsi="Segoe UI" w:cs="Segoe UI"/>
          <w:sz w:val="22"/>
          <w:szCs w:val="22"/>
        </w:rPr>
        <w:t>.</w:t>
      </w:r>
    </w:p>
    <w:p w:rsidR="0051240F" w:rsidRDefault="0051240F" w:rsidP="00753CCC">
      <w:pPr>
        <w:pStyle w:val="ListParagraph"/>
        <w:numPr>
          <w:ilvl w:val="0"/>
          <w:numId w:val="5"/>
        </w:numPr>
        <w:rPr>
          <w:rFonts w:ascii="Segoe UI" w:hAnsi="Segoe UI" w:cs="Segoe UI"/>
          <w:sz w:val="22"/>
          <w:szCs w:val="22"/>
        </w:rPr>
      </w:pPr>
      <w:r>
        <w:rPr>
          <w:rFonts w:ascii="Segoe UI" w:hAnsi="Segoe UI" w:cs="Segoe UI"/>
          <w:sz w:val="22"/>
          <w:szCs w:val="22"/>
        </w:rPr>
        <w:t>Shirt</w:t>
      </w:r>
      <w:r w:rsidRPr="0051240F">
        <w:rPr>
          <w:rFonts w:ascii="Segoe UI" w:hAnsi="Segoe UI" w:cs="Segoe UI"/>
          <w:sz w:val="22"/>
          <w:szCs w:val="22"/>
        </w:rPr>
        <w:t xml:space="preserve"> sponsorship </w:t>
      </w:r>
      <w:r>
        <w:rPr>
          <w:rFonts w:ascii="Segoe UI" w:hAnsi="Segoe UI" w:cs="Segoe UI"/>
          <w:sz w:val="22"/>
          <w:szCs w:val="22"/>
        </w:rPr>
        <w:t>by contrast sees a low level of concentration</w:t>
      </w:r>
      <w:r w:rsidR="00940ED8">
        <w:rPr>
          <w:rFonts w:ascii="Segoe UI" w:hAnsi="Segoe UI" w:cs="Segoe UI"/>
          <w:sz w:val="22"/>
          <w:szCs w:val="22"/>
        </w:rPr>
        <w:t>,</w:t>
      </w:r>
      <w:r>
        <w:rPr>
          <w:rFonts w:ascii="Segoe UI" w:hAnsi="Segoe UI" w:cs="Segoe UI"/>
          <w:sz w:val="22"/>
          <w:szCs w:val="22"/>
        </w:rPr>
        <w:t xml:space="preserve"> with just</w:t>
      </w:r>
      <w:r w:rsidRPr="0051240F">
        <w:rPr>
          <w:rFonts w:ascii="Segoe UI" w:hAnsi="Segoe UI" w:cs="Segoe UI"/>
          <w:sz w:val="22"/>
          <w:szCs w:val="22"/>
        </w:rPr>
        <w:t xml:space="preserve"> 6% of sponsors appearing on the shirts of more than one club</w:t>
      </w:r>
      <w:r>
        <w:rPr>
          <w:rFonts w:ascii="Segoe UI" w:hAnsi="Segoe UI" w:cs="Segoe UI"/>
          <w:sz w:val="22"/>
          <w:szCs w:val="22"/>
        </w:rPr>
        <w:t>.</w:t>
      </w:r>
    </w:p>
    <w:p w:rsidR="000A2397" w:rsidRDefault="000A2397" w:rsidP="000A2397">
      <w:pPr>
        <w:rPr>
          <w:rFonts w:ascii="Segoe UI" w:hAnsi="Segoe UI" w:cs="Segoe UI"/>
          <w:sz w:val="22"/>
          <w:szCs w:val="22"/>
        </w:rPr>
      </w:pPr>
    </w:p>
    <w:p w:rsidR="000A2397" w:rsidRPr="000A2397" w:rsidRDefault="000A2397" w:rsidP="000A2397">
      <w:pPr>
        <w:jc w:val="center"/>
        <w:rPr>
          <w:rFonts w:ascii="Segoe UI" w:hAnsi="Segoe UI" w:cs="Segoe UI"/>
          <w:sz w:val="22"/>
          <w:szCs w:val="22"/>
        </w:rPr>
      </w:pPr>
      <w:r>
        <w:rPr>
          <w:rFonts w:ascii="Segoe UI" w:hAnsi="Segoe UI" w:cs="Segoe UI"/>
          <w:sz w:val="22"/>
          <w:szCs w:val="22"/>
        </w:rPr>
        <w:t>_____________</w:t>
      </w:r>
    </w:p>
    <w:sectPr w:rsidR="000A2397" w:rsidRPr="000A2397" w:rsidSect="00EA017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97" w:rsidRDefault="000A2397" w:rsidP="000A2397">
      <w:r>
        <w:separator/>
      </w:r>
    </w:p>
  </w:endnote>
  <w:endnote w:type="continuationSeparator" w:id="0">
    <w:p w:rsidR="000A2397" w:rsidRDefault="000A2397" w:rsidP="000A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97" w:rsidRDefault="000A2397" w:rsidP="000A2397">
      <w:r>
        <w:separator/>
      </w:r>
    </w:p>
  </w:footnote>
  <w:footnote w:type="continuationSeparator" w:id="0">
    <w:p w:rsidR="000A2397" w:rsidRDefault="000A2397" w:rsidP="000A2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732D3"/>
    <w:multiLevelType w:val="hybridMultilevel"/>
    <w:tmpl w:val="58983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85CDD"/>
    <w:multiLevelType w:val="hybridMultilevel"/>
    <w:tmpl w:val="9F949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D8D6449"/>
    <w:multiLevelType w:val="hybridMultilevel"/>
    <w:tmpl w:val="2E38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C61C8"/>
    <w:multiLevelType w:val="hybridMultilevel"/>
    <w:tmpl w:val="26B41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D12E7"/>
    <w:multiLevelType w:val="hybridMultilevel"/>
    <w:tmpl w:val="CC5A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0C"/>
    <w:rsid w:val="000355FC"/>
    <w:rsid w:val="00063A29"/>
    <w:rsid w:val="000A2397"/>
    <w:rsid w:val="000D0F14"/>
    <w:rsid w:val="00315BE2"/>
    <w:rsid w:val="003837FD"/>
    <w:rsid w:val="004C730C"/>
    <w:rsid w:val="0051240F"/>
    <w:rsid w:val="005A20C8"/>
    <w:rsid w:val="005A74A7"/>
    <w:rsid w:val="00660E81"/>
    <w:rsid w:val="00664414"/>
    <w:rsid w:val="006A2DE6"/>
    <w:rsid w:val="006E1D49"/>
    <w:rsid w:val="00706E8C"/>
    <w:rsid w:val="00753CCC"/>
    <w:rsid w:val="00794AC5"/>
    <w:rsid w:val="007E7BED"/>
    <w:rsid w:val="00832D4A"/>
    <w:rsid w:val="008F34A2"/>
    <w:rsid w:val="00940ED8"/>
    <w:rsid w:val="00980D62"/>
    <w:rsid w:val="00A279DA"/>
    <w:rsid w:val="00B121FC"/>
    <w:rsid w:val="00C45F2C"/>
    <w:rsid w:val="00DA34B2"/>
    <w:rsid w:val="00E168EE"/>
    <w:rsid w:val="00E9728E"/>
    <w:rsid w:val="00EA0170"/>
    <w:rsid w:val="00EB6ABD"/>
    <w:rsid w:val="00EC785A"/>
    <w:rsid w:val="00ED1657"/>
    <w:rsid w:val="00F24FC0"/>
    <w:rsid w:val="00F666A2"/>
    <w:rsid w:val="00F67536"/>
    <w:rsid w:val="00FF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F64541-CC81-417E-858F-5ABB7A9E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30C"/>
    <w:pPr>
      <w:ind w:left="720"/>
      <w:contextualSpacing/>
    </w:pPr>
  </w:style>
  <w:style w:type="paragraph" w:styleId="NormalWeb">
    <w:name w:val="Normal (Web)"/>
    <w:basedOn w:val="Normal"/>
    <w:uiPriority w:val="99"/>
    <w:unhideWhenUsed/>
    <w:rsid w:val="00EB6ABD"/>
    <w:pPr>
      <w:spacing w:before="100" w:beforeAutospacing="1" w:after="100" w:afterAutospacing="1"/>
    </w:pPr>
  </w:style>
  <w:style w:type="paragraph" w:styleId="Header">
    <w:name w:val="header"/>
    <w:basedOn w:val="Normal"/>
    <w:link w:val="HeaderChar"/>
    <w:rsid w:val="000A2397"/>
    <w:pPr>
      <w:tabs>
        <w:tab w:val="center" w:pos="4536"/>
        <w:tab w:val="right" w:pos="9072"/>
      </w:tabs>
    </w:pPr>
  </w:style>
  <w:style w:type="character" w:customStyle="1" w:styleId="HeaderChar">
    <w:name w:val="Header Char"/>
    <w:basedOn w:val="DefaultParagraphFont"/>
    <w:link w:val="Header"/>
    <w:rsid w:val="000A2397"/>
    <w:rPr>
      <w:sz w:val="24"/>
      <w:szCs w:val="24"/>
    </w:rPr>
  </w:style>
  <w:style w:type="paragraph" w:styleId="Footer">
    <w:name w:val="footer"/>
    <w:basedOn w:val="Normal"/>
    <w:link w:val="FooterChar"/>
    <w:rsid w:val="000A2397"/>
    <w:pPr>
      <w:tabs>
        <w:tab w:val="center" w:pos="4536"/>
        <w:tab w:val="right" w:pos="9072"/>
      </w:tabs>
    </w:pPr>
  </w:style>
  <w:style w:type="character" w:customStyle="1" w:styleId="FooterChar">
    <w:name w:val="Footer Char"/>
    <w:basedOn w:val="DefaultParagraphFont"/>
    <w:link w:val="Footer"/>
    <w:rsid w:val="000A2397"/>
    <w:rPr>
      <w:sz w:val="24"/>
      <w:szCs w:val="24"/>
    </w:rPr>
  </w:style>
  <w:style w:type="paragraph" w:styleId="BalloonText">
    <w:name w:val="Balloon Text"/>
    <w:basedOn w:val="Normal"/>
    <w:link w:val="BalloonTextChar"/>
    <w:rsid w:val="00940ED8"/>
    <w:rPr>
      <w:rFonts w:ascii="Segoe UI" w:hAnsi="Segoe UI" w:cs="Segoe UI"/>
      <w:sz w:val="18"/>
      <w:szCs w:val="18"/>
    </w:rPr>
  </w:style>
  <w:style w:type="character" w:customStyle="1" w:styleId="BalloonTextChar">
    <w:name w:val="Balloon Text Char"/>
    <w:basedOn w:val="DefaultParagraphFont"/>
    <w:link w:val="BalloonText"/>
    <w:rsid w:val="00940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7609">
      <w:bodyDiv w:val="1"/>
      <w:marLeft w:val="0"/>
      <w:marRight w:val="0"/>
      <w:marTop w:val="0"/>
      <w:marBottom w:val="0"/>
      <w:divBdr>
        <w:top w:val="none" w:sz="0" w:space="0" w:color="auto"/>
        <w:left w:val="none" w:sz="0" w:space="0" w:color="auto"/>
        <w:bottom w:val="none" w:sz="0" w:space="0" w:color="auto"/>
        <w:right w:val="none" w:sz="0" w:space="0" w:color="auto"/>
      </w:divBdr>
    </w:div>
    <w:div w:id="109713212">
      <w:bodyDiv w:val="1"/>
      <w:marLeft w:val="0"/>
      <w:marRight w:val="0"/>
      <w:marTop w:val="0"/>
      <w:marBottom w:val="0"/>
      <w:divBdr>
        <w:top w:val="none" w:sz="0" w:space="0" w:color="auto"/>
        <w:left w:val="none" w:sz="0" w:space="0" w:color="auto"/>
        <w:bottom w:val="none" w:sz="0" w:space="0" w:color="auto"/>
        <w:right w:val="none" w:sz="0" w:space="0" w:color="auto"/>
      </w:divBdr>
    </w:div>
    <w:div w:id="171378414">
      <w:bodyDiv w:val="1"/>
      <w:marLeft w:val="0"/>
      <w:marRight w:val="0"/>
      <w:marTop w:val="0"/>
      <w:marBottom w:val="0"/>
      <w:divBdr>
        <w:top w:val="none" w:sz="0" w:space="0" w:color="auto"/>
        <w:left w:val="none" w:sz="0" w:space="0" w:color="auto"/>
        <w:bottom w:val="none" w:sz="0" w:space="0" w:color="auto"/>
        <w:right w:val="none" w:sz="0" w:space="0" w:color="auto"/>
      </w:divBdr>
    </w:div>
    <w:div w:id="231232146">
      <w:bodyDiv w:val="1"/>
      <w:marLeft w:val="0"/>
      <w:marRight w:val="0"/>
      <w:marTop w:val="0"/>
      <w:marBottom w:val="0"/>
      <w:divBdr>
        <w:top w:val="none" w:sz="0" w:space="0" w:color="auto"/>
        <w:left w:val="none" w:sz="0" w:space="0" w:color="auto"/>
        <w:bottom w:val="none" w:sz="0" w:space="0" w:color="auto"/>
        <w:right w:val="none" w:sz="0" w:space="0" w:color="auto"/>
      </w:divBdr>
    </w:div>
    <w:div w:id="572663769">
      <w:bodyDiv w:val="1"/>
      <w:marLeft w:val="0"/>
      <w:marRight w:val="0"/>
      <w:marTop w:val="0"/>
      <w:marBottom w:val="0"/>
      <w:divBdr>
        <w:top w:val="none" w:sz="0" w:space="0" w:color="auto"/>
        <w:left w:val="none" w:sz="0" w:space="0" w:color="auto"/>
        <w:bottom w:val="none" w:sz="0" w:space="0" w:color="auto"/>
        <w:right w:val="none" w:sz="0" w:space="0" w:color="auto"/>
      </w:divBdr>
    </w:div>
    <w:div w:id="613949610">
      <w:bodyDiv w:val="1"/>
      <w:marLeft w:val="0"/>
      <w:marRight w:val="0"/>
      <w:marTop w:val="0"/>
      <w:marBottom w:val="0"/>
      <w:divBdr>
        <w:top w:val="none" w:sz="0" w:space="0" w:color="auto"/>
        <w:left w:val="none" w:sz="0" w:space="0" w:color="auto"/>
        <w:bottom w:val="none" w:sz="0" w:space="0" w:color="auto"/>
        <w:right w:val="none" w:sz="0" w:space="0" w:color="auto"/>
      </w:divBdr>
    </w:div>
    <w:div w:id="900751451">
      <w:bodyDiv w:val="1"/>
      <w:marLeft w:val="0"/>
      <w:marRight w:val="0"/>
      <w:marTop w:val="0"/>
      <w:marBottom w:val="0"/>
      <w:divBdr>
        <w:top w:val="none" w:sz="0" w:space="0" w:color="auto"/>
        <w:left w:val="none" w:sz="0" w:space="0" w:color="auto"/>
        <w:bottom w:val="none" w:sz="0" w:space="0" w:color="auto"/>
        <w:right w:val="none" w:sz="0" w:space="0" w:color="auto"/>
      </w:divBdr>
    </w:div>
    <w:div w:id="998730385">
      <w:bodyDiv w:val="1"/>
      <w:marLeft w:val="0"/>
      <w:marRight w:val="0"/>
      <w:marTop w:val="0"/>
      <w:marBottom w:val="0"/>
      <w:divBdr>
        <w:top w:val="none" w:sz="0" w:space="0" w:color="auto"/>
        <w:left w:val="none" w:sz="0" w:space="0" w:color="auto"/>
        <w:bottom w:val="none" w:sz="0" w:space="0" w:color="auto"/>
        <w:right w:val="none" w:sz="0" w:space="0" w:color="auto"/>
      </w:divBdr>
    </w:div>
    <w:div w:id="1104572967">
      <w:bodyDiv w:val="1"/>
      <w:marLeft w:val="0"/>
      <w:marRight w:val="0"/>
      <w:marTop w:val="0"/>
      <w:marBottom w:val="0"/>
      <w:divBdr>
        <w:top w:val="none" w:sz="0" w:space="0" w:color="auto"/>
        <w:left w:val="none" w:sz="0" w:space="0" w:color="auto"/>
        <w:bottom w:val="none" w:sz="0" w:space="0" w:color="auto"/>
        <w:right w:val="none" w:sz="0" w:space="0" w:color="auto"/>
      </w:divBdr>
    </w:div>
    <w:div w:id="1408841620">
      <w:bodyDiv w:val="1"/>
      <w:marLeft w:val="0"/>
      <w:marRight w:val="0"/>
      <w:marTop w:val="0"/>
      <w:marBottom w:val="0"/>
      <w:divBdr>
        <w:top w:val="none" w:sz="0" w:space="0" w:color="auto"/>
        <w:left w:val="none" w:sz="0" w:space="0" w:color="auto"/>
        <w:bottom w:val="none" w:sz="0" w:space="0" w:color="auto"/>
        <w:right w:val="none" w:sz="0" w:space="0" w:color="auto"/>
      </w:divBdr>
    </w:div>
    <w:div w:id="1464275652">
      <w:bodyDiv w:val="1"/>
      <w:marLeft w:val="0"/>
      <w:marRight w:val="0"/>
      <w:marTop w:val="0"/>
      <w:marBottom w:val="0"/>
      <w:divBdr>
        <w:top w:val="none" w:sz="0" w:space="0" w:color="auto"/>
        <w:left w:val="none" w:sz="0" w:space="0" w:color="auto"/>
        <w:bottom w:val="none" w:sz="0" w:space="0" w:color="auto"/>
        <w:right w:val="none" w:sz="0" w:space="0" w:color="auto"/>
      </w:divBdr>
    </w:div>
    <w:div w:id="1945112839">
      <w:bodyDiv w:val="1"/>
      <w:marLeft w:val="0"/>
      <w:marRight w:val="0"/>
      <w:marTop w:val="0"/>
      <w:marBottom w:val="0"/>
      <w:divBdr>
        <w:top w:val="none" w:sz="0" w:space="0" w:color="auto"/>
        <w:left w:val="none" w:sz="0" w:space="0" w:color="auto"/>
        <w:bottom w:val="none" w:sz="0" w:space="0" w:color="auto"/>
        <w:right w:val="none" w:sz="0" w:space="0" w:color="auto"/>
      </w:divBdr>
    </w:div>
    <w:div w:id="1979458416">
      <w:bodyDiv w:val="1"/>
      <w:marLeft w:val="0"/>
      <w:marRight w:val="0"/>
      <w:marTop w:val="0"/>
      <w:marBottom w:val="0"/>
      <w:divBdr>
        <w:top w:val="none" w:sz="0" w:space="0" w:color="auto"/>
        <w:left w:val="none" w:sz="0" w:space="0" w:color="auto"/>
        <w:bottom w:val="none" w:sz="0" w:space="0" w:color="auto"/>
        <w:right w:val="none" w:sz="0" w:space="0" w:color="auto"/>
      </w:divBdr>
    </w:div>
    <w:div w:id="2009941815">
      <w:bodyDiv w:val="1"/>
      <w:marLeft w:val="0"/>
      <w:marRight w:val="0"/>
      <w:marTop w:val="0"/>
      <w:marBottom w:val="0"/>
      <w:divBdr>
        <w:top w:val="none" w:sz="0" w:space="0" w:color="auto"/>
        <w:left w:val="none" w:sz="0" w:space="0" w:color="auto"/>
        <w:bottom w:val="none" w:sz="0" w:space="0" w:color="auto"/>
        <w:right w:val="none" w:sz="0" w:space="0" w:color="auto"/>
      </w:divBdr>
    </w:div>
    <w:div w:id="21086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 Adrian</dc:creator>
  <cp:keywords/>
  <dc:description/>
  <cp:lastModifiedBy>Perry Sefton</cp:lastModifiedBy>
  <cp:revision>2</cp:revision>
  <dcterms:created xsi:type="dcterms:W3CDTF">2017-01-11T08:28:00Z</dcterms:created>
  <dcterms:modified xsi:type="dcterms:W3CDTF">2017-01-11T08:28:00Z</dcterms:modified>
</cp:coreProperties>
</file>