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27" w:rsidRPr="00105836" w:rsidRDefault="00105836">
      <w:pPr>
        <w:rPr>
          <w:rFonts w:ascii="Verdana" w:hAnsi="Verdana" w:cs="Arial"/>
          <w:b/>
          <w:sz w:val="28"/>
          <w:szCs w:val="28"/>
        </w:rPr>
      </w:pPr>
      <w:r w:rsidRPr="00105836">
        <w:rPr>
          <w:rFonts w:ascii="Verdana" w:hAnsi="Verdana" w:cs="Arial"/>
          <w:b/>
          <w:sz w:val="28"/>
          <w:szCs w:val="28"/>
        </w:rPr>
        <w:t xml:space="preserve">INFORME: El </w:t>
      </w:r>
      <w:proofErr w:type="spellStart"/>
      <w:r w:rsidRPr="00105836">
        <w:rPr>
          <w:rFonts w:ascii="Verdana" w:hAnsi="Verdana" w:cs="Arial"/>
          <w:b/>
          <w:sz w:val="28"/>
          <w:szCs w:val="28"/>
        </w:rPr>
        <w:t>fútbol</w:t>
      </w:r>
      <w:proofErr w:type="spellEnd"/>
      <w:r w:rsidRPr="0010583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105836">
        <w:rPr>
          <w:rFonts w:ascii="Verdana" w:hAnsi="Verdana" w:cs="Arial"/>
          <w:b/>
          <w:sz w:val="28"/>
          <w:szCs w:val="28"/>
        </w:rPr>
        <w:t>femenino</w:t>
      </w:r>
      <w:proofErr w:type="spellEnd"/>
      <w:r w:rsidRPr="0010583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105836">
        <w:rPr>
          <w:rFonts w:ascii="Verdana" w:hAnsi="Verdana" w:cs="Arial"/>
          <w:b/>
          <w:sz w:val="28"/>
          <w:szCs w:val="28"/>
        </w:rPr>
        <w:t>en</w:t>
      </w:r>
      <w:proofErr w:type="spellEnd"/>
      <w:r w:rsidRPr="00105836">
        <w:rPr>
          <w:rFonts w:ascii="Verdana" w:hAnsi="Verdana" w:cs="Arial"/>
          <w:b/>
          <w:sz w:val="28"/>
          <w:szCs w:val="28"/>
        </w:rPr>
        <w:t xml:space="preserve"> Europa</w:t>
      </w:r>
    </w:p>
    <w:p w:rsidR="00105836" w:rsidRPr="00105836" w:rsidRDefault="00105836" w:rsidP="00105836">
      <w:pPr>
        <w:pStyle w:val="NormalWeb"/>
        <w:rPr>
          <w:rFonts w:ascii="Verdana" w:hAnsi="Verdana" w:cs="Arial"/>
          <w:b/>
          <w:color w:val="000000"/>
          <w:sz w:val="20"/>
          <w:szCs w:val="20"/>
        </w:rPr>
      </w:pPr>
      <w:r w:rsidRPr="00105836">
        <w:rPr>
          <w:rFonts w:ascii="Verdana" w:hAnsi="Verdana" w:cs="Arial"/>
          <w:b/>
          <w:color w:val="000000"/>
          <w:sz w:val="20"/>
          <w:szCs w:val="20"/>
        </w:rPr>
        <w:t>¿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Cuál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es el 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estado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del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fútbol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femenino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en las 55 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federaciones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 w:rsidRPr="00105836">
        <w:rPr>
          <w:rFonts w:ascii="Verdana" w:hAnsi="Verdana" w:cs="Arial"/>
          <w:b/>
          <w:color w:val="000000"/>
          <w:sz w:val="20"/>
          <w:szCs w:val="20"/>
        </w:rPr>
        <w:t>nacionales</w:t>
      </w:r>
      <w:proofErr w:type="spellEnd"/>
      <w:r w:rsidRPr="00105836">
        <w:rPr>
          <w:rFonts w:ascii="Verdana" w:hAnsi="Verdana" w:cs="Arial"/>
          <w:b/>
          <w:color w:val="000000"/>
          <w:sz w:val="20"/>
          <w:szCs w:val="20"/>
        </w:rPr>
        <w:t xml:space="preserve"> de la </w:t>
      </w:r>
      <w:proofErr w:type="gramStart"/>
      <w:r w:rsidRPr="00105836">
        <w:rPr>
          <w:rFonts w:ascii="Verdana" w:hAnsi="Verdana" w:cs="Arial"/>
          <w:b/>
          <w:color w:val="000000"/>
          <w:sz w:val="20"/>
          <w:szCs w:val="20"/>
        </w:rPr>
        <w:t>UEFA?</w:t>
      </w:r>
      <w:proofErr w:type="gramEnd"/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El informe 'El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través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las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federaciones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nacionales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2016/17'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muestra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ha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evolucionado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los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últimos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cinco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años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y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ofrece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una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instantánea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deporte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cada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una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las 55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federaciones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miembros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2016.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continúa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creciendo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popularidad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con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cada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vez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mujeres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y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niñas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jugando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o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involucrándose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jugadoras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entrenadoras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y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árbitros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registrados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son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señales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bookmarkStart w:id="0" w:name="_GoBack"/>
      <w:bookmarkEnd w:id="0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de un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progreso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constante, y la UEFA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está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empleándose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para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aumentar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aún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Jugadoras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femeninas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registradas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1,27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millones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un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crecimiento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6%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2015/16</w:t>
      </w:r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Jugadoras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profesionales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y </w:t>
      </w:r>
      <w:proofErr w:type="spellStart"/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semiprofesionales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aumentó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un 119%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2012/13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hasta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2016/17,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alcanzando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2.850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jugadoras</w:t>
      </w:r>
      <w:proofErr w:type="spellEnd"/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Países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con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de 100.000 </w:t>
      </w:r>
      <w:proofErr w:type="spellStart"/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jugadoras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Inglaterra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Francia,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Alemania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Holanda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Noruega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Suecia</w:t>
      </w:r>
      <w:proofErr w:type="spellEnd"/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Entrenadoras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femeninas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cualificadas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17.550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creció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un 31%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2015/16</w:t>
      </w:r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Árbitros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cualificados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10.200, un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aumento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17%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2015/16</w:t>
      </w:r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Equipos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juveniles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femeninos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: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34.000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un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crecimiento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73%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2012/13</w:t>
      </w:r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Audiencia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televisiva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acumulada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en directo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durante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la UEFA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Women's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Champions League en 2016</w:t>
      </w:r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: 3,52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millones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personas</w:t>
      </w:r>
      <w:proofErr w:type="spellEnd"/>
    </w:p>
    <w:p w:rsidR="00105836" w:rsidRPr="00105836" w:rsidRDefault="00105836" w:rsidP="00105836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Ingresos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globales en los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mercados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en los que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está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presente</w:t>
      </w:r>
      <w:proofErr w:type="spell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la </w:t>
      </w:r>
      <w:proofErr w:type="gramStart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>UWCL:</w:t>
      </w:r>
      <w:proofErr w:type="gramEnd"/>
      <w:r w:rsidRPr="00105836">
        <w:rPr>
          <w:rFonts w:ascii="Verdana" w:eastAsia="Times New Roman" w:hAnsi="Verdana" w:cs="Arial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crecieron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más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92%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desde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2013 al 2016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Grandes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eventos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internacionales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la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Copa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Mundial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la FIFA de 2015 en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Canadá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y los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Juegos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Olímpicos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Río 2016 han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contribuido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la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promoción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mientras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que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Campeonato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Europa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la UEFA para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próximo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verano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ya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se divisa en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horizonte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Los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embajadores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especialmente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designados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también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se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están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convirtiendo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modelos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seguir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inspirando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las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nuevas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generaciones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participar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Los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programas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dirigidos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para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impulsar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base,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entrenadoras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las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comunicaciones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sobre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también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están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generando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resultados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positivos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Por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ejemplo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en 34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federaciones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nacionales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figura en el curriculum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escolar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. Y en 20 de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ellas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ahora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el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deporte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femenino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número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uno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</w:pPr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El informe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estadístico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presenta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los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datos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recogidos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las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federaciones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nacionales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en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septiembre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2016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través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una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encuesta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anual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así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como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los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datos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del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fútbol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base de </w:t>
      </w:r>
      <w:proofErr w:type="gram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la UEFA</w:t>
      </w:r>
      <w:proofErr w:type="gram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</w:t>
      </w:r>
      <w:proofErr w:type="spellStart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>junio</w:t>
      </w:r>
      <w:proofErr w:type="spellEnd"/>
      <w:r w:rsidRPr="00105836">
        <w:rPr>
          <w:rFonts w:ascii="Verdana" w:eastAsia="Times New Roman" w:hAnsi="Verdana" w:cs="Arial"/>
          <w:color w:val="000000"/>
          <w:sz w:val="20"/>
          <w:szCs w:val="20"/>
          <w:lang w:val="fr-CH" w:eastAsia="fr-CH"/>
        </w:rPr>
        <w:t xml:space="preserve"> de 2016.</w:t>
      </w:r>
    </w:p>
    <w:p w:rsidR="00105836" w:rsidRPr="00105836" w:rsidRDefault="00105836">
      <w:pPr>
        <w:rPr>
          <w:lang w:val="fr-CH"/>
        </w:rPr>
      </w:pPr>
    </w:p>
    <w:sectPr w:rsidR="00105836" w:rsidRPr="0010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449"/>
    <w:multiLevelType w:val="multilevel"/>
    <w:tmpl w:val="3208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36"/>
    <w:rsid w:val="00075E5E"/>
    <w:rsid w:val="00105836"/>
    <w:rsid w:val="0027411B"/>
    <w:rsid w:val="004C1844"/>
    <w:rsid w:val="00781899"/>
    <w:rsid w:val="00791A3E"/>
    <w:rsid w:val="00A65127"/>
    <w:rsid w:val="00BA09CB"/>
    <w:rsid w:val="00B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A928-BEC5-4FC9-9924-756F1B49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105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11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Elodie</dc:creator>
  <cp:keywords/>
  <dc:description/>
  <cp:lastModifiedBy>Masson Elodie</cp:lastModifiedBy>
  <cp:revision>1</cp:revision>
  <dcterms:created xsi:type="dcterms:W3CDTF">2016-12-15T14:25:00Z</dcterms:created>
  <dcterms:modified xsi:type="dcterms:W3CDTF">2016-12-15T14:27:00Z</dcterms:modified>
</cp:coreProperties>
</file>