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4C" w:rsidRDefault="00D26693">
      <w:pPr>
        <w:pStyle w:val="Title"/>
        <w:ind w:right="163"/>
        <w:rPr>
          <w:rFonts w:ascii="Georgia" w:eastAsia="Georgia" w:hAnsi="Georgia" w:cs="Georgia"/>
          <w:sz w:val="20"/>
          <w:szCs w:val="20"/>
        </w:rPr>
      </w:pPr>
      <w:r>
        <w:rPr>
          <w:rFonts w:ascii="Georgia" w:eastAsia="Georgia" w:hAnsi="Georgia" w:cs="Georgia"/>
          <w:sz w:val="20"/>
          <w:szCs w:val="20"/>
        </w:rPr>
        <w:t>News release</w:t>
      </w:r>
    </w:p>
    <w:tbl>
      <w:tblPr>
        <w:tblStyle w:val="a"/>
        <w:tblW w:w="9072" w:type="dxa"/>
        <w:tblLayout w:type="fixed"/>
        <w:tblLook w:val="0000" w:firstRow="0" w:lastRow="0" w:firstColumn="0" w:lastColumn="0" w:noHBand="0" w:noVBand="0"/>
      </w:tblPr>
      <w:tblGrid>
        <w:gridCol w:w="2268"/>
        <w:gridCol w:w="6804"/>
      </w:tblGrid>
      <w:tr w:rsidR="001E704C">
        <w:tc>
          <w:tcPr>
            <w:tcW w:w="2268" w:type="dxa"/>
          </w:tcPr>
          <w:p w:rsidR="001E704C" w:rsidRDefault="00D26693">
            <w:pPr>
              <w:rPr>
                <w:i/>
                <w:color w:val="000000"/>
              </w:rPr>
            </w:pPr>
            <w:r>
              <w:rPr>
                <w:i/>
                <w:color w:val="000000"/>
              </w:rPr>
              <w:t>Date</w:t>
            </w:r>
          </w:p>
        </w:tc>
        <w:tc>
          <w:tcPr>
            <w:tcW w:w="6804" w:type="dxa"/>
          </w:tcPr>
          <w:p w:rsidR="001E704C" w:rsidRPr="00E51152" w:rsidRDefault="00C22A66">
            <w:pPr>
              <w:spacing w:line="276" w:lineRule="auto"/>
              <w:rPr>
                <w:b/>
              </w:rPr>
            </w:pPr>
            <w:r>
              <w:rPr>
                <w:b/>
              </w:rPr>
              <w:t>4</w:t>
            </w:r>
            <w:r w:rsidR="00E51152" w:rsidRPr="00E51152">
              <w:rPr>
                <w:b/>
                <w:vertAlign w:val="superscript"/>
              </w:rPr>
              <w:t>th</w:t>
            </w:r>
            <w:r w:rsidR="00E51152">
              <w:rPr>
                <w:b/>
              </w:rPr>
              <w:t xml:space="preserve"> </w:t>
            </w:r>
            <w:r>
              <w:rPr>
                <w:b/>
              </w:rPr>
              <w:t>June</w:t>
            </w:r>
            <w:bookmarkStart w:id="0" w:name="_GoBack"/>
            <w:bookmarkEnd w:id="0"/>
            <w:r w:rsidR="00D26693">
              <w:rPr>
                <w:b/>
              </w:rPr>
              <w:t>, 2019</w:t>
            </w:r>
          </w:p>
          <w:p w:rsidR="001E704C" w:rsidRDefault="001E704C">
            <w:pPr>
              <w:rPr>
                <w:color w:val="000000"/>
              </w:rPr>
            </w:pPr>
          </w:p>
        </w:tc>
      </w:tr>
      <w:tr w:rsidR="001E704C">
        <w:tc>
          <w:tcPr>
            <w:tcW w:w="2268" w:type="dxa"/>
          </w:tcPr>
          <w:p w:rsidR="001E704C" w:rsidRDefault="00D26693">
            <w:pPr>
              <w:rPr>
                <w:i/>
                <w:color w:val="000000"/>
              </w:rPr>
            </w:pPr>
            <w:r>
              <w:rPr>
                <w:i/>
                <w:color w:val="000000"/>
              </w:rPr>
              <w:t>Contacts</w:t>
            </w:r>
          </w:p>
        </w:tc>
        <w:tc>
          <w:tcPr>
            <w:tcW w:w="6804" w:type="dxa"/>
          </w:tcPr>
          <w:p w:rsidR="001E704C" w:rsidRDefault="00E51152">
            <w:pPr>
              <w:tabs>
                <w:tab w:val="left" w:pos="1440"/>
              </w:tabs>
              <w:rPr>
                <w:color w:val="000000"/>
              </w:rPr>
            </w:pPr>
            <w:r>
              <w:t>Marian Diyaolu</w:t>
            </w:r>
            <w:r w:rsidR="00D26693">
              <w:rPr>
                <w:color w:val="000000"/>
              </w:rPr>
              <w:t>, PwC Global Communications</w:t>
            </w:r>
          </w:p>
          <w:p w:rsidR="001E704C" w:rsidRDefault="00D26693">
            <w:pPr>
              <w:tabs>
                <w:tab w:val="left" w:pos="1440"/>
              </w:tabs>
              <w:rPr>
                <w:color w:val="000000"/>
              </w:rPr>
            </w:pPr>
            <w:r>
              <w:t xml:space="preserve">Tel: +966 (0) 54 1062393 </w:t>
            </w:r>
            <w:r>
              <w:rPr>
                <w:color w:val="000000"/>
              </w:rPr>
              <w:br/>
              <w:t xml:space="preserve">Email: </w:t>
            </w:r>
            <w:r w:rsidR="00E51152">
              <w:t>marian.diyaolu@pwc.com</w:t>
            </w:r>
          </w:p>
          <w:p w:rsidR="001E704C" w:rsidRDefault="001E704C">
            <w:pPr>
              <w:tabs>
                <w:tab w:val="left" w:pos="1440"/>
              </w:tabs>
              <w:rPr>
                <w:color w:val="000000"/>
              </w:rPr>
            </w:pPr>
          </w:p>
        </w:tc>
      </w:tr>
      <w:tr w:rsidR="001E704C">
        <w:tc>
          <w:tcPr>
            <w:tcW w:w="2268" w:type="dxa"/>
          </w:tcPr>
          <w:p w:rsidR="001E704C" w:rsidRDefault="00D26693">
            <w:pPr>
              <w:ind w:right="163"/>
              <w:rPr>
                <w:i/>
                <w:color w:val="000000"/>
              </w:rPr>
            </w:pPr>
            <w:r>
              <w:rPr>
                <w:i/>
                <w:color w:val="000000"/>
              </w:rPr>
              <w:t xml:space="preserve">Pages </w:t>
            </w:r>
          </w:p>
        </w:tc>
        <w:tc>
          <w:tcPr>
            <w:tcW w:w="6804" w:type="dxa"/>
          </w:tcPr>
          <w:p w:rsidR="001E704C" w:rsidRDefault="00D26693">
            <w:pPr>
              <w:ind w:right="163"/>
              <w:rPr>
                <w:color w:val="000000"/>
              </w:rPr>
            </w:pPr>
            <w:r>
              <w:t>2</w:t>
            </w:r>
            <w:r>
              <w:rPr>
                <w:color w:val="000000"/>
              </w:rPr>
              <w:t xml:space="preserve"> pages</w:t>
            </w:r>
          </w:p>
          <w:p w:rsidR="001E704C" w:rsidRDefault="001E704C">
            <w:pPr>
              <w:ind w:right="163"/>
              <w:rPr>
                <w:color w:val="000000"/>
              </w:rPr>
            </w:pPr>
          </w:p>
        </w:tc>
      </w:tr>
    </w:tbl>
    <w:p w:rsidR="001E704C" w:rsidRDefault="001E704C">
      <w:pPr>
        <w:pStyle w:val="Title"/>
        <w:spacing w:after="0"/>
        <w:ind w:right="163"/>
        <w:jc w:val="center"/>
        <w:rPr>
          <w:rFonts w:ascii="Georgia" w:eastAsia="Georgia" w:hAnsi="Georgia" w:cs="Georgia"/>
          <w:i w:val="0"/>
          <w:sz w:val="28"/>
          <w:szCs w:val="28"/>
        </w:rPr>
      </w:pPr>
    </w:p>
    <w:p w:rsidR="00E51152" w:rsidRPr="00E51152" w:rsidRDefault="00E51152" w:rsidP="00E51152">
      <w:pPr>
        <w:spacing w:line="240" w:lineRule="auto"/>
        <w:rPr>
          <w:rFonts w:ascii="Times New Roman" w:eastAsia="Times New Roman" w:hAnsi="Times New Roman" w:cs="Times New Roman"/>
          <w:sz w:val="24"/>
          <w:szCs w:val="24"/>
          <w:lang w:eastAsia="en-GB"/>
        </w:rPr>
      </w:pPr>
      <w:r w:rsidRPr="00E51152">
        <w:rPr>
          <w:rFonts w:eastAsia="Times New Roman" w:cs="Times New Roman"/>
          <w:b/>
          <w:bCs/>
          <w:color w:val="000000"/>
          <w:sz w:val="28"/>
          <w:szCs w:val="28"/>
          <w:lang w:eastAsia="en-GB"/>
        </w:rPr>
        <w:t>69% of business leaders have experienced a corporate crisis in the last five years yet 29% of companies have no staff dedicated to crisis preparedness</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Pr="00E51152" w:rsidRDefault="00E51152" w:rsidP="00E51152">
      <w:pPr>
        <w:numPr>
          <w:ilvl w:val="0"/>
          <w:numId w:val="1"/>
        </w:numPr>
        <w:spacing w:line="240" w:lineRule="auto"/>
        <w:textAlignment w:val="baseline"/>
        <w:rPr>
          <w:rFonts w:eastAsia="Times New Roman" w:cs="Times New Roman"/>
          <w:i/>
          <w:iCs/>
          <w:color w:val="000000"/>
          <w:lang w:eastAsia="en-GB"/>
        </w:rPr>
      </w:pPr>
      <w:r w:rsidRPr="00E51152">
        <w:rPr>
          <w:rFonts w:eastAsia="Times New Roman" w:cs="Times New Roman"/>
          <w:i/>
          <w:iCs/>
          <w:color w:val="000000"/>
          <w:lang w:eastAsia="en-GB"/>
        </w:rPr>
        <w:t>PwC launches it’s first-ever Global Crisis Survey with findings from across 43 countries with 2,084 respondents, surveyed in 15 different languages</w:t>
      </w:r>
    </w:p>
    <w:p w:rsidR="00E51152" w:rsidRPr="00E51152" w:rsidRDefault="00E51152" w:rsidP="00E51152">
      <w:pPr>
        <w:numPr>
          <w:ilvl w:val="0"/>
          <w:numId w:val="1"/>
        </w:numPr>
        <w:spacing w:line="240" w:lineRule="auto"/>
        <w:ind w:right="-220"/>
        <w:textAlignment w:val="baseline"/>
        <w:rPr>
          <w:rFonts w:eastAsia="Times New Roman" w:cs="Times New Roman"/>
          <w:i/>
          <w:iCs/>
          <w:color w:val="000000"/>
          <w:lang w:eastAsia="en-GB"/>
        </w:rPr>
      </w:pPr>
      <w:r w:rsidRPr="00E51152">
        <w:rPr>
          <w:rFonts w:eastAsia="Times New Roman" w:cs="Times New Roman"/>
          <w:i/>
          <w:iCs/>
          <w:color w:val="000000"/>
          <w:lang w:eastAsia="en-GB"/>
        </w:rPr>
        <w:t>1,430 out of 2,084 senior executives in organisations have experienced at least one crisis in the past five years</w:t>
      </w:r>
    </w:p>
    <w:p w:rsidR="00E51152" w:rsidRPr="00E51152" w:rsidRDefault="00E51152" w:rsidP="00E51152">
      <w:pPr>
        <w:numPr>
          <w:ilvl w:val="0"/>
          <w:numId w:val="1"/>
        </w:numPr>
        <w:spacing w:line="240" w:lineRule="auto"/>
        <w:ind w:right="-220"/>
        <w:textAlignment w:val="baseline"/>
        <w:rPr>
          <w:rFonts w:eastAsia="Times New Roman" w:cs="Times New Roman"/>
          <w:i/>
          <w:iCs/>
          <w:color w:val="000000"/>
          <w:lang w:eastAsia="en-GB"/>
        </w:rPr>
      </w:pPr>
      <w:r w:rsidRPr="00E51152">
        <w:rPr>
          <w:rFonts w:eastAsia="Times New Roman" w:cs="Times New Roman"/>
          <w:i/>
          <w:iCs/>
          <w:color w:val="000000"/>
          <w:lang w:eastAsia="en-GB"/>
        </w:rPr>
        <w:t>Companies with more than 5,000 employees are more likely to have experienced more than 5 crises – an average of one per year</w:t>
      </w:r>
    </w:p>
    <w:p w:rsidR="00E51152" w:rsidRPr="00E51152" w:rsidRDefault="00E51152" w:rsidP="00E51152">
      <w:pPr>
        <w:numPr>
          <w:ilvl w:val="0"/>
          <w:numId w:val="1"/>
        </w:numPr>
        <w:spacing w:line="240" w:lineRule="auto"/>
        <w:textAlignment w:val="baseline"/>
        <w:rPr>
          <w:rFonts w:eastAsia="Times New Roman" w:cs="Times New Roman"/>
          <w:i/>
          <w:iCs/>
          <w:color w:val="000000"/>
          <w:lang w:eastAsia="en-GB"/>
        </w:rPr>
      </w:pPr>
      <w:r w:rsidRPr="00E51152">
        <w:rPr>
          <w:rFonts w:eastAsia="Times New Roman" w:cs="Times New Roman"/>
          <w:i/>
          <w:iCs/>
          <w:color w:val="000000"/>
          <w:lang w:eastAsia="en-GB"/>
        </w:rPr>
        <w:t xml:space="preserve">29% of companies have no staff dedicated to crisis preparedness or response </w:t>
      </w:r>
    </w:p>
    <w:p w:rsidR="00E51152" w:rsidRPr="00E51152" w:rsidRDefault="00E51152" w:rsidP="00E51152">
      <w:pPr>
        <w:spacing w:after="240" w:line="240" w:lineRule="auto"/>
        <w:rPr>
          <w:rFonts w:ascii="Times New Roman" w:eastAsia="Times New Roman" w:hAnsi="Times New Roman" w:cs="Times New Roman"/>
          <w:sz w:val="24"/>
          <w:szCs w:val="24"/>
          <w:lang w:eastAsia="en-GB"/>
        </w:rPr>
      </w:pP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Although the definition of a crisis will vary by industry, it can be agreed that crises don’t discriminate.  Nearly all business leaders (95%) expect to be hit by one in future, with 69% having already experienced a crisis within the last five years. Financial liquidity and technology failure crisis are the most common with both at a high of 23% of having experienced a crisis of this nature.  Companies with 5,000 or more employees are most likely to experience crises related specifically to cybercrime (26%), natural disaster (22%), or leadership (17%) or ethical (16%) misconduct, including fraud, corruption and corporate malfeasance.</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Default="00E51152" w:rsidP="00E51152">
      <w:pPr>
        <w:spacing w:line="240" w:lineRule="auto"/>
        <w:ind w:left="-220" w:right="-220" w:firstLine="220"/>
        <w:rPr>
          <w:rFonts w:eastAsia="Times New Roman" w:cs="Times New Roman"/>
          <w:color w:val="000000"/>
          <w:lang w:eastAsia="en-GB"/>
        </w:rPr>
      </w:pPr>
      <w:r w:rsidRPr="00E51152">
        <w:rPr>
          <w:rFonts w:eastAsia="Times New Roman" w:cs="Times New Roman"/>
          <w:i/>
          <w:iCs/>
          <w:color w:val="000000"/>
          <w:lang w:eastAsia="en-GB"/>
        </w:rPr>
        <w:t>PwC’s Global Crisis Survey 2019</w:t>
      </w:r>
      <w:r w:rsidRPr="00E51152">
        <w:rPr>
          <w:rFonts w:eastAsia="Times New Roman" w:cs="Times New Roman"/>
          <w:color w:val="000000"/>
          <w:lang w:eastAsia="en-GB"/>
        </w:rPr>
        <w:t xml:space="preserve"> delves into conversations with 2084 senior executives in organisations of all sizes in 25 industries and across 43 countries.</w:t>
      </w: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 xml:space="preserve">The survey lists 19 possible crisis triggers which are sorted into seven broad categories, operational, technological, humanitarian, financial, legal, human capital and reputational.  Half of business leaders </w:t>
      </w:r>
      <w:r w:rsidRPr="00E51152">
        <w:rPr>
          <w:rFonts w:eastAsia="Times New Roman" w:cs="Times New Roman"/>
          <w:color w:val="000000"/>
          <w:lang w:eastAsia="en-GB"/>
        </w:rPr>
        <w:br/>
        <w:t xml:space="preserve">(53%) reported having experienced operational crisis. Tech-related crisis, triggered by technological failures and incidents of cybercrime were cited by one third, with humanitarian (29%) and legal (28%) categories of crisis close behind. </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In emerging countries, financial liquidity has a higher percentage as one of the most disruptive crises with 35% in Brazil and 12% in Africa. Legal/regulatory crisis is more prominent in the established markets with 10% in the US, followed by 9% in Canada.</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Kristin Rivera, Global Leader, PwC comments, ‘Crisis can happen to anyone, anywhere and at any time.  Being ready is vital to mitigating its impact on customers and your organisation. Using data as a way to understand your organisations profile around financial liquidity, product failure and other forms of crisis alongside your crisis response is imperative in crisis preparedness.”</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PwC’s research reveals how the basic notion of crisis management can be considered in a new light and the importance of crisis preparedness. Based on the findings from the survey PwC has devised five ways in which the data reveals how companies manage to create a competitive advantage in the wake of crisis:</w:t>
      </w:r>
      <w:r w:rsidRPr="00E51152">
        <w:rPr>
          <w:rFonts w:eastAsia="Times New Roman" w:cs="Times New Roman"/>
          <w:color w:val="000000"/>
          <w:lang w:eastAsia="en-GB"/>
        </w:rPr>
        <w:tab/>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Pr="00E51152" w:rsidRDefault="00E51152" w:rsidP="00E51152">
      <w:pPr>
        <w:numPr>
          <w:ilvl w:val="0"/>
          <w:numId w:val="2"/>
        </w:numPr>
        <w:spacing w:line="240" w:lineRule="auto"/>
        <w:ind w:right="-220"/>
        <w:textAlignment w:val="baseline"/>
        <w:rPr>
          <w:rFonts w:eastAsia="Times New Roman" w:cs="Times New Roman"/>
          <w:color w:val="000000"/>
          <w:lang w:eastAsia="en-GB"/>
        </w:rPr>
      </w:pPr>
      <w:r w:rsidRPr="00E51152">
        <w:rPr>
          <w:rFonts w:eastAsia="Times New Roman" w:cs="Times New Roman"/>
          <w:color w:val="000000"/>
          <w:lang w:eastAsia="en-GB"/>
        </w:rPr>
        <w:t>Allocate budget to crisis management – before it hits</w:t>
      </w:r>
    </w:p>
    <w:p w:rsidR="00E51152" w:rsidRPr="00E51152" w:rsidRDefault="00E51152" w:rsidP="00E51152">
      <w:pPr>
        <w:numPr>
          <w:ilvl w:val="0"/>
          <w:numId w:val="2"/>
        </w:numPr>
        <w:spacing w:line="240" w:lineRule="auto"/>
        <w:ind w:right="-220"/>
        <w:textAlignment w:val="baseline"/>
        <w:rPr>
          <w:rFonts w:eastAsia="Times New Roman" w:cs="Times New Roman"/>
          <w:color w:val="000000"/>
          <w:lang w:eastAsia="en-GB"/>
        </w:rPr>
      </w:pPr>
      <w:r w:rsidRPr="00E51152">
        <w:rPr>
          <w:rFonts w:eastAsia="Times New Roman" w:cs="Times New Roman"/>
          <w:color w:val="000000"/>
          <w:lang w:eastAsia="en-GB"/>
        </w:rPr>
        <w:t>Have a plan - and test it</w:t>
      </w:r>
    </w:p>
    <w:p w:rsidR="00E51152" w:rsidRPr="00E51152" w:rsidRDefault="00E51152" w:rsidP="00E51152">
      <w:pPr>
        <w:numPr>
          <w:ilvl w:val="0"/>
          <w:numId w:val="2"/>
        </w:numPr>
        <w:spacing w:line="240" w:lineRule="auto"/>
        <w:ind w:right="-220"/>
        <w:textAlignment w:val="baseline"/>
        <w:rPr>
          <w:rFonts w:eastAsia="Times New Roman" w:cs="Times New Roman"/>
          <w:color w:val="000000"/>
          <w:lang w:eastAsia="en-GB"/>
        </w:rPr>
      </w:pPr>
      <w:r w:rsidRPr="00E51152">
        <w:rPr>
          <w:rFonts w:eastAsia="Times New Roman" w:cs="Times New Roman"/>
          <w:color w:val="000000"/>
          <w:lang w:eastAsia="en-GB"/>
        </w:rPr>
        <w:t>Adopt a fact-based approach – and don’t neglect key stakeholders</w:t>
      </w:r>
    </w:p>
    <w:p w:rsidR="00E51152" w:rsidRPr="00E51152" w:rsidRDefault="00E51152" w:rsidP="00E51152">
      <w:pPr>
        <w:numPr>
          <w:ilvl w:val="0"/>
          <w:numId w:val="2"/>
        </w:numPr>
        <w:spacing w:line="240" w:lineRule="auto"/>
        <w:ind w:right="-220"/>
        <w:textAlignment w:val="baseline"/>
        <w:rPr>
          <w:rFonts w:eastAsia="Times New Roman" w:cs="Times New Roman"/>
          <w:color w:val="000000"/>
          <w:lang w:eastAsia="en-GB"/>
        </w:rPr>
      </w:pPr>
      <w:r w:rsidRPr="00E51152">
        <w:rPr>
          <w:rFonts w:eastAsia="Times New Roman" w:cs="Times New Roman"/>
          <w:color w:val="000000"/>
          <w:lang w:eastAsia="en-GB"/>
        </w:rPr>
        <w:t>Perform a root-cause analysis – and follow up</w:t>
      </w:r>
    </w:p>
    <w:p w:rsidR="00E51152" w:rsidRPr="00E51152" w:rsidRDefault="00E51152" w:rsidP="00E51152">
      <w:pPr>
        <w:numPr>
          <w:ilvl w:val="0"/>
          <w:numId w:val="2"/>
        </w:numPr>
        <w:spacing w:line="240" w:lineRule="auto"/>
        <w:ind w:right="-220"/>
        <w:textAlignment w:val="baseline"/>
        <w:rPr>
          <w:rFonts w:eastAsia="Times New Roman" w:cs="Times New Roman"/>
          <w:color w:val="000000"/>
          <w:lang w:eastAsia="en-GB"/>
        </w:rPr>
      </w:pPr>
      <w:r w:rsidRPr="00E51152">
        <w:rPr>
          <w:rFonts w:eastAsia="Times New Roman" w:cs="Times New Roman"/>
          <w:color w:val="000000"/>
          <w:lang w:eastAsia="en-GB"/>
        </w:rPr>
        <w:t>Act as a team, and hold to your values</w:t>
      </w:r>
    </w:p>
    <w:p w:rsidR="00E51152" w:rsidRPr="00E51152" w:rsidRDefault="00E51152" w:rsidP="00E51152">
      <w:pPr>
        <w:spacing w:line="240" w:lineRule="auto"/>
        <w:rPr>
          <w:rFonts w:ascii="Times New Roman" w:eastAsia="Times New Roman" w:hAnsi="Times New Roman" w:cs="Times New Roman"/>
          <w:sz w:val="24"/>
          <w:szCs w:val="24"/>
          <w:lang w:eastAsia="en-GB"/>
        </w:rPr>
      </w:pPr>
    </w:p>
    <w:p w:rsidR="00E51152" w:rsidRDefault="00E51152" w:rsidP="00E51152">
      <w:pPr>
        <w:spacing w:line="240" w:lineRule="auto"/>
        <w:ind w:left="-220" w:right="-220" w:firstLine="220"/>
        <w:rPr>
          <w:rFonts w:ascii="Arial" w:eastAsia="Times New Roman" w:hAnsi="Arial" w:cs="Arial"/>
          <w:color w:val="000000"/>
          <w:sz w:val="22"/>
          <w:szCs w:val="22"/>
          <w:lang w:eastAsia="en-GB"/>
        </w:rPr>
      </w:pPr>
      <w:r w:rsidRPr="00E51152">
        <w:rPr>
          <w:rFonts w:eastAsia="Times New Roman" w:cs="Times New Roman"/>
          <w:i/>
          <w:iCs/>
          <w:color w:val="000000"/>
          <w:lang w:eastAsia="en-GB"/>
        </w:rPr>
        <w:t>Download the report series at</w:t>
      </w:r>
      <w:proofErr w:type="gramStart"/>
      <w:r w:rsidRPr="00E51152">
        <w:rPr>
          <w:rFonts w:eastAsia="Times New Roman" w:cs="Times New Roman"/>
          <w:i/>
          <w:iCs/>
          <w:color w:val="000000"/>
          <w:lang w:eastAsia="en-GB"/>
        </w:rPr>
        <w:t xml:space="preserve"> </w:t>
      </w:r>
      <w:r w:rsidRPr="00E51152">
        <w:rPr>
          <w:rFonts w:ascii="Arial" w:eastAsia="Times New Roman" w:hAnsi="Arial" w:cs="Arial"/>
          <w:color w:val="000000"/>
          <w:sz w:val="22"/>
          <w:szCs w:val="22"/>
          <w:lang w:eastAsia="en-GB"/>
        </w:rPr>
        <w:t>..</w:t>
      </w:r>
      <w:proofErr w:type="gramEnd"/>
    </w:p>
    <w:p w:rsidR="001A16BA" w:rsidRPr="00E51152" w:rsidRDefault="001A16BA" w:rsidP="00E51152">
      <w:pPr>
        <w:spacing w:line="240" w:lineRule="auto"/>
        <w:ind w:left="-220" w:right="-220" w:firstLine="220"/>
        <w:rPr>
          <w:rFonts w:ascii="Times New Roman" w:eastAsia="Times New Roman" w:hAnsi="Times New Roman" w:cs="Times New Roman"/>
          <w:sz w:val="24"/>
          <w:szCs w:val="24"/>
          <w:lang w:eastAsia="en-GB"/>
        </w:rPr>
      </w:pPr>
    </w:p>
    <w:p w:rsidR="001E704C" w:rsidRPr="00E51152" w:rsidRDefault="00E51152" w:rsidP="00E51152">
      <w:pPr>
        <w:spacing w:line="240" w:lineRule="auto"/>
        <w:ind w:left="-220" w:right="-220" w:firstLine="220"/>
        <w:rPr>
          <w:rFonts w:ascii="Times New Roman" w:eastAsia="Times New Roman" w:hAnsi="Times New Roman" w:cs="Times New Roman"/>
          <w:sz w:val="24"/>
          <w:szCs w:val="24"/>
          <w:lang w:eastAsia="en-GB"/>
        </w:rPr>
      </w:pPr>
      <w:r w:rsidRPr="00E51152">
        <w:rPr>
          <w:rFonts w:eastAsia="Times New Roman" w:cs="Times New Roman"/>
          <w:color w:val="000000"/>
          <w:lang w:eastAsia="en-GB"/>
        </w:rPr>
        <w:t>Ends.</w:t>
      </w:r>
    </w:p>
    <w:p w:rsidR="001E704C" w:rsidRDefault="001E704C">
      <w:pPr>
        <w:rPr>
          <w:b/>
        </w:rPr>
      </w:pPr>
    </w:p>
    <w:p w:rsidR="001E704C" w:rsidRDefault="00D26693">
      <w:pPr>
        <w:rPr>
          <w:b/>
          <w:color w:val="000000"/>
        </w:rPr>
      </w:pPr>
      <w:r>
        <w:rPr>
          <w:b/>
          <w:color w:val="000000"/>
        </w:rPr>
        <w:t>About Pw</w:t>
      </w:r>
      <w:r>
        <w:rPr>
          <w:b/>
        </w:rPr>
        <w:t>C</w:t>
      </w:r>
    </w:p>
    <w:p w:rsidR="001E704C" w:rsidRDefault="00D26693">
      <w:pPr>
        <w:rPr>
          <w:color w:val="000000"/>
        </w:rPr>
      </w:pPr>
      <w:r>
        <w:rPr>
          <w:color w:val="000000"/>
        </w:rPr>
        <w:t>At PwC, our purpose is to build trust in society and solve important problems.  We’re a network of firms in 158 countries with more than 2</w:t>
      </w:r>
      <w:r>
        <w:t>50</w:t>
      </w:r>
      <w:r>
        <w:rPr>
          <w:color w:val="000000"/>
        </w:rPr>
        <w:t>,000 people who are committed to delivering quality in assurance, advisory and tax services. Find out more and tell us what matters to you by visiting us at www.pwc.com.</w:t>
      </w:r>
    </w:p>
    <w:p w:rsidR="001E704C" w:rsidRDefault="001E704C">
      <w:pPr>
        <w:rPr>
          <w:color w:val="000000"/>
        </w:rPr>
      </w:pPr>
    </w:p>
    <w:p w:rsidR="001E704C" w:rsidRDefault="00D26693">
      <w:pPr>
        <w:rPr>
          <w:color w:val="000000"/>
        </w:rPr>
      </w:pPr>
      <w:r>
        <w:rPr>
          <w:color w:val="000000"/>
        </w:rPr>
        <w:t>PwC refers to the PwC network and/or one or more of its member firms, each of which is a separate legal entity. Please see www.pwc.com/structure for further details.</w:t>
      </w:r>
      <w:r>
        <w:t xml:space="preserve"> </w:t>
      </w:r>
      <w:r>
        <w:rPr>
          <w:color w:val="000000"/>
        </w:rPr>
        <w:t xml:space="preserve"> © 201</w:t>
      </w:r>
      <w:r>
        <w:t>9</w:t>
      </w:r>
      <w:r>
        <w:rPr>
          <w:color w:val="000000"/>
        </w:rPr>
        <w:t xml:space="preserve"> PwC. All rights reserved.</w:t>
      </w:r>
    </w:p>
    <w:p w:rsidR="001E704C" w:rsidRDefault="001E704C"/>
    <w:p w:rsidR="001E704C" w:rsidRDefault="001E704C"/>
    <w:p w:rsidR="001E704C" w:rsidRDefault="001E704C">
      <w:pPr>
        <w:shd w:val="clear" w:color="auto" w:fill="FFFFFF"/>
        <w:spacing w:after="100" w:line="240" w:lineRule="auto"/>
        <w:ind w:right="140"/>
        <w:jc w:val="both"/>
        <w:rPr>
          <w:rFonts w:ascii="Arial" w:eastAsia="Arial" w:hAnsi="Arial" w:cs="Arial"/>
          <w:color w:val="313131"/>
          <w:sz w:val="22"/>
          <w:szCs w:val="22"/>
        </w:rPr>
      </w:pPr>
    </w:p>
    <w:p w:rsidR="001E704C" w:rsidRDefault="001E704C">
      <w:pPr>
        <w:shd w:val="clear" w:color="auto" w:fill="FFFFFF"/>
        <w:spacing w:after="100" w:line="240" w:lineRule="auto"/>
        <w:ind w:right="140"/>
        <w:jc w:val="both"/>
        <w:rPr>
          <w:rFonts w:ascii="Arial" w:eastAsia="Arial" w:hAnsi="Arial" w:cs="Arial"/>
          <w:sz w:val="22"/>
          <w:szCs w:val="22"/>
        </w:rPr>
      </w:pPr>
    </w:p>
    <w:p w:rsidR="001E704C" w:rsidRDefault="001E704C"/>
    <w:sectPr w:rsidR="001E704C">
      <w:headerReference w:type="even" r:id="rId7"/>
      <w:headerReference w:type="default" r:id="rId8"/>
      <w:footerReference w:type="even" r:id="rId9"/>
      <w:footerReference w:type="default" r:id="rId10"/>
      <w:headerReference w:type="first" r:id="rId11"/>
      <w:pgSz w:w="11907" w:h="16839"/>
      <w:pgMar w:top="2552" w:right="1134" w:bottom="851" w:left="198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79" w:rsidRDefault="009D3679">
      <w:pPr>
        <w:spacing w:line="240" w:lineRule="auto"/>
      </w:pPr>
      <w:r>
        <w:separator/>
      </w:r>
    </w:p>
  </w:endnote>
  <w:endnote w:type="continuationSeparator" w:id="0">
    <w:p w:rsidR="009D3679" w:rsidRDefault="009D3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1A16BA">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A16B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79" w:rsidRDefault="009D3679">
      <w:pPr>
        <w:spacing w:line="240" w:lineRule="auto"/>
      </w:pPr>
      <w:r>
        <w:separator/>
      </w:r>
    </w:p>
  </w:footnote>
  <w:footnote w:type="continuationSeparator" w:id="0">
    <w:p w:rsidR="009D3679" w:rsidRDefault="009D3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eastAsia="en-GB"/>
      </w:rPr>
      <w:drawing>
        <wp:anchor distT="0" distB="0" distL="114300" distR="114300" simplePos="0" relativeHeight="251660288"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E704C" w:rsidRDefault="001E704C">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E704C" w:rsidRDefault="001E704C">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eastAsia="en-GB"/>
      </w:rPr>
      <w:drawing>
        <wp:anchor distT="0" distB="0" distL="114300" distR="114300" simplePos="0" relativeHeight="251659264"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117AE"/>
    <w:multiLevelType w:val="multilevel"/>
    <w:tmpl w:val="2B6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560C0"/>
    <w:multiLevelType w:val="multilevel"/>
    <w:tmpl w:val="D94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4C"/>
    <w:rsid w:val="001A16BA"/>
    <w:rsid w:val="001E704C"/>
    <w:rsid w:val="007D0D50"/>
    <w:rsid w:val="009D3679"/>
    <w:rsid w:val="00C22A66"/>
    <w:rsid w:val="00D26693"/>
    <w:rsid w:val="00E51152"/>
    <w:rsid w:val="00F204CE"/>
    <w:rsid w:val="00F73F37"/>
    <w:rsid w:val="00FF6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F725"/>
  <w15:docId w15:val="{6449DCCA-F6A6-4FE6-864D-09A7E64C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51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5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Diyaolu</dc:creator>
  <cp:lastModifiedBy>Pratap Chauhan</cp:lastModifiedBy>
  <cp:revision>2</cp:revision>
  <dcterms:created xsi:type="dcterms:W3CDTF">2019-06-19T13:07:00Z</dcterms:created>
  <dcterms:modified xsi:type="dcterms:W3CDTF">2019-06-19T13:07:00Z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1093889</vt:lpwstr>
  </property>
  <property fmtid="{D5CDD505-2E9C-101B-9397-08002B2CF9AE}" pid="3" name="Jive_VersionGuid">
    <vt:lpwstr>9dca230c-e078-4bc2-b0e6-6ab1ec89ad2c</vt:lpwstr>
  </property>
  <property fmtid="{D5CDD505-2E9C-101B-9397-08002B2CF9AE}" pid="4" name="Offisync_ProviderInitializationData">
    <vt:lpwstr>https://pwc-spark.com</vt:lpwstr>
  </property>
  <property fmtid="{D5CDD505-2E9C-101B-9397-08002B2CF9AE}" pid="5" name="Jive_LatestUserAccountName">
    <vt:lpwstr>mdiyaolu002</vt:lpwstr>
  </property>
  <property fmtid="{D5CDD505-2E9C-101B-9397-08002B2CF9AE}" pid="6" name="Offisync_ServerID">
    <vt:lpwstr>ae74e162-b6db-4989-85f5-e7c79995e2ac</vt:lpwstr>
  </property>
  <property fmtid="{D5CDD505-2E9C-101B-9397-08002B2CF9AE}" pid="7" name="Offisync_UpdateToken">
    <vt:lpwstr>2</vt:lpwstr>
  </property>
</Properties>
</file>