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04C" w:rsidRDefault="00D26693">
      <w:pPr>
        <w:pStyle w:val="Title"/>
        <w:ind w:right="163"/>
        <w:rPr>
          <w:rFonts w:ascii="Georgia" w:eastAsia="Georgia" w:hAnsi="Georgia" w:cs="Georgia"/>
          <w:sz w:val="20"/>
          <w:szCs w:val="20"/>
        </w:rPr>
      </w:pPr>
      <w:r>
        <w:rPr>
          <w:rFonts w:ascii="Georgia" w:eastAsia="Georgia" w:hAnsi="Georgia" w:cs="Georgia"/>
          <w:sz w:val="20"/>
          <w:szCs w:val="20"/>
        </w:rPr>
        <w:t>News release</w:t>
      </w:r>
    </w:p>
    <w:tbl>
      <w:tblPr>
        <w:tblStyle w:val="a"/>
        <w:tblW w:w="9072" w:type="dxa"/>
        <w:tblLayout w:type="fixed"/>
        <w:tblLook w:val="0000" w:firstRow="0" w:lastRow="0" w:firstColumn="0" w:lastColumn="0" w:noHBand="0" w:noVBand="0"/>
      </w:tblPr>
      <w:tblGrid>
        <w:gridCol w:w="2268"/>
        <w:gridCol w:w="6804"/>
      </w:tblGrid>
      <w:tr w:rsidR="001E704C">
        <w:tc>
          <w:tcPr>
            <w:tcW w:w="2268" w:type="dxa"/>
          </w:tcPr>
          <w:p w:rsidR="001E704C" w:rsidRDefault="00D26693">
            <w:pPr>
              <w:rPr>
                <w:i/>
                <w:color w:val="000000"/>
              </w:rPr>
            </w:pPr>
            <w:r>
              <w:rPr>
                <w:i/>
                <w:color w:val="000000"/>
              </w:rPr>
              <w:t>Date</w:t>
            </w:r>
          </w:p>
        </w:tc>
        <w:tc>
          <w:tcPr>
            <w:tcW w:w="6804" w:type="dxa"/>
          </w:tcPr>
          <w:p w:rsidR="001E704C" w:rsidRDefault="005022D8">
            <w:pPr>
              <w:spacing w:line="276" w:lineRule="auto"/>
              <w:rPr>
                <w:b/>
                <w:color w:val="000000"/>
              </w:rPr>
            </w:pPr>
            <w:r>
              <w:rPr>
                <w:b/>
              </w:rPr>
              <w:t>27</w:t>
            </w:r>
            <w:r w:rsidR="00D26693">
              <w:rPr>
                <w:b/>
              </w:rPr>
              <w:t xml:space="preserve"> </w:t>
            </w:r>
            <w:r>
              <w:rPr>
                <w:b/>
              </w:rPr>
              <w:t>May</w:t>
            </w:r>
            <w:r w:rsidR="00D26693">
              <w:rPr>
                <w:b/>
              </w:rPr>
              <w:t xml:space="preserve"> 2019</w:t>
            </w:r>
          </w:p>
          <w:p w:rsidR="001E704C" w:rsidRDefault="001E704C">
            <w:pPr>
              <w:rPr>
                <w:color w:val="000000"/>
              </w:rPr>
            </w:pPr>
          </w:p>
        </w:tc>
      </w:tr>
      <w:tr w:rsidR="001E704C">
        <w:tc>
          <w:tcPr>
            <w:tcW w:w="2268" w:type="dxa"/>
          </w:tcPr>
          <w:p w:rsidR="001E704C" w:rsidRDefault="00D26693">
            <w:pPr>
              <w:rPr>
                <w:i/>
                <w:color w:val="000000"/>
              </w:rPr>
            </w:pPr>
            <w:r>
              <w:rPr>
                <w:i/>
                <w:color w:val="000000"/>
              </w:rPr>
              <w:t>Contacts</w:t>
            </w:r>
          </w:p>
        </w:tc>
        <w:tc>
          <w:tcPr>
            <w:tcW w:w="6804" w:type="dxa"/>
          </w:tcPr>
          <w:p w:rsidR="001E704C" w:rsidRDefault="00D26693">
            <w:pPr>
              <w:tabs>
                <w:tab w:val="left" w:pos="1440"/>
              </w:tabs>
              <w:rPr>
                <w:color w:val="000000"/>
              </w:rPr>
            </w:pPr>
            <w:r>
              <w:t>Dalia Adawieh</w:t>
            </w:r>
            <w:r>
              <w:rPr>
                <w:color w:val="000000"/>
              </w:rPr>
              <w:t>, PwC Global Communications</w:t>
            </w:r>
          </w:p>
          <w:p w:rsidR="001E704C" w:rsidRDefault="00D26693">
            <w:pPr>
              <w:tabs>
                <w:tab w:val="left" w:pos="1440"/>
              </w:tabs>
              <w:rPr>
                <w:color w:val="000000"/>
              </w:rPr>
            </w:pPr>
            <w:r>
              <w:t xml:space="preserve">Tel: +966 (0) 54 1062393 </w:t>
            </w:r>
            <w:r>
              <w:rPr>
                <w:color w:val="000000"/>
              </w:rPr>
              <w:br/>
              <w:t xml:space="preserve">Email: </w:t>
            </w:r>
            <w:r>
              <w:t>dalia.adawieh@pwc.com</w:t>
            </w:r>
          </w:p>
          <w:p w:rsidR="001E704C" w:rsidRDefault="001E704C">
            <w:pPr>
              <w:tabs>
                <w:tab w:val="left" w:pos="1440"/>
              </w:tabs>
              <w:rPr>
                <w:color w:val="000000"/>
              </w:rPr>
            </w:pPr>
          </w:p>
        </w:tc>
      </w:tr>
      <w:tr w:rsidR="001E704C">
        <w:tc>
          <w:tcPr>
            <w:tcW w:w="2268" w:type="dxa"/>
          </w:tcPr>
          <w:p w:rsidR="001E704C" w:rsidRDefault="00D26693">
            <w:pPr>
              <w:ind w:right="163"/>
              <w:rPr>
                <w:i/>
                <w:color w:val="000000"/>
              </w:rPr>
            </w:pPr>
            <w:r>
              <w:rPr>
                <w:i/>
                <w:color w:val="000000"/>
              </w:rPr>
              <w:t xml:space="preserve">Pages </w:t>
            </w:r>
          </w:p>
        </w:tc>
        <w:tc>
          <w:tcPr>
            <w:tcW w:w="6804" w:type="dxa"/>
          </w:tcPr>
          <w:p w:rsidR="001E704C" w:rsidRDefault="00D26693">
            <w:pPr>
              <w:ind w:right="163"/>
              <w:rPr>
                <w:color w:val="000000"/>
              </w:rPr>
            </w:pPr>
            <w:r>
              <w:t>2</w:t>
            </w:r>
            <w:r>
              <w:rPr>
                <w:color w:val="000000"/>
              </w:rPr>
              <w:t xml:space="preserve"> pages</w:t>
            </w:r>
          </w:p>
          <w:p w:rsidR="001E704C" w:rsidRDefault="001E704C">
            <w:pPr>
              <w:ind w:right="163"/>
              <w:rPr>
                <w:color w:val="000000"/>
              </w:rPr>
            </w:pPr>
            <w:bookmarkStart w:id="0" w:name="_GoBack"/>
            <w:bookmarkEnd w:id="0"/>
          </w:p>
        </w:tc>
      </w:tr>
    </w:tbl>
    <w:p w:rsidR="001E704C" w:rsidRDefault="001E704C">
      <w:pPr>
        <w:pStyle w:val="Title"/>
        <w:spacing w:after="0"/>
        <w:ind w:right="163"/>
        <w:jc w:val="center"/>
        <w:rPr>
          <w:rFonts w:ascii="Georgia" w:eastAsia="Georgia" w:hAnsi="Georgia" w:cs="Georgia"/>
          <w:i w:val="0"/>
          <w:sz w:val="28"/>
          <w:szCs w:val="28"/>
        </w:rPr>
      </w:pPr>
    </w:p>
    <w:p w:rsidR="001E704C" w:rsidRDefault="00D26693">
      <w:pPr>
        <w:spacing w:line="240" w:lineRule="auto"/>
        <w:jc w:val="center"/>
        <w:rPr>
          <w:rFonts w:ascii="Arial" w:eastAsia="Arial" w:hAnsi="Arial" w:cs="Arial"/>
          <w:color w:val="313131"/>
          <w:sz w:val="22"/>
          <w:szCs w:val="22"/>
        </w:rPr>
      </w:pPr>
      <w:r>
        <w:rPr>
          <w:b/>
          <w:i/>
        </w:rPr>
        <w:t>Tony O’Malley appointed as PwC’s Global Legal Services Leader</w:t>
      </w:r>
    </w:p>
    <w:p w:rsidR="001E704C" w:rsidRDefault="00D26693">
      <w:pPr>
        <w:spacing w:line="240" w:lineRule="auto"/>
      </w:pPr>
      <w:r>
        <w:t xml:space="preserve"> </w:t>
      </w:r>
    </w:p>
    <w:p w:rsidR="001E704C" w:rsidRDefault="005022D8">
      <w:pPr>
        <w:spacing w:line="240" w:lineRule="auto"/>
        <w:rPr>
          <w:strike/>
        </w:rPr>
      </w:pPr>
      <w:r>
        <w:rPr>
          <w:b/>
        </w:rPr>
        <w:t>27</w:t>
      </w:r>
      <w:r w:rsidR="00D26693">
        <w:rPr>
          <w:b/>
        </w:rPr>
        <w:t xml:space="preserve"> </w:t>
      </w:r>
      <w:r>
        <w:rPr>
          <w:b/>
        </w:rPr>
        <w:t>May</w:t>
      </w:r>
      <w:r w:rsidR="00D26693">
        <w:rPr>
          <w:b/>
        </w:rPr>
        <w:t xml:space="preserve"> 2019:</w:t>
      </w:r>
      <w:r w:rsidR="00D26693">
        <w:t xml:space="preserve"> PwC welcomes the appointment of Tony O’Malley as the Global Leader of PwC’s Legal Services network. </w:t>
      </w:r>
    </w:p>
    <w:p w:rsidR="001E704C" w:rsidRDefault="001E704C">
      <w:pPr>
        <w:spacing w:line="240" w:lineRule="auto"/>
      </w:pPr>
    </w:p>
    <w:p w:rsidR="001E704C" w:rsidRDefault="00D26693">
      <w:pPr>
        <w:shd w:val="clear" w:color="auto" w:fill="FFFFFF"/>
        <w:spacing w:line="240" w:lineRule="auto"/>
        <w:ind w:right="140"/>
      </w:pPr>
      <w:r>
        <w:t xml:space="preserve">Tony also serves as Legal Services Leader for PwC's legal practice in Australia and Asia Pacific, where he has played a key role in designing and implementing the growth strategy for these territories. He brings considerable experience from senior leadership roles in the legal </w:t>
      </w:r>
      <w:proofErr w:type="gramStart"/>
      <w:r>
        <w:t>sector  and</w:t>
      </w:r>
      <w:proofErr w:type="gramEnd"/>
      <w:r>
        <w:t xml:space="preserve"> is widely recognised for his strategic thinking and ability to position law firms for new market challenges.</w:t>
      </w:r>
    </w:p>
    <w:p w:rsidR="001E704C" w:rsidRDefault="00D26693">
      <w:pPr>
        <w:shd w:val="clear" w:color="auto" w:fill="FFFFFF"/>
        <w:spacing w:line="240" w:lineRule="auto"/>
        <w:ind w:right="140"/>
      </w:pPr>
      <w:r>
        <w:t xml:space="preserve"> </w:t>
      </w:r>
    </w:p>
    <w:p w:rsidR="001E704C" w:rsidRDefault="00D26693">
      <w:pPr>
        <w:shd w:val="clear" w:color="auto" w:fill="FFFFFF"/>
        <w:spacing w:line="240" w:lineRule="auto"/>
        <w:ind w:right="140"/>
      </w:pPr>
      <w:r>
        <w:t>PwC’s Legal Services network offers clients a unique multidisciplinary approach, focusing on delivering premium legal capabilities integrated with our traditional service offerings to support clients in solving their business issues in a more holistic way.  The network prioritises those practice areas where the opportunity to create value for clients through integrated solutions is significant and where the market demand is high. This includes M&amp;A, International Business Reorganisations, Regulatory and Workplace projects.</w:t>
      </w:r>
    </w:p>
    <w:p w:rsidR="001E704C" w:rsidRDefault="00D26693">
      <w:pPr>
        <w:shd w:val="clear" w:color="auto" w:fill="FFFFFF"/>
        <w:spacing w:line="240" w:lineRule="auto"/>
        <w:ind w:right="140"/>
      </w:pPr>
      <w:r>
        <w:t xml:space="preserve"> </w:t>
      </w:r>
    </w:p>
    <w:p w:rsidR="001E704C" w:rsidRDefault="00D26693">
      <w:pPr>
        <w:shd w:val="clear" w:color="auto" w:fill="FFFFFF"/>
        <w:spacing w:line="240" w:lineRule="auto"/>
        <w:ind w:right="140"/>
      </w:pPr>
      <w:r>
        <w:t xml:space="preserve">The appointment is with effect from 1 June 2019.  In his new role, Tony will take the reins of one of the fastest growing businesses in our network, leading a team of more than 3,600 skilled legal professionals across 98 countries.  </w:t>
      </w:r>
    </w:p>
    <w:p w:rsidR="001E704C" w:rsidRDefault="001E704C">
      <w:pPr>
        <w:shd w:val="clear" w:color="auto" w:fill="FFFFFF"/>
        <w:spacing w:line="240" w:lineRule="auto"/>
        <w:ind w:right="140"/>
      </w:pPr>
    </w:p>
    <w:p w:rsidR="001E704C" w:rsidRDefault="00D26693">
      <w:pPr>
        <w:shd w:val="clear" w:color="auto" w:fill="FFFFFF"/>
        <w:spacing w:line="240" w:lineRule="auto"/>
        <w:ind w:right="140"/>
      </w:pPr>
      <w:r>
        <w:rPr>
          <w:b/>
          <w:i/>
        </w:rPr>
        <w:t xml:space="preserve">Commenting on his </w:t>
      </w:r>
      <w:r w:rsidR="00F73F37">
        <w:rPr>
          <w:b/>
          <w:i/>
        </w:rPr>
        <w:t>appointment Tony O’ Malley says</w:t>
      </w:r>
      <w:r>
        <w:rPr>
          <w:b/>
          <w:i/>
        </w:rPr>
        <w:t>:</w:t>
      </w:r>
      <w:r>
        <w:t xml:space="preserve"> “I am honoured by the   appointment and excited to be taking on the role at such a dynamic time for our business and the industry as a whole.  We’ve made great progress over the past few years executing on our strategy and I am confident we can build on this success with targeted investment in the legal capabilities and technology that will enhance our integrated offering.  The demand for commercially oriented legal solutions that are technology enabled is only going to grow and we are uniquely placed to deliver on that customer experience.” </w:t>
      </w:r>
    </w:p>
    <w:p w:rsidR="001E704C" w:rsidRDefault="001E704C">
      <w:pPr>
        <w:shd w:val="clear" w:color="auto" w:fill="FFFFFF"/>
        <w:spacing w:line="240" w:lineRule="auto"/>
        <w:ind w:right="140"/>
      </w:pPr>
    </w:p>
    <w:p w:rsidR="001E704C" w:rsidRDefault="00D26693">
      <w:pPr>
        <w:spacing w:line="240" w:lineRule="auto"/>
      </w:pPr>
      <w:r>
        <w:rPr>
          <w:b/>
          <w:i/>
        </w:rPr>
        <w:t>Colm Kelly, PwC’s Global Tax and Legal Services Leader says:</w:t>
      </w:r>
      <w:r>
        <w:rPr>
          <w:b/>
        </w:rPr>
        <w:t xml:space="preserve"> </w:t>
      </w:r>
      <w:r>
        <w:t>“Legal is a key service offering in our practice and enables us to deliver holistic business, tax and legal advice to our clients.  Tony brings experience and a strong reputation for senior leadership to our global team, which is focused on providing clients with an integrated offering adjacent to our other capabilities, in a seamless and consistent manner across our network.”</w:t>
      </w:r>
    </w:p>
    <w:p w:rsidR="001E704C" w:rsidRDefault="001E704C">
      <w:pPr>
        <w:spacing w:line="240" w:lineRule="auto"/>
      </w:pPr>
    </w:p>
    <w:p w:rsidR="001E704C" w:rsidRDefault="001E704C">
      <w:pPr>
        <w:spacing w:line="240" w:lineRule="auto"/>
      </w:pPr>
    </w:p>
    <w:p w:rsidR="001E704C" w:rsidRDefault="001E704C">
      <w:pPr>
        <w:spacing w:line="240" w:lineRule="auto"/>
      </w:pPr>
    </w:p>
    <w:p w:rsidR="001E704C" w:rsidRDefault="00D26693">
      <w:pPr>
        <w:spacing w:before="120" w:after="240" w:line="240" w:lineRule="auto"/>
        <w:rPr>
          <w:color w:val="000000"/>
        </w:rPr>
      </w:pPr>
      <w:r>
        <w:rPr>
          <w:color w:val="000000"/>
        </w:rPr>
        <w:t>Ends.</w:t>
      </w:r>
    </w:p>
    <w:p w:rsidR="001E704C" w:rsidRDefault="001E704C">
      <w:pPr>
        <w:rPr>
          <w:b/>
          <w:color w:val="000000"/>
        </w:rPr>
      </w:pPr>
    </w:p>
    <w:p w:rsidR="001E704C" w:rsidRDefault="001E704C">
      <w:pPr>
        <w:rPr>
          <w:b/>
        </w:rPr>
      </w:pPr>
    </w:p>
    <w:p w:rsidR="00F73F37" w:rsidRDefault="00F73F37">
      <w:pPr>
        <w:rPr>
          <w:b/>
        </w:rPr>
      </w:pPr>
    </w:p>
    <w:p w:rsidR="00F73F37" w:rsidRDefault="00F73F37">
      <w:pPr>
        <w:rPr>
          <w:b/>
        </w:rPr>
      </w:pPr>
    </w:p>
    <w:p w:rsidR="001E704C" w:rsidRDefault="001E704C">
      <w:pPr>
        <w:rPr>
          <w:b/>
        </w:rPr>
      </w:pPr>
    </w:p>
    <w:p w:rsidR="001E704C" w:rsidRDefault="001E704C">
      <w:pPr>
        <w:rPr>
          <w:b/>
        </w:rPr>
      </w:pPr>
    </w:p>
    <w:p w:rsidR="001E704C" w:rsidRDefault="00D26693">
      <w:pPr>
        <w:rPr>
          <w:b/>
          <w:color w:val="000000"/>
        </w:rPr>
      </w:pPr>
      <w:r>
        <w:rPr>
          <w:b/>
          <w:color w:val="000000"/>
        </w:rPr>
        <w:t>About Pw</w:t>
      </w:r>
      <w:r>
        <w:rPr>
          <w:b/>
        </w:rPr>
        <w:t>C</w:t>
      </w:r>
    </w:p>
    <w:p w:rsidR="001E704C" w:rsidRDefault="00D26693">
      <w:pPr>
        <w:rPr>
          <w:color w:val="000000"/>
        </w:rPr>
      </w:pPr>
      <w:r>
        <w:rPr>
          <w:color w:val="000000"/>
        </w:rPr>
        <w:t>At PwC, our purpose is to build trust in society and solve important problems.  We’re a network of firms in 158 countries with more than 2</w:t>
      </w:r>
      <w:r>
        <w:t>50</w:t>
      </w:r>
      <w:r>
        <w:rPr>
          <w:color w:val="000000"/>
        </w:rPr>
        <w:t>,000 people who are committed to delivering quality in assurance, advisory and tax services. Find out more and tell us what matters to you by visiting us at www.pwc.com.</w:t>
      </w:r>
    </w:p>
    <w:p w:rsidR="001E704C" w:rsidRDefault="001E704C">
      <w:pPr>
        <w:rPr>
          <w:color w:val="000000"/>
        </w:rPr>
      </w:pPr>
    </w:p>
    <w:p w:rsidR="001E704C" w:rsidRDefault="00D26693">
      <w:pPr>
        <w:rPr>
          <w:color w:val="000000"/>
        </w:rPr>
      </w:pPr>
      <w:r>
        <w:rPr>
          <w:color w:val="000000"/>
        </w:rPr>
        <w:t>PwC refers to the PwC network and/or one or more of its member firms, each of which is a separate legal entity. Please see www.pwc.com/structure for further details.</w:t>
      </w:r>
      <w:r>
        <w:t xml:space="preserve"> </w:t>
      </w:r>
      <w:r>
        <w:rPr>
          <w:color w:val="000000"/>
        </w:rPr>
        <w:t xml:space="preserve"> © 201</w:t>
      </w:r>
      <w:r>
        <w:t>9</w:t>
      </w:r>
      <w:r>
        <w:rPr>
          <w:color w:val="000000"/>
        </w:rPr>
        <w:t xml:space="preserve"> PwC. All rights reserved.</w:t>
      </w:r>
    </w:p>
    <w:p w:rsidR="001E704C" w:rsidRDefault="001E704C"/>
    <w:p w:rsidR="001E704C" w:rsidRDefault="001E704C"/>
    <w:p w:rsidR="001E704C" w:rsidRDefault="001E704C">
      <w:pPr>
        <w:shd w:val="clear" w:color="auto" w:fill="FFFFFF"/>
        <w:spacing w:after="100" w:line="240" w:lineRule="auto"/>
        <w:ind w:right="140"/>
        <w:jc w:val="both"/>
        <w:rPr>
          <w:rFonts w:ascii="Arial" w:eastAsia="Arial" w:hAnsi="Arial" w:cs="Arial"/>
          <w:color w:val="313131"/>
          <w:sz w:val="22"/>
          <w:szCs w:val="22"/>
        </w:rPr>
      </w:pPr>
    </w:p>
    <w:p w:rsidR="001E704C" w:rsidRDefault="001E704C">
      <w:pPr>
        <w:shd w:val="clear" w:color="auto" w:fill="FFFFFF"/>
        <w:spacing w:after="100" w:line="240" w:lineRule="auto"/>
        <w:ind w:right="140"/>
        <w:jc w:val="both"/>
        <w:rPr>
          <w:rFonts w:ascii="Arial" w:eastAsia="Arial" w:hAnsi="Arial" w:cs="Arial"/>
          <w:sz w:val="22"/>
          <w:szCs w:val="22"/>
        </w:rPr>
      </w:pPr>
    </w:p>
    <w:p w:rsidR="001E704C" w:rsidRDefault="001E704C"/>
    <w:sectPr w:rsidR="001E704C">
      <w:headerReference w:type="even" r:id="rId6"/>
      <w:headerReference w:type="default" r:id="rId7"/>
      <w:footerReference w:type="even" r:id="rId8"/>
      <w:footerReference w:type="default" r:id="rId9"/>
      <w:headerReference w:type="first" r:id="rId10"/>
      <w:pgSz w:w="11907" w:h="16839"/>
      <w:pgMar w:top="2552" w:right="1134" w:bottom="851" w:left="198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B7F" w:rsidRDefault="00FB3B7F">
      <w:pPr>
        <w:spacing w:line="240" w:lineRule="auto"/>
      </w:pPr>
      <w:r>
        <w:separator/>
      </w:r>
    </w:p>
  </w:endnote>
  <w:endnote w:type="continuationSeparator" w:id="0">
    <w:p w:rsidR="00FB3B7F" w:rsidRDefault="00FB3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4C" w:rsidRDefault="00D26693">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4C" w:rsidRDefault="00D26693">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separate"/>
    </w:r>
    <w:r w:rsidR="00F73F37">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F73F3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B7F" w:rsidRDefault="00FB3B7F">
      <w:pPr>
        <w:spacing w:line="240" w:lineRule="auto"/>
      </w:pPr>
      <w:r>
        <w:separator/>
      </w:r>
    </w:p>
  </w:footnote>
  <w:footnote w:type="continuationSeparator" w:id="0">
    <w:p w:rsidR="00FB3B7F" w:rsidRDefault="00FB3B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4C" w:rsidRDefault="00D26693">
    <w:pPr>
      <w:pBdr>
        <w:top w:val="nil"/>
        <w:left w:val="nil"/>
        <w:bottom w:val="nil"/>
        <w:right w:val="nil"/>
        <w:between w:val="nil"/>
      </w:pBdr>
      <w:tabs>
        <w:tab w:val="center" w:pos="4513"/>
        <w:tab w:val="right" w:pos="9026"/>
      </w:tabs>
      <w:spacing w:line="240" w:lineRule="auto"/>
      <w:rPr>
        <w:color w:val="000000"/>
      </w:rPr>
    </w:pPr>
    <w:r>
      <w:rPr>
        <w:noProof/>
        <w:lang w:val="en-US"/>
      </w:rPr>
      <w:drawing>
        <wp:anchor distT="0" distB="0" distL="114300" distR="114300" simplePos="0" relativeHeight="251660288" behindDoc="0" locked="0" layoutInCell="1" hidden="0" allowOverlap="1">
          <wp:simplePos x="0" y="0"/>
          <wp:positionH relativeFrom="column">
            <wp:posOffset>-828674</wp:posOffset>
          </wp:positionH>
          <wp:positionV relativeFrom="paragraph">
            <wp:posOffset>0</wp:posOffset>
          </wp:positionV>
          <wp:extent cx="1410970" cy="12687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1E704C" w:rsidRDefault="001E704C">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4C" w:rsidRDefault="00D26693">
    <w:pPr>
      <w:pBdr>
        <w:top w:val="nil"/>
        <w:left w:val="nil"/>
        <w:bottom w:val="nil"/>
        <w:right w:val="nil"/>
        <w:between w:val="nil"/>
      </w:pBdr>
      <w:tabs>
        <w:tab w:val="center" w:pos="4513"/>
        <w:tab w:val="right" w:pos="9026"/>
      </w:tabs>
      <w:spacing w:line="240" w:lineRule="auto"/>
      <w:rPr>
        <w:color w:val="000000"/>
      </w:rPr>
    </w:pPr>
    <w:r>
      <w:rPr>
        <w:noProof/>
        <w:lang w:val="en-US"/>
      </w:rPr>
      <w:drawing>
        <wp:anchor distT="0" distB="0" distL="114300" distR="114300" simplePos="0" relativeHeight="251658240" behindDoc="0" locked="0" layoutInCell="1" hidden="0" allowOverlap="1">
          <wp:simplePos x="0" y="0"/>
          <wp:positionH relativeFrom="column">
            <wp:posOffset>-828674</wp:posOffset>
          </wp:positionH>
          <wp:positionV relativeFrom="paragraph">
            <wp:posOffset>0</wp:posOffset>
          </wp:positionV>
          <wp:extent cx="1410970" cy="126873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1E704C" w:rsidRDefault="001E704C">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4C" w:rsidRDefault="00D26693">
    <w:pPr>
      <w:pBdr>
        <w:top w:val="nil"/>
        <w:left w:val="nil"/>
        <w:bottom w:val="nil"/>
        <w:right w:val="nil"/>
        <w:between w:val="nil"/>
      </w:pBdr>
      <w:tabs>
        <w:tab w:val="center" w:pos="4513"/>
        <w:tab w:val="right" w:pos="9026"/>
      </w:tabs>
      <w:spacing w:line="240" w:lineRule="auto"/>
      <w:rPr>
        <w:color w:val="000000"/>
      </w:rPr>
    </w:pPr>
    <w:r>
      <w:rPr>
        <w:noProof/>
        <w:lang w:val="en-US"/>
      </w:rPr>
      <w:drawing>
        <wp:anchor distT="0" distB="0" distL="114300" distR="114300" simplePos="0" relativeHeight="251659264" behindDoc="0" locked="0" layoutInCell="1" hidden="0" allowOverlap="1">
          <wp:simplePos x="0" y="0"/>
          <wp:positionH relativeFrom="column">
            <wp:posOffset>-828674</wp:posOffset>
          </wp:positionH>
          <wp:positionV relativeFrom="paragraph">
            <wp:posOffset>0</wp:posOffset>
          </wp:positionV>
          <wp:extent cx="1410970" cy="12687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4C"/>
    <w:rsid w:val="001E704C"/>
    <w:rsid w:val="005022D8"/>
    <w:rsid w:val="00D26693"/>
    <w:rsid w:val="00F73F37"/>
    <w:rsid w:val="00FB3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3785"/>
  <w15:docId w15:val="{6449DCCA-F6A6-4FE6-864D-09A7E64C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 w:color="DC6900"/>
      </w:pBdr>
      <w:spacing w:after="240" w:line="240" w:lineRule="auto"/>
    </w:pPr>
    <w:rPr>
      <w:rFonts w:ascii="Cambria" w:eastAsia="Cambria" w:hAnsi="Cambria" w:cs="Cambria"/>
      <w:b/>
      <w:i/>
      <w:color w:val="000000"/>
      <w:sz w:val="24"/>
      <w:szCs w:val="24"/>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Company>PricewaterhouseCoopers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Kiran Tank</cp:lastModifiedBy>
  <cp:revision>4</cp:revision>
  <dcterms:created xsi:type="dcterms:W3CDTF">2019-05-23T11:41:00Z</dcterms:created>
  <dcterms:modified xsi:type="dcterms:W3CDTF">2019-05-27T07:09:00Z</dcterms:modified>
</cp:coreProperties>
</file>