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4129" w:rsidRDefault="00114AB5">
      <w:pPr>
        <w:pBdr>
          <w:top w:val="nil"/>
          <w:left w:val="nil"/>
          <w:bottom w:val="nil"/>
          <w:right w:val="nil"/>
          <w:between w:val="nil"/>
        </w:pBdr>
        <w:tabs>
          <w:tab w:val="center" w:pos="4536"/>
        </w:tabs>
        <w:rPr>
          <w:i/>
        </w:rPr>
      </w:pPr>
      <w:r>
        <w:rPr>
          <w:i/>
          <w:noProof/>
          <w:lang w:val="en-US"/>
        </w:rPr>
        <mc:AlternateContent>
          <mc:Choice Requires="wps">
            <w:drawing>
              <wp:inline distT="0" distB="0" distL="114300" distR="114300">
                <wp:extent cx="5726748" cy="190500"/>
                <wp:effectExtent l="0" t="0" r="0" b="0"/>
                <wp:docPr id="1" name="Freeform 1"/>
                <wp:cNvGraphicFramePr/>
                <a:graphic xmlns:a="http://schemas.openxmlformats.org/drawingml/2006/main">
                  <a:graphicData uri="http://schemas.microsoft.com/office/word/2010/wordprocessingShape">
                    <wps:wsp>
                      <wps:cNvSpPr/>
                      <wps:spPr>
                        <a:xfrm>
                          <a:off x="2393250" y="3707928"/>
                          <a:ext cx="5905500" cy="144145"/>
                        </a:xfrm>
                        <a:custGeom>
                          <a:avLst/>
                          <a:gdLst/>
                          <a:ahLst/>
                          <a:cxnLst/>
                          <a:rect l="l" t="t" r="r" b="b"/>
                          <a:pathLst>
                            <a:path w="120000" h="120000" extrusionOk="0">
                              <a:moveTo>
                                <a:pt x="0" y="119999"/>
                              </a:moveTo>
                              <a:lnTo>
                                <a:pt x="0" y="0"/>
                              </a:lnTo>
                              <a:lnTo>
                                <a:pt x="120000" y="0"/>
                              </a:lnTo>
                            </a:path>
                          </a:pathLst>
                        </a:custGeom>
                        <a:noFill/>
                        <a:ln w="12700" cap="rnd" cmpd="sng">
                          <a:solidFill>
                            <a:srgbClr val="DC6900"/>
                          </a:solidFill>
                          <a:prstDash val="solid"/>
                          <a:round/>
                          <a:headEnd type="none" w="sm" len="sm"/>
                          <a:tailEnd type="none" w="sm" len="sm"/>
                        </a:ln>
                      </wps:spPr>
                      <wps:bodyPr spcFirstLastPara="1" wrap="square" lIns="91425" tIns="91425" rIns="91425" bIns="91425" anchor="ctr" anchorCtr="0"/>
                    </wps:wsp>
                  </a:graphicData>
                </a:graphic>
              </wp:inline>
            </w:drawing>
          </mc:Choice>
          <mc:Fallback>
            <w:pict>
              <v:shape w14:anchorId="0571B795" id="Freeform 1" o:spid="_x0000_s1026" style="width:450.95pt;height:15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" path="m,119999l,,120000,e" filled="f" strokecolor="#dc6900" strokeweight="1pt">
                <v:stroke startarrowwidth="narrow" startarrowlength="short" endarrowwidth="narrow" endarrowlength="short" endcap="round"/>
                <v:path arrowok="t" o:extrusionok="f"/>
                <w10:anchorlock/>
              </v:shape>
            </w:pict>
          </mc:Fallback>
        </mc:AlternateContent>
      </w:r>
      <w:r>
        <w:rPr>
          <w:i/>
        </w:rPr>
        <w:tab/>
      </w:r>
    </w:p>
    <w:p w:rsidR="00924129" w:rsidRDefault="00114AB5">
      <w:pPr>
        <w:pStyle w:val="Title"/>
        <w:pBdr>
          <w:top w:val="nil"/>
          <w:left w:val="nil"/>
          <w:bottom w:val="nil"/>
          <w:right w:val="nil"/>
          <w:between w:val="nil"/>
        </w:pBdr>
        <w:rPr>
          <w:rFonts w:ascii="Georgia" w:eastAsia="Georgia" w:hAnsi="Georgia" w:cs="Georgia"/>
          <w:sz w:val="22"/>
          <w:szCs w:val="22"/>
        </w:rPr>
      </w:pPr>
      <w:r>
        <w:rPr>
          <w:rFonts w:ascii="Georgia" w:eastAsia="Georgia" w:hAnsi="Georgia" w:cs="Georgia"/>
          <w:sz w:val="22"/>
          <w:szCs w:val="22"/>
        </w:rPr>
        <w:t>Press Release</w:t>
      </w:r>
    </w:p>
    <w:tbl>
      <w:tblPr>
        <w:tblStyle w:val="a"/>
        <w:tblW w:w="9583" w:type="dxa"/>
        <w:tblLayout w:type="fixed"/>
        <w:tblLook w:val="0000" w:firstRow="0" w:lastRow="0" w:firstColumn="0" w:lastColumn="0" w:noHBand="0" w:noVBand="0"/>
      </w:tblPr>
      <w:tblGrid>
        <w:gridCol w:w="2906"/>
        <w:gridCol w:w="6677"/>
      </w:tblGrid>
      <w:tr w:rsidR="00924129">
        <w:trPr>
          <w:trHeight w:val="560"/>
        </w:trPr>
        <w:tc>
          <w:tcPr>
            <w:tcW w:w="2906" w:type="dxa"/>
            <w:shd w:val="clear" w:color="auto" w:fill="FFFFFF"/>
          </w:tcPr>
          <w:p w:rsidR="00924129" w:rsidRDefault="00114AB5">
            <w:pPr>
              <w:pBdr>
                <w:top w:val="nil"/>
                <w:left w:val="nil"/>
                <w:bottom w:val="nil"/>
                <w:right w:val="nil"/>
                <w:between w:val="nil"/>
              </w:pBdr>
              <w:rPr>
                <w:i/>
              </w:rPr>
            </w:pPr>
            <w:r>
              <w:rPr>
                <w:i/>
              </w:rPr>
              <w:t>Date</w:t>
            </w:r>
          </w:p>
        </w:tc>
        <w:tc>
          <w:tcPr>
            <w:tcW w:w="6677" w:type="dxa"/>
            <w:shd w:val="clear" w:color="auto" w:fill="FFFFFF"/>
          </w:tcPr>
          <w:p w:rsidR="00924129" w:rsidRDefault="00114AB5">
            <w:pPr>
              <w:pBdr>
                <w:top w:val="nil"/>
                <w:left w:val="nil"/>
                <w:bottom w:val="nil"/>
                <w:right w:val="nil"/>
                <w:between w:val="nil"/>
              </w:pBdr>
              <w:rPr>
                <w:b/>
                <w:color w:val="FF0000"/>
              </w:rPr>
            </w:pPr>
            <w:r>
              <w:rPr>
                <w:b/>
                <w:color w:val="FF0000"/>
              </w:rPr>
              <w:t>Embargoed until 00:01 GMT Monday 5th November 2018</w:t>
            </w:r>
          </w:p>
        </w:tc>
      </w:tr>
      <w:tr w:rsidR="00924129">
        <w:trPr>
          <w:trHeight w:val="980"/>
        </w:trPr>
        <w:tc>
          <w:tcPr>
            <w:tcW w:w="2906" w:type="dxa"/>
            <w:shd w:val="clear" w:color="auto" w:fill="FFFFFF"/>
          </w:tcPr>
          <w:p w:rsidR="00924129" w:rsidRDefault="00114AB5">
            <w:pPr>
              <w:pBdr>
                <w:top w:val="nil"/>
                <w:left w:val="nil"/>
                <w:bottom w:val="nil"/>
                <w:right w:val="nil"/>
                <w:between w:val="nil"/>
              </w:pBdr>
              <w:rPr>
                <w:i/>
              </w:rPr>
            </w:pPr>
            <w:r>
              <w:rPr>
                <w:i/>
              </w:rPr>
              <w:t>Contact</w:t>
            </w:r>
          </w:p>
        </w:tc>
        <w:tc>
          <w:tcPr>
            <w:tcW w:w="6677" w:type="dxa"/>
            <w:shd w:val="clear" w:color="auto" w:fill="FFFFFF"/>
          </w:tcPr>
          <w:p w:rsidR="00924129" w:rsidRDefault="00114AB5">
            <w:pPr>
              <w:pBdr>
                <w:top w:val="nil"/>
                <w:left w:val="nil"/>
                <w:bottom w:val="nil"/>
                <w:right w:val="nil"/>
                <w:between w:val="nil"/>
              </w:pBdr>
            </w:pPr>
            <w:r>
              <w:t>Ellie Raven, senior media relations manager, PwC</w:t>
            </w:r>
            <w:r w:rsidR="0078330F">
              <w:t xml:space="preserve"> UK</w:t>
            </w:r>
            <w:r>
              <w:br/>
              <w:t>Tel: +44 (0) 7525 925 830</w:t>
            </w:r>
            <w:r>
              <w:br/>
              <w:t xml:space="preserve">Email: </w:t>
            </w:r>
            <w:hyperlink r:id="rId7">
              <w:r>
                <w:rPr>
                  <w:color w:val="1155CC"/>
                  <w:u w:val="single"/>
                </w:rPr>
                <w:t>ellie.raven@pwc.com</w:t>
              </w:r>
            </w:hyperlink>
          </w:p>
          <w:p w:rsidR="00924129" w:rsidRDefault="00924129">
            <w:pPr>
              <w:pBdr>
                <w:top w:val="nil"/>
                <w:left w:val="nil"/>
                <w:bottom w:val="nil"/>
                <w:right w:val="nil"/>
                <w:between w:val="nil"/>
              </w:pBdr>
            </w:pPr>
          </w:p>
          <w:p w:rsidR="00924129" w:rsidRDefault="00114AB5">
            <w:pPr>
              <w:pBdr>
                <w:top w:val="nil"/>
                <w:left w:val="nil"/>
                <w:bottom w:val="nil"/>
                <w:right w:val="nil"/>
                <w:between w:val="nil"/>
              </w:pBdr>
            </w:pPr>
            <w:r>
              <w:t>Chris Harris, communications and marketing director, ULI Europe</w:t>
            </w:r>
          </w:p>
          <w:p w:rsidR="00924129" w:rsidRDefault="00114AB5">
            <w:pPr>
              <w:pBdr>
                <w:top w:val="nil"/>
                <w:left w:val="nil"/>
                <w:bottom w:val="nil"/>
                <w:right w:val="nil"/>
                <w:between w:val="nil"/>
              </w:pBdr>
            </w:pPr>
            <w:r>
              <w:t>Tel: +44 (0) 7909 824 760</w:t>
            </w:r>
          </w:p>
          <w:p w:rsidR="00924129" w:rsidRDefault="00114AB5">
            <w:pPr>
              <w:pBdr>
                <w:top w:val="nil"/>
                <w:left w:val="nil"/>
                <w:bottom w:val="nil"/>
                <w:right w:val="nil"/>
                <w:between w:val="nil"/>
              </w:pBdr>
            </w:pPr>
            <w:r>
              <w:t xml:space="preserve">Email: chris.harris@uli.org </w:t>
            </w:r>
            <w:r>
              <w:fldChar w:fldCharType="begin"/>
            </w:r>
            <w:r>
              <w:instrText xml:space="preserve"> HYPERLINK "mailto:claire.j.kennon@uk.pwc.com" </w:instrText>
            </w:r>
            <w:r>
              <w:fldChar w:fldCharType="separate"/>
            </w:r>
          </w:p>
          <w:p w:rsidR="00924129" w:rsidRDefault="00924129">
            <w:pPr>
              <w:pBdr>
                <w:top w:val="nil"/>
                <w:left w:val="nil"/>
                <w:bottom w:val="nil"/>
                <w:right w:val="nil"/>
                <w:between w:val="nil"/>
              </w:pBdr>
            </w:pPr>
          </w:p>
        </w:tc>
      </w:tr>
      <w:tr w:rsidR="00924129">
        <w:trPr>
          <w:trHeight w:val="240"/>
        </w:trPr>
        <w:tc>
          <w:tcPr>
            <w:tcW w:w="2906" w:type="dxa"/>
            <w:shd w:val="clear" w:color="auto" w:fill="FFFFFF"/>
          </w:tcPr>
          <w:p w:rsidR="00924129" w:rsidRDefault="00114AB5">
            <w:pPr>
              <w:pBdr>
                <w:top w:val="nil"/>
                <w:left w:val="nil"/>
                <w:bottom w:val="nil"/>
                <w:right w:val="nil"/>
                <w:between w:val="nil"/>
              </w:pBdr>
              <w:rPr>
                <w:i/>
              </w:rPr>
            </w:pPr>
            <w:r>
              <w:fldChar w:fldCharType="end"/>
            </w:r>
            <w:r>
              <w:rPr>
                <w:i/>
              </w:rPr>
              <w:t xml:space="preserve">Pages </w:t>
            </w:r>
          </w:p>
        </w:tc>
        <w:tc>
          <w:tcPr>
            <w:tcW w:w="6677" w:type="dxa"/>
            <w:shd w:val="clear" w:color="auto" w:fill="FFFFFF"/>
          </w:tcPr>
          <w:p w:rsidR="00924129" w:rsidRDefault="00114AB5">
            <w:pPr>
              <w:pBdr>
                <w:top w:val="nil"/>
                <w:left w:val="nil"/>
                <w:bottom w:val="nil"/>
                <w:right w:val="nil"/>
                <w:between w:val="nil"/>
              </w:pBdr>
            </w:pPr>
            <w:r>
              <w:t>2</w:t>
            </w:r>
          </w:p>
        </w:tc>
      </w:tr>
    </w:tbl>
    <w:p w:rsidR="00924129" w:rsidRDefault="00114AB5">
      <w:pPr>
        <w:pBdr>
          <w:top w:val="nil"/>
          <w:left w:val="nil"/>
          <w:bottom w:val="nil"/>
          <w:right w:val="nil"/>
          <w:between w:val="nil"/>
        </w:pBdr>
        <w:rPr>
          <w:sz w:val="18"/>
          <w:szCs w:val="18"/>
        </w:rPr>
      </w:pPr>
      <w:r>
        <w:rPr>
          <w:noProof/>
          <w:sz w:val="22"/>
          <w:szCs w:val="22"/>
          <w:lang w:val="en-US"/>
        </w:rPr>
        <mc:AlternateContent>
          <mc:Choice Requires="wps">
            <w:drawing>
              <wp:inline distT="0" distB="0" distL="114300" distR="114300">
                <wp:extent cx="5778500" cy="12700"/>
                <wp:effectExtent l="0" t="0" r="0" b="0"/>
                <wp:docPr id="2" name="Straight Arrow Connector 2"/>
                <wp:cNvGraphicFramePr/>
                <a:graphic xmlns:a="http://schemas.openxmlformats.org/drawingml/2006/main">
                  <a:graphicData uri="http://schemas.microsoft.com/office/word/2010/wordprocessingShape">
                    <wps:wsp>
                      <wps:cNvCnPr/>
                      <wps:spPr>
                        <a:xfrm>
                          <a:off x="2456433" y="3780000"/>
                          <a:ext cx="5779135" cy="0"/>
                        </a:xfrm>
                        <a:prstGeom prst="straightConnector1">
                          <a:avLst/>
                        </a:prstGeom>
                        <a:noFill/>
                        <a:ln w="9525" cap="flat" cmpd="sng">
                          <a:solidFill>
                            <a:srgbClr val="E36C0A"/>
                          </a:solidFill>
                          <a:prstDash val="solid"/>
                          <a:round/>
                          <a:headEnd type="none" w="sm" len="sm"/>
                          <a:tailEnd type="none" w="sm" len="sm"/>
                        </a:ln>
                      </wps:spPr>
                      <wps:bodyPr/>
                    </wps:wsp>
                  </a:graphicData>
                </a:graphic>
              </wp:inline>
            </w:drawing>
          </mc:Choice>
          <mc:Fallback>
            <w:pict>
              <v:shapetype w14:anchorId="15C2D0A8" id="_x0000_t32" coordsize="21600,21600" o:spt="32" o:oned="t" path="m,l21600,21600e" filled="f">
                <v:path arrowok="t" fillok="f" o:connecttype="none"/>
                <o:lock v:ext="edit" shapetype="t"/>
              </v:shapetype>
              <v:shape id="Straight Arrow Connector 2" o:spid="_x0000_s1026" type="#_x0000_t32" style="width:455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" strokecolor="#e36c0a">
                <v:stroke startarrowwidth="narrow" startarrowlength="short" endarrowwidth="narrow" endarrowlength="short"/>
                <w10:anchorlock/>
              </v:shape>
            </w:pict>
          </mc:Fallback>
        </mc:AlternateContent>
      </w:r>
      <w:r>
        <w:rPr>
          <w:b/>
          <w:i/>
          <w:sz w:val="22"/>
          <w:szCs w:val="22"/>
        </w:rPr>
        <w:br/>
      </w:r>
    </w:p>
    <w:p w:rsidR="00924129" w:rsidRDefault="00114AB5">
      <w:pPr>
        <w:rPr>
          <w:b/>
          <w:sz w:val="22"/>
          <w:szCs w:val="22"/>
        </w:rPr>
      </w:pPr>
      <w:r>
        <w:rPr>
          <w:b/>
          <w:sz w:val="22"/>
          <w:szCs w:val="22"/>
        </w:rPr>
        <w:t xml:space="preserve">Cautious European real estate investors look for a mix of healthy occupier markets and new asset classes as the sector edges towards end of the cycle - </w:t>
      </w:r>
      <w:r>
        <w:rPr>
          <w:b/>
          <w:i/>
          <w:sz w:val="22"/>
          <w:szCs w:val="22"/>
        </w:rPr>
        <w:t>ULI/ PwC’s Emerging Trends in Real Estate Europe 2019</w:t>
      </w:r>
    </w:p>
    <w:p w:rsidR="00924129" w:rsidRDefault="00924129"/>
    <w:p w:rsidR="00924129" w:rsidRDefault="00114AB5">
      <w:pPr>
        <w:rPr>
          <w:i/>
        </w:rPr>
      </w:pPr>
      <w:r>
        <w:t xml:space="preserve">The hunt for secure long-term income is driving European real estate investment as the industry hedges against potential interest rate rises and an uncertain geopolitical backdrop, according to </w:t>
      </w:r>
      <w:r>
        <w:rPr>
          <w:i/>
        </w:rPr>
        <w:t>Emerging Trends in Real Estate® Europe 2019.</w:t>
      </w:r>
    </w:p>
    <w:p w:rsidR="00924129" w:rsidRDefault="00114AB5">
      <w:r>
        <w:t xml:space="preserve"> </w:t>
      </w:r>
    </w:p>
    <w:p w:rsidR="00924129" w:rsidRDefault="00114AB5">
      <w:r>
        <w:t xml:space="preserve">The annual report, published jointly by the </w:t>
      </w:r>
      <w:hyperlink r:id="rId8">
        <w:r>
          <w:rPr>
            <w:color w:val="1155CC"/>
            <w:u w:val="single"/>
          </w:rPr>
          <w:t>Urban Land Institute</w:t>
        </w:r>
      </w:hyperlink>
      <w:r>
        <w:t xml:space="preserve"> (ULI) and PwC, is based on the opinions of over 800 real estate professionals in Europe, including investors, developers, lenders, and advisors.</w:t>
      </w:r>
    </w:p>
    <w:p w:rsidR="00924129" w:rsidRDefault="00924129"/>
    <w:p w:rsidR="00924129" w:rsidRDefault="00114AB5">
      <w:r>
        <w:t xml:space="preserve">Lisette van Doorn, CEO of ULI Europe, said: </w:t>
      </w:r>
    </w:p>
    <w:p w:rsidR="00924129" w:rsidRDefault="00924129"/>
    <w:p w:rsidR="00924129" w:rsidRDefault="00114AB5">
      <w:pPr>
        <w:ind w:left="720"/>
      </w:pPr>
      <w:r>
        <w:t>“Investors are becoming more cautious, and investment and development preferences are more and more driven by real estate fundamentals such as the economic growth prospects and health of the local occupier markets. Sentiment is more negative on cities and countries facing higher (geo) political risks, which creates uncertainty that investors don’t like. Brexit is a clear example in this respect, where a number of respondents feel the UK will lose some of its competitive advantage, which impacts investment and development prospects”</w:t>
      </w:r>
    </w:p>
    <w:p w:rsidR="00924129" w:rsidRDefault="00924129"/>
    <w:p w:rsidR="00924129" w:rsidRDefault="00114AB5">
      <w:r>
        <w:t>This caution is also reflected in the expectations related to the availability of equity and debt, with around 28% of survey respondents believing that the amount of equity available for refinancing or new investment will increase, compared with 50% last year. However, last year’s confidence was particularly high, and there are few current concerns about liquidity, other than for challenging sectors such as retail, as demonstrated by the majority (54%) who believe the availability of equity will be about the same.</w:t>
      </w:r>
    </w:p>
    <w:p w:rsidR="00924129" w:rsidRDefault="00114AB5">
      <w:r>
        <w:lastRenderedPageBreak/>
        <w:t xml:space="preserve"> </w:t>
      </w:r>
    </w:p>
    <w:p w:rsidR="00924129" w:rsidRDefault="00114AB5">
      <w:r>
        <w:t xml:space="preserve">One of the main barriers to investment continues to be the availability of suitable assets as capital continues to flow into Europe, with strong increases expected from Asia. This is putting pressure on the core end of the market with 70% of survey respondents either agreeing or strongly agreeing that prime assets are over-priced. </w:t>
      </w:r>
    </w:p>
    <w:p w:rsidR="00924129" w:rsidRDefault="00114AB5">
      <w:r>
        <w:t xml:space="preserve"> </w:t>
      </w:r>
    </w:p>
    <w:p w:rsidR="00924129" w:rsidRDefault="00114AB5">
      <w:pPr>
        <w:rPr>
          <w:b/>
        </w:rPr>
      </w:pPr>
      <w:r>
        <w:rPr>
          <w:b/>
        </w:rPr>
        <w:t>Interest in alternative asset classes continues to rise in face of tough capital markets environment</w:t>
      </w:r>
    </w:p>
    <w:p w:rsidR="00924129" w:rsidRDefault="00924129"/>
    <w:p w:rsidR="00924129" w:rsidRDefault="00114AB5">
      <w:r>
        <w:t xml:space="preserve">One response to this more challenging capital markets environment is that investors are turning to asset classes that are experiencing structural tailwinds and which are less likely to be affected by the current cycle. But </w:t>
      </w:r>
      <w:r>
        <w:rPr>
          <w:i/>
        </w:rPr>
        <w:t>Emerging Trends in Real Estate® Europe</w:t>
      </w:r>
      <w:r>
        <w:t xml:space="preserve"> suggests that this is only part of the story.</w:t>
      </w:r>
    </w:p>
    <w:p w:rsidR="00924129" w:rsidRDefault="00924129"/>
    <w:p w:rsidR="00924129" w:rsidRDefault="00114AB5">
      <w:r>
        <w:t xml:space="preserve">Gareth Lewis, head of real estate research at PwC UK said: </w:t>
      </w:r>
    </w:p>
    <w:p w:rsidR="00924129" w:rsidRDefault="00924129"/>
    <w:p w:rsidR="00924129" w:rsidRDefault="00114AB5">
      <w:pPr>
        <w:ind w:left="720"/>
      </w:pPr>
      <w:r>
        <w:t xml:space="preserve">“The last five or so years has seen a remarkable shift by investors towards alternative real estate, or ‘niche’ sectors. In part this is clearly driven by where we are in the cycle and the search for income. But it is also a response to the innovation that is disrupting the more traditional sectors and a number of long term trends such as demographics and urbanisation.” </w:t>
      </w:r>
    </w:p>
    <w:p w:rsidR="00924129" w:rsidRDefault="00924129"/>
    <w:p w:rsidR="00924129" w:rsidRDefault="00114AB5">
      <w:r>
        <w:t>Residential stands out in this respect, with seven out of the top ten sectors preferred for investment and development, including some form of residential, ranging from co-living, student housing, retirement living to social housing and regular residential housing.</w:t>
      </w:r>
    </w:p>
    <w:p w:rsidR="00924129" w:rsidRDefault="00924129"/>
    <w:p w:rsidR="00924129" w:rsidRDefault="00114AB5">
      <w:r>
        <w:t xml:space="preserve">Gareth Lewis concluded: </w:t>
      </w:r>
    </w:p>
    <w:p w:rsidR="00924129" w:rsidRDefault="00924129"/>
    <w:p w:rsidR="00924129" w:rsidRDefault="00114AB5">
      <w:pPr>
        <w:ind w:left="720"/>
      </w:pPr>
      <w:r>
        <w:t>“Investors are seeking greater exposure to sectors that are supported by strong, more predictable demographic and infrastructure drivers, such as residential related sectors - and this requires them to focus more on the operational management of the assets.”</w:t>
      </w:r>
    </w:p>
    <w:p w:rsidR="00924129" w:rsidRDefault="00924129"/>
    <w:p w:rsidR="00924129" w:rsidRDefault="00114AB5">
      <w:r>
        <w:t>In addition to residential, logistics and niche sectors such as data centres and flexible offices are making up the top ten. Logistics clearly continues to benefit the growth of e-commerce. Traditional formats such as city central or suburban offices and retail formats continue to languish at the bottom of the rankings.</w:t>
      </w:r>
    </w:p>
    <w:p w:rsidR="00924129" w:rsidRDefault="00924129"/>
    <w:p w:rsidR="00924129" w:rsidRDefault="00114AB5">
      <w:pPr>
        <w:rPr>
          <w:b/>
        </w:rPr>
      </w:pPr>
      <w:r>
        <w:rPr>
          <w:b/>
        </w:rPr>
        <w:t>Sector prospects in 2019 - top ten</w:t>
      </w:r>
    </w:p>
    <w:p w:rsidR="00924129" w:rsidRDefault="00924129">
      <w:pPr>
        <w:rPr>
          <w:b/>
        </w:rPr>
      </w:pPr>
    </w:p>
    <w:tbl>
      <w:tblPr>
        <w:tblStyle w:val="a0"/>
        <w:tblW w:w="8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3090"/>
        <w:gridCol w:w="1575"/>
        <w:gridCol w:w="2055"/>
      </w:tblGrid>
      <w:tr w:rsidR="00924129">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rPr>
                <w:b/>
              </w:rPr>
            </w:pPr>
            <w:r>
              <w:rPr>
                <w:b/>
              </w:rPr>
              <w:t>Overall ranking</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rPr>
                <w:b/>
              </w:rPr>
            </w:pPr>
            <w:r>
              <w:rPr>
                <w:b/>
              </w:rPr>
              <w:t>Sector</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rPr>
                <w:b/>
              </w:rPr>
            </w:pPr>
            <w:r>
              <w:rPr>
                <w:b/>
              </w:rPr>
              <w:t>Investment ranking</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rPr>
                <w:b/>
              </w:rPr>
            </w:pPr>
            <w:r>
              <w:rPr>
                <w:b/>
              </w:rPr>
              <w:t>Development ranking</w:t>
            </w:r>
          </w:p>
        </w:tc>
      </w:tr>
      <w:tr w:rsidR="00924129">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Co-living*</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w:t>
            </w:r>
          </w:p>
        </w:tc>
      </w:tr>
      <w:tr w:rsidR="00924129">
        <w:trPr>
          <w:trHeight w:val="460"/>
        </w:trPr>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2</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Logistics facilities</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3</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2</w:t>
            </w:r>
          </w:p>
        </w:tc>
      </w:tr>
      <w:tr w:rsidR="00924129">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3</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Retirement/ assisted living</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4</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3</w:t>
            </w:r>
          </w:p>
        </w:tc>
      </w:tr>
      <w:tr w:rsidR="00924129">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lastRenderedPageBreak/>
              <w:t>4</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Flexible/serviced offices</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5</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4</w:t>
            </w:r>
          </w:p>
        </w:tc>
      </w:tr>
      <w:tr w:rsidR="00924129">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5</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Data centres*</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2</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5</w:t>
            </w:r>
          </w:p>
        </w:tc>
      </w:tr>
      <w:tr w:rsidR="00924129">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6</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Student housing</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6</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6</w:t>
            </w:r>
          </w:p>
        </w:tc>
      </w:tr>
      <w:tr w:rsidR="00924129">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7</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Private rented residential</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8</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7</w:t>
            </w:r>
          </w:p>
        </w:tc>
      </w:tr>
      <w:tr w:rsidR="00924129">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8</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Serviced apartments</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7</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8</w:t>
            </w:r>
          </w:p>
        </w:tc>
      </w:tr>
      <w:tr w:rsidR="00924129">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9</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Housebuilding for sale</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13</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9</w:t>
            </w:r>
          </w:p>
        </w:tc>
      </w:tr>
      <w:tr w:rsidR="00924129">
        <w:tc>
          <w:tcPr>
            <w:tcW w:w="144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10</w:t>
            </w:r>
          </w:p>
        </w:tc>
        <w:tc>
          <w:tcPr>
            <w:tcW w:w="309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Social housing</w:t>
            </w:r>
          </w:p>
        </w:tc>
        <w:tc>
          <w:tcPr>
            <w:tcW w:w="157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10</w:t>
            </w:r>
          </w:p>
        </w:tc>
        <w:tc>
          <w:tcPr>
            <w:tcW w:w="205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10</w:t>
            </w:r>
          </w:p>
        </w:tc>
      </w:tr>
    </w:tbl>
    <w:p w:rsidR="00924129" w:rsidRDefault="00114AB5">
      <w:pPr>
        <w:rPr>
          <w:i/>
        </w:rPr>
      </w:pPr>
      <w:r>
        <w:rPr>
          <w:i/>
        </w:rPr>
        <w:t>*a significantly lower number of respondents scored this sector</w:t>
      </w:r>
    </w:p>
    <w:p w:rsidR="00924129" w:rsidRDefault="00924129">
      <w:pPr>
        <w:rPr>
          <w:color w:val="FF0000"/>
        </w:rPr>
      </w:pPr>
    </w:p>
    <w:p w:rsidR="00924129" w:rsidRDefault="00114AB5">
      <w:pPr>
        <w:rPr>
          <w:b/>
        </w:rPr>
      </w:pPr>
      <w:r>
        <w:rPr>
          <w:b/>
        </w:rPr>
        <w:t>European cities ranked for investment and development prospects</w:t>
      </w:r>
    </w:p>
    <w:p w:rsidR="00924129" w:rsidRDefault="00114AB5">
      <w:r>
        <w:t xml:space="preserve"> </w:t>
      </w:r>
    </w:p>
    <w:p w:rsidR="00924129" w:rsidRDefault="00114AB5">
      <w:r>
        <w:t xml:space="preserve">The annual city rankings included in </w:t>
      </w:r>
      <w:r>
        <w:rPr>
          <w:i/>
        </w:rPr>
        <w:t xml:space="preserve">Emerging Trends in Real Estate® Europe </w:t>
      </w:r>
      <w:r>
        <w:t>reflect the industry’s appetite for smaller, “late-cycle play” newcomers combined with some of the larger, established markets, while at the same time considering geopolitical risks. Lisbon jumped ten places to take the number one spot in a late-cycle play, with interviewees also praising the city’s quality of life and political leadership.</w:t>
      </w:r>
    </w:p>
    <w:p w:rsidR="00924129" w:rsidRDefault="00924129"/>
    <w:p w:rsidR="00924129" w:rsidRDefault="00114AB5">
      <w:pPr>
        <w:rPr>
          <w:strike/>
        </w:rPr>
      </w:pPr>
      <w:r>
        <w:t>The more established German cities still dominate the top ten with Berlin taking second place followed by Frankfurt, Hamburg and Munich ranked five, seven and ten respectively. However, for some, the year-on-year popularity of these cities is beginning to take its toll with many respondents citing overpriced investments in these locations.</w:t>
      </w:r>
    </w:p>
    <w:p w:rsidR="00924129" w:rsidRDefault="00924129"/>
    <w:p w:rsidR="00924129" w:rsidRDefault="00114AB5">
      <w:r>
        <w:t>The rest of the top ten is largely made up of cities, such as Madrid, Amsterdam, Vienna and Dublin that score positively on real estate fundamentals and rental growth prospects, but in many cases also on quality of life, connectivity, innovation potential and attractiveness to talent.</w:t>
      </w:r>
    </w:p>
    <w:p w:rsidR="00924129" w:rsidRDefault="00924129"/>
    <w:p w:rsidR="00924129" w:rsidRDefault="00114AB5">
      <w:pPr>
        <w:rPr>
          <w:b/>
        </w:rPr>
      </w:pPr>
      <w:r>
        <w:rPr>
          <w:b/>
        </w:rPr>
        <w:t>European cities - overall prospects 2019</w:t>
      </w:r>
      <w:r>
        <w:rPr>
          <w:b/>
        </w:rPr>
        <w:tab/>
      </w:r>
    </w:p>
    <w:p w:rsidR="00924129" w:rsidRDefault="00924129">
      <w:pPr>
        <w:rPr>
          <w:b/>
        </w:rPr>
      </w:pPr>
    </w:p>
    <w:tbl>
      <w:tblPr>
        <w:tblStyle w:val="a1"/>
        <w:tblW w:w="8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135"/>
        <w:gridCol w:w="1650"/>
        <w:gridCol w:w="1860"/>
      </w:tblGrid>
      <w:tr w:rsidR="00924129">
        <w:tc>
          <w:tcPr>
            <w:tcW w:w="1605" w:type="dxa"/>
            <w:shd w:val="clear" w:color="auto" w:fill="auto"/>
            <w:tcMar>
              <w:top w:w="100" w:type="dxa"/>
              <w:left w:w="100" w:type="dxa"/>
              <w:bottom w:w="100" w:type="dxa"/>
              <w:right w:w="100" w:type="dxa"/>
            </w:tcMar>
          </w:tcPr>
          <w:p w:rsidR="00924129" w:rsidRDefault="00114AB5">
            <w:pPr>
              <w:widowControl w:val="0"/>
              <w:spacing w:line="240" w:lineRule="auto"/>
              <w:rPr>
                <w:b/>
              </w:rPr>
            </w:pPr>
            <w:r>
              <w:rPr>
                <w:b/>
              </w:rPr>
              <w:t>Overall ranking</w:t>
            </w:r>
          </w:p>
        </w:tc>
        <w:tc>
          <w:tcPr>
            <w:tcW w:w="3135" w:type="dxa"/>
            <w:shd w:val="clear" w:color="auto" w:fill="auto"/>
            <w:tcMar>
              <w:top w:w="100" w:type="dxa"/>
              <w:left w:w="100" w:type="dxa"/>
              <w:bottom w:w="100" w:type="dxa"/>
              <w:right w:w="100" w:type="dxa"/>
            </w:tcMar>
          </w:tcPr>
          <w:p w:rsidR="00924129" w:rsidRDefault="00114AB5">
            <w:pPr>
              <w:widowControl w:val="0"/>
              <w:spacing w:line="240" w:lineRule="auto"/>
              <w:rPr>
                <w:b/>
              </w:rPr>
            </w:pPr>
            <w:r>
              <w:rPr>
                <w:b/>
              </w:rPr>
              <w:t>City</w:t>
            </w:r>
          </w:p>
        </w:tc>
        <w:tc>
          <w:tcPr>
            <w:tcW w:w="1650" w:type="dxa"/>
            <w:shd w:val="clear" w:color="auto" w:fill="auto"/>
            <w:tcMar>
              <w:top w:w="100" w:type="dxa"/>
              <w:left w:w="100" w:type="dxa"/>
              <w:bottom w:w="100" w:type="dxa"/>
              <w:right w:w="100" w:type="dxa"/>
            </w:tcMar>
          </w:tcPr>
          <w:p w:rsidR="00924129" w:rsidRDefault="00114AB5">
            <w:pPr>
              <w:widowControl w:val="0"/>
              <w:spacing w:line="240" w:lineRule="auto"/>
              <w:rPr>
                <w:b/>
              </w:rPr>
            </w:pPr>
            <w:r>
              <w:rPr>
                <w:b/>
              </w:rPr>
              <w:t>Investment ranking</w:t>
            </w:r>
          </w:p>
        </w:tc>
        <w:tc>
          <w:tcPr>
            <w:tcW w:w="1860" w:type="dxa"/>
            <w:shd w:val="clear" w:color="auto" w:fill="auto"/>
            <w:tcMar>
              <w:top w:w="100" w:type="dxa"/>
              <w:left w:w="100" w:type="dxa"/>
              <w:bottom w:w="100" w:type="dxa"/>
              <w:right w:w="100" w:type="dxa"/>
            </w:tcMar>
          </w:tcPr>
          <w:p w:rsidR="00924129" w:rsidRDefault="00114AB5">
            <w:pPr>
              <w:widowControl w:val="0"/>
              <w:spacing w:line="240" w:lineRule="auto"/>
              <w:rPr>
                <w:b/>
              </w:rPr>
            </w:pPr>
            <w:r>
              <w:rPr>
                <w:b/>
              </w:rPr>
              <w:t>Development ranking</w:t>
            </w:r>
          </w:p>
        </w:tc>
      </w:tr>
      <w:tr w:rsidR="00924129">
        <w:tc>
          <w:tcPr>
            <w:tcW w:w="160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w:t>
            </w:r>
          </w:p>
        </w:tc>
        <w:tc>
          <w:tcPr>
            <w:tcW w:w="313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Lisbon</w:t>
            </w:r>
          </w:p>
        </w:tc>
        <w:tc>
          <w:tcPr>
            <w:tcW w:w="165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w:t>
            </w:r>
          </w:p>
        </w:tc>
        <w:tc>
          <w:tcPr>
            <w:tcW w:w="186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w:t>
            </w:r>
          </w:p>
        </w:tc>
      </w:tr>
      <w:tr w:rsidR="00924129">
        <w:tc>
          <w:tcPr>
            <w:tcW w:w="160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2</w:t>
            </w:r>
          </w:p>
        </w:tc>
        <w:tc>
          <w:tcPr>
            <w:tcW w:w="313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Berlin</w:t>
            </w:r>
          </w:p>
        </w:tc>
        <w:tc>
          <w:tcPr>
            <w:tcW w:w="165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3</w:t>
            </w:r>
          </w:p>
        </w:tc>
        <w:tc>
          <w:tcPr>
            <w:tcW w:w="186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2</w:t>
            </w:r>
          </w:p>
        </w:tc>
      </w:tr>
      <w:tr w:rsidR="00924129">
        <w:tc>
          <w:tcPr>
            <w:tcW w:w="160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3</w:t>
            </w:r>
          </w:p>
        </w:tc>
        <w:tc>
          <w:tcPr>
            <w:tcW w:w="313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Dublin</w:t>
            </w:r>
          </w:p>
        </w:tc>
        <w:tc>
          <w:tcPr>
            <w:tcW w:w="165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2</w:t>
            </w:r>
          </w:p>
        </w:tc>
        <w:tc>
          <w:tcPr>
            <w:tcW w:w="186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5</w:t>
            </w:r>
          </w:p>
        </w:tc>
      </w:tr>
      <w:tr w:rsidR="00924129">
        <w:tc>
          <w:tcPr>
            <w:tcW w:w="160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4</w:t>
            </w:r>
          </w:p>
        </w:tc>
        <w:tc>
          <w:tcPr>
            <w:tcW w:w="313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Madrid</w:t>
            </w:r>
          </w:p>
        </w:tc>
        <w:tc>
          <w:tcPr>
            <w:tcW w:w="165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6</w:t>
            </w:r>
          </w:p>
        </w:tc>
        <w:tc>
          <w:tcPr>
            <w:tcW w:w="186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4</w:t>
            </w:r>
          </w:p>
        </w:tc>
      </w:tr>
      <w:tr w:rsidR="00924129">
        <w:tc>
          <w:tcPr>
            <w:tcW w:w="160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5</w:t>
            </w:r>
          </w:p>
        </w:tc>
        <w:tc>
          <w:tcPr>
            <w:tcW w:w="313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Frankfurt</w:t>
            </w:r>
          </w:p>
        </w:tc>
        <w:tc>
          <w:tcPr>
            <w:tcW w:w="165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5</w:t>
            </w:r>
          </w:p>
        </w:tc>
        <w:tc>
          <w:tcPr>
            <w:tcW w:w="186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3</w:t>
            </w:r>
          </w:p>
        </w:tc>
      </w:tr>
      <w:tr w:rsidR="00924129">
        <w:tc>
          <w:tcPr>
            <w:tcW w:w="160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6</w:t>
            </w:r>
          </w:p>
        </w:tc>
        <w:tc>
          <w:tcPr>
            <w:tcW w:w="313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Amsterdam</w:t>
            </w:r>
          </w:p>
        </w:tc>
        <w:tc>
          <w:tcPr>
            <w:tcW w:w="165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7</w:t>
            </w:r>
          </w:p>
        </w:tc>
        <w:tc>
          <w:tcPr>
            <w:tcW w:w="186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8</w:t>
            </w:r>
          </w:p>
        </w:tc>
      </w:tr>
      <w:tr w:rsidR="00924129">
        <w:tc>
          <w:tcPr>
            <w:tcW w:w="160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lastRenderedPageBreak/>
              <w:t>7</w:t>
            </w:r>
          </w:p>
        </w:tc>
        <w:tc>
          <w:tcPr>
            <w:tcW w:w="313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Hamburg</w:t>
            </w:r>
          </w:p>
        </w:tc>
        <w:tc>
          <w:tcPr>
            <w:tcW w:w="165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9</w:t>
            </w:r>
          </w:p>
        </w:tc>
        <w:tc>
          <w:tcPr>
            <w:tcW w:w="186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6</w:t>
            </w:r>
          </w:p>
        </w:tc>
      </w:tr>
      <w:tr w:rsidR="00924129">
        <w:tc>
          <w:tcPr>
            <w:tcW w:w="160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8</w:t>
            </w:r>
          </w:p>
        </w:tc>
        <w:tc>
          <w:tcPr>
            <w:tcW w:w="313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Helsinki</w:t>
            </w:r>
          </w:p>
        </w:tc>
        <w:tc>
          <w:tcPr>
            <w:tcW w:w="165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4</w:t>
            </w:r>
          </w:p>
        </w:tc>
        <w:tc>
          <w:tcPr>
            <w:tcW w:w="186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13</w:t>
            </w:r>
          </w:p>
        </w:tc>
      </w:tr>
      <w:tr w:rsidR="00924129">
        <w:tc>
          <w:tcPr>
            <w:tcW w:w="160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9</w:t>
            </w:r>
          </w:p>
        </w:tc>
        <w:tc>
          <w:tcPr>
            <w:tcW w:w="313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Vienna</w:t>
            </w:r>
          </w:p>
        </w:tc>
        <w:tc>
          <w:tcPr>
            <w:tcW w:w="165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8</w:t>
            </w:r>
          </w:p>
        </w:tc>
        <w:tc>
          <w:tcPr>
            <w:tcW w:w="186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11</w:t>
            </w:r>
          </w:p>
        </w:tc>
      </w:tr>
      <w:tr w:rsidR="00924129">
        <w:tc>
          <w:tcPr>
            <w:tcW w:w="160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10</w:t>
            </w:r>
          </w:p>
        </w:tc>
        <w:tc>
          <w:tcPr>
            <w:tcW w:w="3135"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Munich</w:t>
            </w:r>
          </w:p>
        </w:tc>
        <w:tc>
          <w:tcPr>
            <w:tcW w:w="165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14</w:t>
            </w:r>
          </w:p>
        </w:tc>
        <w:tc>
          <w:tcPr>
            <w:tcW w:w="1860" w:type="dxa"/>
            <w:shd w:val="clear" w:color="auto" w:fill="auto"/>
            <w:tcMar>
              <w:top w:w="100" w:type="dxa"/>
              <w:left w:w="100" w:type="dxa"/>
              <w:bottom w:w="100" w:type="dxa"/>
              <w:right w:w="100" w:type="dxa"/>
            </w:tcMar>
          </w:tcPr>
          <w:p w:rsidR="00924129" w:rsidRDefault="00114AB5">
            <w:pPr>
              <w:widowControl w:val="0"/>
              <w:pBdr>
                <w:top w:val="nil"/>
                <w:left w:val="nil"/>
                <w:bottom w:val="nil"/>
                <w:right w:val="nil"/>
                <w:between w:val="nil"/>
              </w:pBdr>
              <w:spacing w:line="240" w:lineRule="auto"/>
            </w:pPr>
            <w:r>
              <w:t>7</w:t>
            </w:r>
          </w:p>
        </w:tc>
      </w:tr>
    </w:tbl>
    <w:p w:rsidR="00924129" w:rsidRDefault="00924129">
      <w:pPr>
        <w:rPr>
          <w:b/>
        </w:rPr>
      </w:pPr>
    </w:p>
    <w:p w:rsidR="00924129" w:rsidRDefault="00114AB5">
      <w:r>
        <w:t xml:space="preserve"> </w:t>
      </w:r>
    </w:p>
    <w:p w:rsidR="00924129" w:rsidRDefault="00114AB5">
      <w:pPr>
        <w:rPr>
          <w:strike/>
        </w:rPr>
      </w:pPr>
      <w:r>
        <w:t xml:space="preserve">Despite investment volumes and occupier demand for offices in London holding up well, Brexit continued to overshadow London’s short-term prospects, with 70% of Europe’s senior professionals believing that the UK’s ability to attract international talent will fall following the March 2019 deadline whatever the final deal. </w:t>
      </w:r>
    </w:p>
    <w:p w:rsidR="00924129" w:rsidRDefault="00924129">
      <w:pPr>
        <w:rPr>
          <w:strike/>
          <w:color w:val="FF0000"/>
        </w:rPr>
      </w:pPr>
    </w:p>
    <w:p w:rsidR="00924129" w:rsidRDefault="00114AB5">
      <w:r>
        <w:t>Sandra Dowling’s UK real estate leader at PwC commented:</w:t>
      </w:r>
    </w:p>
    <w:p w:rsidR="00924129" w:rsidRDefault="00924129"/>
    <w:p w:rsidR="00924129" w:rsidRDefault="00114AB5">
      <w:pPr>
        <w:ind w:left="720"/>
      </w:pPr>
      <w:r>
        <w:t>“London and the UK continues to attract more capital than any other European city, which is at odds with the increasing volume of concern expressed by many relating to the uncertainty around Brexit. A notable feature of the interviews was the rather more sanguine view that some non-European long term investors took on the impact of Brexit compared with long term European or domestic investors.”</w:t>
      </w:r>
    </w:p>
    <w:p w:rsidR="00924129" w:rsidRDefault="00924129">
      <w:pPr>
        <w:rPr>
          <w:color w:val="38761D"/>
        </w:rPr>
      </w:pPr>
    </w:p>
    <w:p w:rsidR="00924129" w:rsidRDefault="00114AB5">
      <w:pPr>
        <w:rPr>
          <w:b/>
        </w:rPr>
      </w:pPr>
      <w:r>
        <w:rPr>
          <w:b/>
        </w:rPr>
        <w:t>Social value of real estate continues to grow in importance</w:t>
      </w:r>
    </w:p>
    <w:p w:rsidR="00924129" w:rsidRDefault="00924129"/>
    <w:p w:rsidR="00924129" w:rsidRDefault="00114AB5">
      <w:r>
        <w:t>The report also examined the growing influence of social value alongside the financial returns from investments. Nearly 60% of survey respondents believe the industry is moving towards using a wider range of non-financial measures to assess the value of real estate and real estate businesses. Similarly, 59% agree that non-financial metrics are increasingly important in measuring returns.</w:t>
      </w:r>
    </w:p>
    <w:p w:rsidR="00924129" w:rsidRDefault="00114AB5">
      <w:r>
        <w:t xml:space="preserve"> </w:t>
      </w:r>
    </w:p>
    <w:p w:rsidR="00924129" w:rsidRDefault="00114AB5">
      <w:bookmarkStart w:id="0" w:name="_GoBack"/>
      <w:bookmarkEnd w:id="0"/>
      <w:r>
        <w:t>The current outcome of this trend is a greater focus on combining uses such as co-working facilities, retail and last-mile logistics, with non-commercial uses and placemaking elements, such as affordable housing, community centres, public spaces and childcare facilities.</w:t>
      </w:r>
    </w:p>
    <w:p w:rsidR="00924129" w:rsidRDefault="00114AB5">
      <w:r>
        <w:t xml:space="preserve"> </w:t>
      </w:r>
    </w:p>
    <w:p w:rsidR="00924129" w:rsidRDefault="00114AB5">
      <w:pPr>
        <w:rPr>
          <w:b/>
        </w:rPr>
      </w:pPr>
      <w:r>
        <w:t>However, it is expected to flow through into all aspects of investment. “Our survey shows that the ability to balance societal and financial gains will be the next big differentiator for industry players, with investors favouring those that can demonstrate this through all their processes,” said van Doorn.</w:t>
      </w:r>
    </w:p>
    <w:p w:rsidR="00924129" w:rsidRDefault="00924129"/>
    <w:p w:rsidR="00924129" w:rsidRDefault="00114AB5">
      <w:pPr>
        <w:spacing w:before="120" w:after="240"/>
      </w:pPr>
      <w:r>
        <w:rPr>
          <w:b/>
        </w:rPr>
        <w:t>Notes to editor.</w:t>
      </w:r>
    </w:p>
    <w:p w:rsidR="00924129" w:rsidRDefault="00114AB5">
      <w:pPr>
        <w:numPr>
          <w:ilvl w:val="0"/>
          <w:numId w:val="1"/>
        </w:numPr>
        <w:spacing w:line="240" w:lineRule="auto"/>
        <w:ind w:left="714" w:hanging="357"/>
        <w:contextualSpacing/>
      </w:pPr>
      <w:r>
        <w:rPr>
          <w:i/>
        </w:rPr>
        <w:t>Emerging Trends in Real Estate 2019</w:t>
      </w:r>
      <w:r>
        <w:t xml:space="preserve"> will be launched on Monday 5th November and will be available online at </w:t>
      </w:r>
      <w:hyperlink r:id="rId9">
        <w:r>
          <w:rPr>
            <w:color w:val="1155CC"/>
            <w:highlight w:val="white"/>
            <w:u w:val="single"/>
          </w:rPr>
          <w:t>https://www.pwc.com/etre2019europe</w:t>
        </w:r>
      </w:hyperlink>
    </w:p>
    <w:p w:rsidR="00924129" w:rsidRDefault="00924129">
      <w:pPr>
        <w:pBdr>
          <w:top w:val="nil"/>
          <w:left w:val="nil"/>
          <w:bottom w:val="nil"/>
          <w:right w:val="nil"/>
          <w:between w:val="nil"/>
        </w:pBdr>
        <w:tabs>
          <w:tab w:val="left" w:pos="2043"/>
        </w:tabs>
        <w:spacing w:line="240" w:lineRule="auto"/>
        <w:rPr>
          <w:b/>
        </w:rPr>
      </w:pPr>
    </w:p>
    <w:p w:rsidR="00924129" w:rsidRDefault="00114AB5">
      <w:pPr>
        <w:pBdr>
          <w:top w:val="nil"/>
          <w:left w:val="nil"/>
          <w:bottom w:val="nil"/>
          <w:right w:val="nil"/>
          <w:between w:val="nil"/>
        </w:pBdr>
      </w:pPr>
      <w:r>
        <w:rPr>
          <w:b/>
        </w:rPr>
        <w:t>About PwC</w:t>
      </w:r>
    </w:p>
    <w:p w:rsidR="00924129" w:rsidRDefault="00114AB5">
      <w:pPr>
        <w:pBdr>
          <w:top w:val="nil"/>
          <w:left w:val="nil"/>
          <w:bottom w:val="nil"/>
          <w:right w:val="nil"/>
          <w:between w:val="nil"/>
        </w:pBdr>
        <w:rPr>
          <w:color w:val="222222"/>
        </w:rPr>
      </w:pPr>
      <w:r>
        <w:rPr>
          <w:color w:val="222222"/>
        </w:rPr>
        <w:t xml:space="preserve">At PwC, our purpose is to build trust in society and solve important problems. We’re a network of firms in 158 countries with over 250,000 people who are committed to delivering quality in assurance, </w:t>
      </w:r>
      <w:r>
        <w:rPr>
          <w:color w:val="222222"/>
        </w:rPr>
        <w:lastRenderedPageBreak/>
        <w:t>advisory and tax services. Find out more and tell us what matters to you by visiting us at</w:t>
      </w:r>
      <w:hyperlink r:id="rId10">
        <w:r>
          <w:rPr>
            <w:color w:val="222222"/>
          </w:rPr>
          <w:t xml:space="preserve"> </w:t>
        </w:r>
      </w:hyperlink>
      <w:hyperlink r:id="rId11">
        <w:r>
          <w:rPr>
            <w:color w:val="1155CC"/>
            <w:u w:val="single"/>
          </w:rPr>
          <w:t>www.pwc.com</w:t>
        </w:r>
      </w:hyperlink>
      <w:r>
        <w:rPr>
          <w:color w:val="222222"/>
        </w:rPr>
        <w:t>.</w:t>
      </w:r>
    </w:p>
    <w:p w:rsidR="00924129" w:rsidRDefault="00924129">
      <w:pPr>
        <w:pBdr>
          <w:top w:val="nil"/>
          <w:left w:val="nil"/>
          <w:bottom w:val="nil"/>
          <w:right w:val="nil"/>
          <w:between w:val="nil"/>
        </w:pBdr>
        <w:rPr>
          <w:color w:val="222222"/>
        </w:rPr>
      </w:pPr>
      <w:bookmarkStart w:id="1" w:name="_nir55la7cp78" w:colFirst="0" w:colLast="0"/>
      <w:bookmarkEnd w:id="1"/>
    </w:p>
    <w:p w:rsidR="00924129" w:rsidRDefault="00114AB5">
      <w:pPr>
        <w:spacing w:line="288" w:lineRule="auto"/>
        <w:rPr>
          <w:color w:val="222222"/>
        </w:rPr>
      </w:pPr>
      <w:r>
        <w:rPr>
          <w:color w:val="222222"/>
        </w:rPr>
        <w:t>PwC refers to the PwC network and/or one or more of its member firms, each of which is a separate legal entity. Please see</w:t>
      </w:r>
      <w:hyperlink r:id="rId12">
        <w:r>
          <w:rPr>
            <w:color w:val="222222"/>
          </w:rPr>
          <w:t xml:space="preserve"> </w:t>
        </w:r>
      </w:hyperlink>
      <w:hyperlink r:id="rId13">
        <w:r>
          <w:rPr>
            <w:color w:val="1155CC"/>
            <w:u w:val="single"/>
          </w:rPr>
          <w:t>www.pwc.com/structure</w:t>
        </w:r>
      </w:hyperlink>
      <w:r>
        <w:rPr>
          <w:color w:val="222222"/>
        </w:rPr>
        <w:t xml:space="preserve"> for further details.</w:t>
      </w:r>
    </w:p>
    <w:p w:rsidR="00924129" w:rsidRDefault="00924129">
      <w:pPr>
        <w:rPr>
          <w:color w:val="222222"/>
        </w:rPr>
      </w:pPr>
    </w:p>
    <w:p w:rsidR="00924129" w:rsidRDefault="00114AB5">
      <w:pPr>
        <w:spacing w:line="288" w:lineRule="auto"/>
      </w:pPr>
      <w:bookmarkStart w:id="2" w:name="_gjdgxs" w:colFirst="0" w:colLast="0"/>
      <w:bookmarkEnd w:id="2"/>
      <w:r>
        <w:rPr>
          <w:color w:val="222222"/>
        </w:rPr>
        <w:t>© 2018 PwC. All rights reserved</w:t>
      </w:r>
    </w:p>
    <w:p w:rsidR="00924129" w:rsidRDefault="00924129">
      <w:pPr>
        <w:pBdr>
          <w:top w:val="nil"/>
          <w:left w:val="nil"/>
          <w:bottom w:val="nil"/>
          <w:right w:val="nil"/>
          <w:between w:val="nil"/>
        </w:pBdr>
      </w:pPr>
    </w:p>
    <w:p w:rsidR="00924129" w:rsidRDefault="00114AB5">
      <w:pPr>
        <w:pBdr>
          <w:top w:val="nil"/>
          <w:left w:val="nil"/>
          <w:bottom w:val="nil"/>
          <w:right w:val="nil"/>
          <w:between w:val="nil"/>
        </w:pBdr>
        <w:rPr>
          <w:b/>
        </w:rPr>
      </w:pPr>
      <w:r>
        <w:rPr>
          <w:b/>
        </w:rPr>
        <w:t>About the Urban Land Institute</w:t>
      </w:r>
    </w:p>
    <w:p w:rsidR="00924129" w:rsidRDefault="00114AB5">
      <w:pPr>
        <w:pBdr>
          <w:top w:val="nil"/>
          <w:left w:val="nil"/>
          <w:bottom w:val="nil"/>
          <w:right w:val="nil"/>
          <w:between w:val="nil"/>
        </w:pBdr>
      </w:pPr>
      <w:r>
        <w:t>The Urban Land Institute is a non-profit education and research institute supported by its members. Its mission is to provide leadership in the responsible use of land and in creating and sustaining thriving communities worldwide. Established in 1936, the institute has over 40,000 members worldwide representing all aspects of land use and development disciplines.</w:t>
      </w:r>
    </w:p>
    <w:p w:rsidR="00924129" w:rsidRDefault="00114AB5">
      <w:pPr>
        <w:pBdr>
          <w:top w:val="nil"/>
          <w:left w:val="nil"/>
          <w:bottom w:val="nil"/>
          <w:right w:val="nil"/>
          <w:between w:val="nil"/>
        </w:pBdr>
      </w:pPr>
      <w:r>
        <w:t>ULI has almost 3,500 members in Europe across 14 National Council country networks, including ULI Poland. For more information, please visit</w:t>
      </w:r>
      <w:hyperlink r:id="rId14">
        <w:r>
          <w:t xml:space="preserve"> </w:t>
        </w:r>
      </w:hyperlink>
      <w:hyperlink r:id="rId15">
        <w:r>
          <w:rPr>
            <w:color w:val="1155CC"/>
            <w:u w:val="single"/>
          </w:rPr>
          <w:t>europe.uli.org</w:t>
        </w:r>
      </w:hyperlink>
      <w:r>
        <w:t>, follow us on</w:t>
      </w:r>
      <w:hyperlink r:id="rId16">
        <w:r>
          <w:t xml:space="preserve"> </w:t>
        </w:r>
      </w:hyperlink>
      <w:hyperlink r:id="rId17">
        <w:r>
          <w:rPr>
            <w:color w:val="1155CC"/>
            <w:u w:val="single"/>
          </w:rPr>
          <w:t>Twitter</w:t>
        </w:r>
      </w:hyperlink>
      <w:r>
        <w:t>, or follow our</w:t>
      </w:r>
      <w:hyperlink r:id="rId18">
        <w:r>
          <w:t xml:space="preserve"> </w:t>
        </w:r>
      </w:hyperlink>
      <w:hyperlink r:id="rId19">
        <w:r>
          <w:rPr>
            <w:color w:val="1155CC"/>
            <w:u w:val="single"/>
          </w:rPr>
          <w:t>Linkedin page</w:t>
        </w:r>
      </w:hyperlink>
      <w:r>
        <w:t>.</w:t>
      </w:r>
    </w:p>
    <w:p w:rsidR="00924129" w:rsidRDefault="00924129">
      <w:pPr>
        <w:pBdr>
          <w:top w:val="nil"/>
          <w:left w:val="nil"/>
          <w:bottom w:val="nil"/>
          <w:right w:val="nil"/>
          <w:between w:val="nil"/>
        </w:pBdr>
      </w:pPr>
    </w:p>
    <w:p w:rsidR="00924129" w:rsidRDefault="00114AB5">
      <w:pPr>
        <w:pBdr>
          <w:top w:val="nil"/>
          <w:left w:val="nil"/>
          <w:bottom w:val="nil"/>
          <w:right w:val="nil"/>
          <w:between w:val="nil"/>
        </w:pBdr>
        <w:rPr>
          <w:b/>
        </w:rPr>
      </w:pPr>
      <w:r>
        <w:rPr>
          <w:b/>
        </w:rPr>
        <w:t>Ends.</w:t>
      </w:r>
    </w:p>
    <w:p w:rsidR="00924129" w:rsidRDefault="00924129">
      <w:pPr>
        <w:pBdr>
          <w:top w:val="nil"/>
          <w:left w:val="nil"/>
          <w:bottom w:val="nil"/>
          <w:right w:val="nil"/>
          <w:between w:val="nil"/>
        </w:pBdr>
        <w:rPr>
          <w:b/>
        </w:rPr>
      </w:pPr>
    </w:p>
    <w:sectPr w:rsidR="00924129">
      <w:headerReference w:type="default" r:id="rId20"/>
      <w:footerReference w:type="default" r:id="rId21"/>
      <w:headerReference w:type="first" r:id="rId22"/>
      <w:footerReference w:type="first" r:id="rId23"/>
      <w:pgSz w:w="11907" w:h="16839"/>
      <w:pgMar w:top="3137" w:right="850" w:bottom="1134" w:left="19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9A" w:rsidRDefault="00C12D9A">
      <w:pPr>
        <w:spacing w:line="240" w:lineRule="auto"/>
      </w:pPr>
      <w:r>
        <w:separator/>
      </w:r>
    </w:p>
  </w:endnote>
  <w:endnote w:type="continuationSeparator" w:id="0">
    <w:p w:rsidR="00C12D9A" w:rsidRDefault="00C12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29" w:rsidRDefault="00114AB5">
    <w:pPr>
      <w:pBdr>
        <w:top w:val="nil"/>
        <w:left w:val="nil"/>
        <w:bottom w:val="nil"/>
        <w:right w:val="nil"/>
        <w:between w:val="nil"/>
      </w:pBdr>
      <w:tabs>
        <w:tab w:val="center" w:pos="4513"/>
        <w:tab w:val="right" w:pos="9026"/>
      </w:tabs>
      <w:spacing w:after="567" w:line="240" w:lineRule="auto"/>
    </w:pPr>
    <w:r>
      <w:fldChar w:fldCharType="begin"/>
    </w:r>
    <w:r>
      <w:instrText>PAGE</w:instrText>
    </w:r>
    <w:r>
      <w:fldChar w:fldCharType="separate"/>
    </w:r>
    <w:r w:rsidR="00F67A49">
      <w:rPr>
        <w:noProof/>
      </w:rPr>
      <w:t>4</w:t>
    </w:r>
    <w:r>
      <w:fldChar w:fldCharType="end"/>
    </w:r>
    <w:r>
      <w:t xml:space="preserve"> of </w:t>
    </w:r>
    <w:r>
      <w:fldChar w:fldCharType="begin"/>
    </w:r>
    <w:r>
      <w:instrText>NUMPAGES</w:instrText>
    </w:r>
    <w:r>
      <w:fldChar w:fldCharType="separate"/>
    </w:r>
    <w:r w:rsidR="00F67A49">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29" w:rsidRDefault="00114AB5">
    <w:pPr>
      <w:pBdr>
        <w:top w:val="nil"/>
        <w:left w:val="nil"/>
        <w:bottom w:val="nil"/>
        <w:right w:val="nil"/>
        <w:between w:val="nil"/>
      </w:pBdr>
    </w:pPr>
    <w:bookmarkStart w:id="3" w:name="30j0zll" w:colFirst="0" w:colLast="0"/>
    <w:bookmarkEnd w:id="3"/>
    <w:r>
      <w:rPr>
        <w:i/>
        <w:sz w:val="18"/>
        <w:szCs w:val="18"/>
      </w:rPr>
      <w:t>PricewaterhouseCoopers LLP, 1 Embankment Place. London, WC2N 6RH</w:t>
    </w:r>
  </w:p>
  <w:p w:rsidR="00924129" w:rsidRDefault="00114AB5">
    <w:pPr>
      <w:pBdr>
        <w:top w:val="nil"/>
        <w:left w:val="nil"/>
        <w:bottom w:val="nil"/>
        <w:right w:val="nil"/>
        <w:between w:val="nil"/>
      </w:pBdr>
    </w:pPr>
    <w:r>
      <w:rPr>
        <w:i/>
        <w:sz w:val="18"/>
        <w:szCs w:val="18"/>
      </w:rPr>
      <w:t>T: +44 (0)207 213 1768, www.ukmediacentre.pwc.com</w:t>
    </w:r>
  </w:p>
  <w:p w:rsidR="00924129" w:rsidRDefault="00924129">
    <w:pPr>
      <w:pBdr>
        <w:top w:val="nil"/>
        <w:left w:val="nil"/>
        <w:bottom w:val="nil"/>
        <w:right w:val="nil"/>
        <w:between w:val="nil"/>
      </w:pBdr>
      <w:tabs>
        <w:tab w:val="center" w:pos="4513"/>
        <w:tab w:val="right" w:pos="9026"/>
      </w:tabs>
      <w:spacing w:after="567"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9A" w:rsidRDefault="00C12D9A">
      <w:pPr>
        <w:spacing w:line="240" w:lineRule="auto"/>
      </w:pPr>
      <w:r>
        <w:separator/>
      </w:r>
    </w:p>
  </w:footnote>
  <w:footnote w:type="continuationSeparator" w:id="0">
    <w:p w:rsidR="00C12D9A" w:rsidRDefault="00C12D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29" w:rsidRDefault="00114AB5">
    <w:pPr>
      <w:pBdr>
        <w:top w:val="nil"/>
        <w:left w:val="nil"/>
        <w:bottom w:val="nil"/>
        <w:right w:val="nil"/>
        <w:between w:val="nil"/>
      </w:pBdr>
      <w:tabs>
        <w:tab w:val="center" w:pos="4513"/>
        <w:tab w:val="right" w:pos="9026"/>
      </w:tabs>
      <w:spacing w:before="567" w:line="240" w:lineRule="auto"/>
    </w:pPr>
    <w:r>
      <w:rPr>
        <w:noProof/>
        <w:lang w:val="en-US"/>
      </w:rPr>
      <w:drawing>
        <wp:inline distT="0" distB="0" distL="114300" distR="114300">
          <wp:extent cx="1410970" cy="12687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inline>
      </w:drawing>
    </w:r>
  </w:p>
  <w:p w:rsidR="00924129" w:rsidRDefault="00924129">
    <w:pPr>
      <w:pBdr>
        <w:top w:val="nil"/>
        <w:left w:val="nil"/>
        <w:bottom w:val="nil"/>
        <w:right w:val="nil"/>
        <w:between w:val="nil"/>
      </w:pBdr>
      <w:tabs>
        <w:tab w:val="center" w:pos="4513"/>
        <w:tab w:val="right" w:pos="9026"/>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29" w:rsidRDefault="00114AB5">
    <w:pPr>
      <w:pBdr>
        <w:top w:val="nil"/>
        <w:left w:val="nil"/>
        <w:bottom w:val="nil"/>
        <w:right w:val="nil"/>
        <w:between w:val="nil"/>
      </w:pBdr>
      <w:tabs>
        <w:tab w:val="center" w:pos="4513"/>
        <w:tab w:val="right" w:pos="9026"/>
      </w:tabs>
      <w:spacing w:before="567" w:line="240" w:lineRule="auto"/>
    </w:pPr>
    <w:r>
      <w:rPr>
        <w:noProof/>
        <w:lang w:val="en-US"/>
      </w:rPr>
      <w:drawing>
        <wp:inline distT="0" distB="0" distL="114300" distR="114300">
          <wp:extent cx="1410970" cy="12687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D6DE9"/>
    <w:multiLevelType w:val="multilevel"/>
    <w:tmpl w:val="BF9AF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4129"/>
    <w:rsid w:val="00114AB5"/>
    <w:rsid w:val="0078330F"/>
    <w:rsid w:val="00924129"/>
    <w:rsid w:val="00C12D9A"/>
    <w:rsid w:val="00F6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0F4BF-E079-470C-B19A-F96E3892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20" w:after="120" w:line="240" w:lineRule="auto"/>
      <w:outlineLvl w:val="2"/>
    </w:pPr>
    <w:rPr>
      <w:i/>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line="240" w:lineRule="auto"/>
    </w:pPr>
    <w:rPr>
      <w:rFonts w:ascii="Cambria" w:eastAsia="Cambria" w:hAnsi="Cambria" w:cs="Cambria"/>
      <w:b/>
      <w:i/>
      <w:color w:val="000000"/>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li.org/" TargetMode="External"/><Relationship Id="rId13" Type="http://schemas.openxmlformats.org/officeDocument/2006/relationships/hyperlink" Target="http://www.pwc.com/structure" TargetMode="External"/><Relationship Id="rId18" Type="http://schemas.openxmlformats.org/officeDocument/2006/relationships/hyperlink" Target="https://www.linkedin.com/showcase/ulieurop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ellie.raven@pwc.com" TargetMode="External"/><Relationship Id="rId12" Type="http://schemas.openxmlformats.org/officeDocument/2006/relationships/hyperlink" Target="http://www.pwc.com/structure" TargetMode="External"/><Relationship Id="rId17" Type="http://schemas.openxmlformats.org/officeDocument/2006/relationships/hyperlink" Target="https://twitter.com/ulieurop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ulieurop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wc.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urope.uli.org/" TargetMode="External"/><Relationship Id="rId23" Type="http://schemas.openxmlformats.org/officeDocument/2006/relationships/footer" Target="footer2.xml"/><Relationship Id="rId10" Type="http://schemas.openxmlformats.org/officeDocument/2006/relationships/hyperlink" Target="http://www.pwc.com/" TargetMode="External"/><Relationship Id="rId19" Type="http://schemas.openxmlformats.org/officeDocument/2006/relationships/hyperlink" Target="https://www.linkedin.com/showcase/ulieurope/" TargetMode="External"/><Relationship Id="rId4" Type="http://schemas.openxmlformats.org/officeDocument/2006/relationships/webSettings" Target="webSettings.xml"/><Relationship Id="rId9" Type="http://schemas.openxmlformats.org/officeDocument/2006/relationships/hyperlink" Target="https://www.pwc.com/etre2019europe" TargetMode="External"/><Relationship Id="rId14" Type="http://schemas.openxmlformats.org/officeDocument/2006/relationships/hyperlink" Target="http://europe.uli.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Raven</dc:creator>
  <cp:lastModifiedBy>Mike Davies</cp:lastModifiedBy>
  <cp:revision>2</cp:revision>
  <dcterms:created xsi:type="dcterms:W3CDTF">2018-11-01T17:54:00Z</dcterms:created>
  <dcterms:modified xsi:type="dcterms:W3CDTF">2018-11-01T17:54:00Z</dcterms:modified>
</cp:coreProperties>
</file>