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303C8" w14:textId="64145384" w:rsidR="006A5C94" w:rsidRPr="00893A23" w:rsidRDefault="00F54725">
      <w:pPr>
        <w:tabs>
          <w:tab w:val="center" w:pos="4536"/>
        </w:tabs>
        <w:rPr>
          <w:b/>
          <w:i/>
        </w:rPr>
      </w:pPr>
      <w:r>
        <w:rPr>
          <w:b/>
          <w:i/>
        </w:rPr>
        <w:t xml:space="preserve"> </w:t>
      </w:r>
      <w:r w:rsidR="00DF1CB4" w:rsidRPr="00893A23">
        <w:rPr>
          <w:b/>
          <w:i/>
        </w:rPr>
        <w:tab/>
      </w:r>
    </w:p>
    <w:p w14:paraId="7374D09E" w14:textId="77777777" w:rsidR="003C2E93" w:rsidRDefault="003C2E93">
      <w:pPr>
        <w:pStyle w:val="Title"/>
        <w:rPr>
          <w:rFonts w:ascii="Georgia" w:hAnsi="Georgia"/>
        </w:rPr>
      </w:pPr>
    </w:p>
    <w:p w14:paraId="637429BE" w14:textId="5200E7F7" w:rsidR="006A5C94" w:rsidRDefault="00DF1CB4">
      <w:pPr>
        <w:pStyle w:val="Title"/>
        <w:rPr>
          <w:rFonts w:ascii="Georgia" w:hAnsi="Georgia"/>
        </w:rPr>
      </w:pPr>
      <w:r>
        <w:rPr>
          <w:rFonts w:ascii="Georgia" w:hAnsi="Georgia"/>
        </w:rPr>
        <w:t>Press Release</w:t>
      </w:r>
      <w:r w:rsidR="00B02016">
        <w:rPr>
          <w:rFonts w:ascii="Georgia" w:hAnsi="Georgia"/>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6660"/>
      </w:tblGrid>
      <w:tr w:rsidR="006A5C94" w14:paraId="3162FECA" w14:textId="77777777" w:rsidTr="00575FB8">
        <w:tc>
          <w:tcPr>
            <w:tcW w:w="2268" w:type="dxa"/>
          </w:tcPr>
          <w:p w14:paraId="7A725109" w14:textId="77777777" w:rsidR="006A5C94" w:rsidRDefault="00DF1CB4">
            <w:pPr>
              <w:rPr>
                <w:i/>
              </w:rPr>
            </w:pPr>
            <w:r>
              <w:rPr>
                <w:i/>
              </w:rPr>
              <w:t>Date</w:t>
            </w:r>
          </w:p>
        </w:tc>
        <w:tc>
          <w:tcPr>
            <w:tcW w:w="6660" w:type="dxa"/>
          </w:tcPr>
          <w:p w14:paraId="0E9BBF82" w14:textId="042F72F2" w:rsidR="006A5C94" w:rsidRPr="003C2E93" w:rsidRDefault="00560FF6">
            <w:pPr>
              <w:rPr>
                <w:rFonts w:cs="Helv"/>
                <w:b/>
                <w:color w:val="000000"/>
                <w:szCs w:val="20"/>
                <w:lang w:eastAsia="en-GB"/>
              </w:rPr>
            </w:pPr>
            <w:r>
              <w:rPr>
                <w:rFonts w:cs="Helv"/>
                <w:b/>
                <w:color w:val="000000"/>
                <w:szCs w:val="20"/>
                <w:lang w:eastAsia="en-GB"/>
              </w:rPr>
              <w:t xml:space="preserve">Thursday 09 </w:t>
            </w:r>
            <w:r w:rsidR="002E5CF2">
              <w:rPr>
                <w:rFonts w:cs="Helv"/>
                <w:b/>
                <w:color w:val="000000"/>
                <w:szCs w:val="20"/>
                <w:lang w:eastAsia="en-GB"/>
              </w:rPr>
              <w:t>August</w:t>
            </w:r>
            <w:r w:rsidR="002D5F4B">
              <w:rPr>
                <w:rFonts w:cs="Helv"/>
                <w:b/>
                <w:color w:val="000000"/>
                <w:szCs w:val="20"/>
                <w:lang w:eastAsia="en-GB"/>
              </w:rPr>
              <w:t xml:space="preserve"> 2018</w:t>
            </w:r>
          </w:p>
          <w:p w14:paraId="080E8DCF" w14:textId="77777777" w:rsidR="003C2E93" w:rsidRPr="003C2E93" w:rsidRDefault="003C2E93">
            <w:pPr>
              <w:rPr>
                <w:b/>
              </w:rPr>
            </w:pPr>
            <w:bookmarkStart w:id="0" w:name="_GoBack"/>
            <w:bookmarkEnd w:id="0"/>
          </w:p>
        </w:tc>
      </w:tr>
      <w:tr w:rsidR="006A5C94" w:rsidRPr="008D2A95" w14:paraId="0AC4454F" w14:textId="77777777" w:rsidTr="00575FB8">
        <w:tc>
          <w:tcPr>
            <w:tcW w:w="2268" w:type="dxa"/>
          </w:tcPr>
          <w:p w14:paraId="3DD554E3" w14:textId="77777777" w:rsidR="006A5C94" w:rsidRDefault="00DF1CB4">
            <w:pPr>
              <w:rPr>
                <w:i/>
              </w:rPr>
            </w:pPr>
            <w:r>
              <w:rPr>
                <w:i/>
              </w:rPr>
              <w:t>Contact</w:t>
            </w:r>
          </w:p>
          <w:p w14:paraId="3C266993" w14:textId="77777777" w:rsidR="006A5C94" w:rsidRDefault="006A5C94">
            <w:pPr>
              <w:rPr>
                <w:i/>
              </w:rPr>
            </w:pPr>
          </w:p>
          <w:p w14:paraId="28ACEF77" w14:textId="77777777" w:rsidR="006A5C94" w:rsidRDefault="006A5C94">
            <w:pPr>
              <w:rPr>
                <w:i/>
              </w:rPr>
            </w:pPr>
          </w:p>
          <w:p w14:paraId="0D6B7184" w14:textId="77777777" w:rsidR="006A5C94" w:rsidRDefault="006A5C94">
            <w:pPr>
              <w:rPr>
                <w:i/>
              </w:rPr>
            </w:pPr>
          </w:p>
        </w:tc>
        <w:tc>
          <w:tcPr>
            <w:tcW w:w="6660" w:type="dxa"/>
          </w:tcPr>
          <w:p w14:paraId="6DEE7ACA" w14:textId="7E65BDCD" w:rsidR="006A5C94" w:rsidRDefault="00C5575E">
            <w:pPr>
              <w:tabs>
                <w:tab w:val="left" w:pos="1440"/>
              </w:tabs>
              <w:ind w:left="1440" w:hanging="1440"/>
              <w:rPr>
                <w:rFonts w:cs="Arial"/>
                <w:lang w:val="it-IT"/>
              </w:rPr>
            </w:pPr>
            <w:r>
              <w:rPr>
                <w:rFonts w:cs="Arial"/>
                <w:bCs/>
                <w:lang w:val="it-IT"/>
              </w:rPr>
              <w:t>Mike Davies</w:t>
            </w:r>
            <w:r w:rsidR="00DF1CB4">
              <w:rPr>
                <w:rFonts w:cs="Arial"/>
                <w:bCs/>
                <w:lang w:val="it-IT"/>
              </w:rPr>
              <w:t>, PwC</w:t>
            </w:r>
          </w:p>
          <w:p w14:paraId="70E98D2B" w14:textId="6B51A4DE" w:rsidR="00884BF5" w:rsidRPr="00141A9D" w:rsidRDefault="00DF1CB4">
            <w:pPr>
              <w:tabs>
                <w:tab w:val="left" w:pos="1440"/>
              </w:tabs>
              <w:ind w:left="1440" w:hanging="1440"/>
              <w:rPr>
                <w:rFonts w:cs="Arial"/>
                <w:lang w:val="it-IT"/>
              </w:rPr>
            </w:pPr>
            <w:r w:rsidRPr="00141A9D">
              <w:rPr>
                <w:rFonts w:cs="Arial"/>
                <w:lang w:val="it-IT"/>
              </w:rPr>
              <w:t>Tel:</w:t>
            </w:r>
            <w:r w:rsidR="00141A9D" w:rsidRPr="00141A9D">
              <w:rPr>
                <w:rFonts w:cs="Arial"/>
                <w:lang w:val="it-IT"/>
              </w:rPr>
              <w:t xml:space="preserve"> +</w:t>
            </w:r>
            <w:r w:rsidR="00C5575E">
              <w:rPr>
                <w:rFonts w:cs="Arial"/>
                <w:lang w:val="it-IT"/>
              </w:rPr>
              <w:t>44 7803 974136</w:t>
            </w:r>
          </w:p>
          <w:p w14:paraId="4AD99924" w14:textId="72176CDC" w:rsidR="00884BF5" w:rsidRDefault="00DF1CB4" w:rsidP="00141A9D">
            <w:pPr>
              <w:tabs>
                <w:tab w:val="left" w:pos="1440"/>
              </w:tabs>
              <w:ind w:left="1440" w:hanging="1440"/>
              <w:rPr>
                <w:rFonts w:cs="Arial"/>
                <w:lang w:val="it-IT"/>
              </w:rPr>
            </w:pPr>
            <w:r w:rsidRPr="00141A9D">
              <w:rPr>
                <w:rFonts w:cs="Arial"/>
                <w:lang w:val="it-IT"/>
              </w:rPr>
              <w:t>e-mail:</w:t>
            </w:r>
            <w:r w:rsidR="00C5575E">
              <w:rPr>
                <w:rFonts w:cs="Arial"/>
                <w:lang w:val="it-IT"/>
              </w:rPr>
              <w:t xml:space="preserve"> mike.davies@pwc.com</w:t>
            </w:r>
          </w:p>
          <w:p w14:paraId="791737CA" w14:textId="77777777" w:rsidR="00141A9D" w:rsidRPr="00141A9D" w:rsidRDefault="00141A9D" w:rsidP="0030128B">
            <w:pPr>
              <w:tabs>
                <w:tab w:val="left" w:pos="1440"/>
              </w:tabs>
              <w:rPr>
                <w:rFonts w:cs="Arial"/>
                <w:lang w:val="it-IT"/>
              </w:rPr>
            </w:pPr>
          </w:p>
        </w:tc>
      </w:tr>
      <w:tr w:rsidR="006A5C94" w14:paraId="4E6E3F16" w14:textId="77777777" w:rsidTr="000C6395">
        <w:trPr>
          <w:trHeight w:val="551"/>
        </w:trPr>
        <w:tc>
          <w:tcPr>
            <w:tcW w:w="2268" w:type="dxa"/>
          </w:tcPr>
          <w:p w14:paraId="26A3A42B" w14:textId="77777777" w:rsidR="006A5C94" w:rsidRDefault="00DF1CB4">
            <w:pPr>
              <w:rPr>
                <w:i/>
              </w:rPr>
            </w:pPr>
            <w:r>
              <w:rPr>
                <w:i/>
              </w:rPr>
              <w:t xml:space="preserve">Pages </w:t>
            </w:r>
          </w:p>
        </w:tc>
        <w:tc>
          <w:tcPr>
            <w:tcW w:w="6660" w:type="dxa"/>
          </w:tcPr>
          <w:p w14:paraId="6EDDCF7F" w14:textId="479CCFA8" w:rsidR="000C6395" w:rsidRDefault="000C6395">
            <w:r>
              <w:rPr>
                <w:noProof/>
                <w:lang w:val="en-US"/>
              </w:rPr>
              <mc:AlternateContent>
                <mc:Choice Requires="wps">
                  <w:drawing>
                    <wp:anchor distT="0" distB="0" distL="114300" distR="114300" simplePos="0" relativeHeight="251660288" behindDoc="0" locked="0" layoutInCell="1" allowOverlap="1" wp14:anchorId="596AF25D" wp14:editId="580D3DF1">
                      <wp:simplePos x="0" y="0"/>
                      <wp:positionH relativeFrom="page">
                        <wp:posOffset>-1428627</wp:posOffset>
                      </wp:positionH>
                      <wp:positionV relativeFrom="page">
                        <wp:posOffset>306027</wp:posOffset>
                      </wp:positionV>
                      <wp:extent cx="5436296" cy="12526"/>
                      <wp:effectExtent l="0" t="0" r="31115" b="2603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96" cy="12526"/>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BC64D"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5pt,24.1pt" to="315.5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4GwIAACwEAAAOAAAAZHJzL2Uyb0RvYy54bWysU9uO2yAQfa/Uf0C8J76s4ybWOquVnfQl&#10;7Uba7QcQwDEqBgRsnKjqv3cgF+22L1XVFxiYmcOZmcP9w3GQ6MCtE1rVOJumGHFFNRNqX+NvL+vJ&#10;HCPniWJEasVrfOIOPyw/frgfTcVz3WvJuEUAolw1mhr33psqSRzt+UDcVBuuwNlpOxAPR7tPmCUj&#10;oA8yydO0TEZtmbGacufgtj078TLidx2n/qnrHPdI1hi4+bjauO7CmizvSbW3xPSCXmiQf2AxEKHg&#10;0RtUSzxBr1b8ATUIarXTnZ9SPSS66wTlsQaoJkt/q+a5J4bHWqA5ztza5P4fLP162FokWI0LjBQZ&#10;YEQboTgqQ2dG4yoIaNTWhtroUT2bjabfHVK66Yna88jw5WQgLQsZybuUcHAG8HfjF80ghrx6Hdt0&#10;7OwQIKEB6BincbpNgx89onA5K+7KfFFiRMGX5bM8ckpIdU021vnPXA8oGDWWwDuCk8PG+UCGVNeQ&#10;8JbSayFlHLhUaKzxYpbPYoLTUrDgDGHO7neNtOhAQDKru7JJH2Nl4HkbZvWrYhGs54StLrYnQp5t&#10;eFyqgAflAJ2LddbEj0W6WM1X82JS5OVqUqRtO3lcN8WkXGefZu1d2zRt9jNQy4qqF4xxFdhd9ZkV&#10;fzf/y085K+um0FsbkvfosV9A9rpH0nGeYYRnMew0O23tdc4gyRh8+T5B82/PYL/95MtfAAAA//8D&#10;AFBLAwQUAAYACAAAACEAdSVBg+EAAAAKAQAADwAAAGRycy9kb3ducmV2LnhtbEyPP0/DMBTEdyS+&#10;g/WQWFDrxLSlCnEqhITEwtAAA5sTv/yB+Nmy3Tbl02MmGE93uvtduZvNxI7ow2hJQr7MgCG1Vo/U&#10;S3h7fVpsgYWoSKvJEko4Y4BddXlRqkLbE+3xWMeepRIKhZIwxOgKzkM7oFFhaR1S8jrrjYpJ+p5r&#10;r06p3ExcZNmGGzVSWhiUw8cB26/6YCTUz/rOnb3rupd9uGm+V45/vn9IeX01P9wDizjHvzD84id0&#10;qBJTYw+kA5skLIRYpzNRwmorgKXE5jbPgTUS1pkAXpX8/4XqBwAA//8DAFBLAQItABQABgAIAAAA&#10;IQC2gziS/gAAAOEBAAATAAAAAAAAAAAAAAAAAAAAAABbQ29udGVudF9UeXBlc10ueG1sUEsBAi0A&#10;FAAGAAgAAAAhADj9If/WAAAAlAEAAAsAAAAAAAAAAAAAAAAALwEAAF9yZWxzLy5yZWxzUEsBAi0A&#10;FAAGAAgAAAAhAAiVH7gbAgAALAQAAA4AAAAAAAAAAAAAAAAALgIAAGRycy9lMm9Eb2MueG1sUEsB&#10;Ai0AFAAGAAgAAAAhAHUlQYPhAAAACgEAAA8AAAAAAAAAAAAAAAAAdQQAAGRycy9kb3ducmV2Lnht&#10;bFBLBQYAAAAABAAEAPMAAACDBQAAAAA=&#10;" strokecolor="#e36c0a">
                      <w10:wrap anchorx="page" anchory="page"/>
                    </v:line>
                  </w:pict>
                </mc:Fallback>
              </mc:AlternateContent>
            </w:r>
            <w:r w:rsidR="00C5575E">
              <w:t>2</w:t>
            </w:r>
          </w:p>
        </w:tc>
      </w:tr>
    </w:tbl>
    <w:p w14:paraId="0DBFC5DD" w14:textId="5AABA3FD" w:rsidR="007C05BB" w:rsidRPr="00761822" w:rsidRDefault="007C05BB" w:rsidP="0046259F">
      <w:pPr>
        <w:tabs>
          <w:tab w:val="left" w:pos="284"/>
        </w:tabs>
        <w:spacing w:line="240" w:lineRule="auto"/>
        <w:rPr>
          <w:szCs w:val="20"/>
        </w:rPr>
      </w:pPr>
    </w:p>
    <w:p w14:paraId="246DA6BB" w14:textId="16DD9E11" w:rsidR="00D47127" w:rsidRPr="003264CE" w:rsidRDefault="00340A12" w:rsidP="003264CE">
      <w:pPr>
        <w:rPr>
          <w:b/>
          <w:sz w:val="28"/>
          <w:szCs w:val="28"/>
        </w:rPr>
      </w:pPr>
      <w:r w:rsidRPr="00340A12">
        <w:rPr>
          <w:b/>
          <w:sz w:val="28"/>
          <w:szCs w:val="28"/>
        </w:rPr>
        <w:t>Financial services missing ‘window of opportunity’ to support women’s progress, finds PwC report</w:t>
      </w:r>
    </w:p>
    <w:p w14:paraId="6F337416" w14:textId="77777777" w:rsidR="00D47127" w:rsidRPr="00D47127" w:rsidRDefault="00D47127" w:rsidP="00D47127">
      <w:pPr>
        <w:spacing w:line="240" w:lineRule="auto"/>
      </w:pPr>
    </w:p>
    <w:p w14:paraId="7D9A3A3B" w14:textId="5EBCD74C" w:rsidR="003264CE" w:rsidRDefault="00E90CCF" w:rsidP="003264CE">
      <w:r>
        <w:rPr>
          <w:rFonts w:eastAsia="Times New Roman"/>
          <w:b/>
          <w:color w:val="000000"/>
          <w:szCs w:val="20"/>
          <w:lang w:eastAsia="zh-CN"/>
        </w:rPr>
        <w:t>New York</w:t>
      </w:r>
      <w:r w:rsidR="00F54725">
        <w:rPr>
          <w:rFonts w:eastAsia="Times New Roman"/>
          <w:b/>
          <w:color w:val="000000"/>
          <w:szCs w:val="20"/>
          <w:lang w:eastAsia="zh-CN"/>
        </w:rPr>
        <w:t xml:space="preserve">, </w:t>
      </w:r>
      <w:r w:rsidR="00B9381C">
        <w:rPr>
          <w:rFonts w:eastAsia="Times New Roman"/>
          <w:b/>
          <w:color w:val="000000"/>
          <w:szCs w:val="20"/>
          <w:lang w:eastAsia="zh-CN"/>
        </w:rPr>
        <w:t>9</w:t>
      </w:r>
      <w:r w:rsidR="00B9381C" w:rsidRPr="00B9381C">
        <w:rPr>
          <w:rFonts w:eastAsia="Times New Roman"/>
          <w:b/>
          <w:color w:val="000000"/>
          <w:szCs w:val="20"/>
          <w:vertAlign w:val="superscript"/>
          <w:lang w:eastAsia="zh-CN"/>
        </w:rPr>
        <w:t>th</w:t>
      </w:r>
      <w:r w:rsidR="00B9381C">
        <w:rPr>
          <w:rFonts w:eastAsia="Times New Roman"/>
          <w:b/>
          <w:color w:val="000000"/>
          <w:szCs w:val="20"/>
          <w:lang w:eastAsia="zh-CN"/>
        </w:rPr>
        <w:t xml:space="preserve"> </w:t>
      </w:r>
      <w:r w:rsidR="00F54725">
        <w:rPr>
          <w:rFonts w:eastAsia="Times New Roman"/>
          <w:b/>
          <w:color w:val="000000"/>
          <w:szCs w:val="20"/>
          <w:lang w:eastAsia="zh-CN"/>
        </w:rPr>
        <w:t>August</w:t>
      </w:r>
      <w:r w:rsidR="00C5575E">
        <w:rPr>
          <w:rFonts w:eastAsia="Times New Roman"/>
          <w:b/>
          <w:color w:val="000000"/>
          <w:szCs w:val="20"/>
          <w:lang w:eastAsia="zh-CN"/>
        </w:rPr>
        <w:t xml:space="preserve"> 2018</w:t>
      </w:r>
      <w:r w:rsidR="00D47127">
        <w:rPr>
          <w:b/>
        </w:rPr>
        <w:t xml:space="preserve">:  </w:t>
      </w:r>
      <w:r w:rsidR="00560FF6">
        <w:t>Financial services (FS) is</w:t>
      </w:r>
      <w:r w:rsidR="003264CE" w:rsidRPr="00094EAA">
        <w:t xml:space="preserve"> falling behind </w:t>
      </w:r>
      <w:r w:rsidR="003264CE">
        <w:t>other sectors when it comes to supporting women’s progress into seni</w:t>
      </w:r>
      <w:r w:rsidR="00B9381C">
        <w:t>or positions, according to a</w:t>
      </w:r>
      <w:r w:rsidR="003264CE">
        <w:t xml:space="preserve"> global report from PwC.</w:t>
      </w:r>
    </w:p>
    <w:p w14:paraId="53AA08B5" w14:textId="77777777" w:rsidR="003264CE" w:rsidRDefault="003264CE" w:rsidP="003264CE"/>
    <w:p w14:paraId="20B8D495" w14:textId="1DAF0446" w:rsidR="003264CE" w:rsidRDefault="003264CE" w:rsidP="003264CE">
      <w:r>
        <w:t>The report has found that 54% of women working in FS believe that their diversity status is a barrier to career progression in their organisation, compared to 45% in other industries. Nearly half (43%) of women working worldwide</w:t>
      </w:r>
      <w:r w:rsidR="00B9381C">
        <w:t xml:space="preserve"> in FS</w:t>
      </w:r>
      <w:r>
        <w:t xml:space="preserve"> have experienced inappropriate language, insults and bullying, compared to an average of 34% in other sectors. </w:t>
      </w:r>
    </w:p>
    <w:p w14:paraId="69430EA2" w14:textId="77777777" w:rsidR="003264CE" w:rsidRDefault="003264CE" w:rsidP="003264CE"/>
    <w:p w14:paraId="6DC02860" w14:textId="1A88435A" w:rsidR="003264CE" w:rsidRDefault="003264CE" w:rsidP="003264CE">
      <w:r>
        <w:t xml:space="preserve">The report also raises concerns about the impact of workplace policies intended to support working mothers. Nearly 60% of new mothers in FS believe they’ve been overlooked for career-advancing opportunities since returning to work. More than half think that while policies such as flexible working exist in their workplace, they are not readily available in practice (52%) or would have negative impacts if taken advantage of (51%).  </w:t>
      </w:r>
    </w:p>
    <w:p w14:paraId="788C86CB" w14:textId="77777777" w:rsidR="003264CE" w:rsidRDefault="003264CE" w:rsidP="003264CE"/>
    <w:p w14:paraId="7FD9D951" w14:textId="77777777" w:rsidR="003264CE" w:rsidRDefault="003264CE" w:rsidP="003264CE">
      <w:r w:rsidRPr="00880B48">
        <w:rPr>
          <w:i/>
        </w:rPr>
        <w:t>Seeing Is Believing: clearing the barriers to women’s progress in financial services</w:t>
      </w:r>
      <w:r>
        <w:t xml:space="preserve"> surveyed 290 professional women ages 28 </w:t>
      </w:r>
      <w:r w:rsidRPr="00880B48">
        <w:t>to 40 who are working in FS</w:t>
      </w:r>
      <w:r>
        <w:t xml:space="preserve"> globally. </w:t>
      </w:r>
      <w:r w:rsidRPr="00880B48">
        <w:t>The FS sample forms part of a survey of 3,627</w:t>
      </w:r>
      <w:r>
        <w:t xml:space="preserve"> </w:t>
      </w:r>
      <w:r w:rsidRPr="00880B48">
        <w:t>professional women from across all sectors</w:t>
      </w:r>
      <w:r>
        <w:t xml:space="preserve"> </w:t>
      </w:r>
      <w:r w:rsidRPr="00880B48">
        <w:t>worldwide</w:t>
      </w:r>
    </w:p>
    <w:p w14:paraId="43436862" w14:textId="77777777" w:rsidR="003264CE" w:rsidRDefault="003264CE" w:rsidP="003264CE"/>
    <w:p w14:paraId="6372EEBC" w14:textId="20BD2F30" w:rsidR="003264CE" w:rsidRDefault="003264CE" w:rsidP="003264CE">
      <w:r>
        <w:t xml:space="preserve">The report has also found encouraging signs of progress within the sector. More than 60% say they have negotiated a promotion in the past two years, compared to less than half of the participants of all industries. More than 80% of women working in FS are confident about their ability to lead and to fulfil their career ambitions. </w:t>
      </w:r>
    </w:p>
    <w:p w14:paraId="2D275EA2" w14:textId="77777777" w:rsidR="003264CE" w:rsidRDefault="003264CE" w:rsidP="003264CE">
      <w:pPr>
        <w:rPr>
          <w:i/>
        </w:rPr>
      </w:pPr>
    </w:p>
    <w:p w14:paraId="4B3D9B4E" w14:textId="1D2F26C6" w:rsidR="003264CE" w:rsidRDefault="003264CE" w:rsidP="003264CE">
      <w:r>
        <w:rPr>
          <w:i/>
        </w:rPr>
        <w:t xml:space="preserve">Seeing Is Believing </w:t>
      </w:r>
      <w:r>
        <w:t xml:space="preserve">focuses on three key areas for business leaders to </w:t>
      </w:r>
      <w:r w:rsidR="00B9381C">
        <w:t>look at</w:t>
      </w:r>
      <w:r>
        <w:t>:</w:t>
      </w:r>
    </w:p>
    <w:p w14:paraId="572061C0" w14:textId="77777777" w:rsidR="003264CE" w:rsidRDefault="003264CE" w:rsidP="003264CE"/>
    <w:p w14:paraId="61D18E36" w14:textId="05E529FB" w:rsidR="00B9381C" w:rsidRDefault="003264CE" w:rsidP="00B9381C">
      <w:pPr>
        <w:pStyle w:val="NoSpacing"/>
        <w:numPr>
          <w:ilvl w:val="0"/>
          <w:numId w:val="7"/>
        </w:numPr>
      </w:pPr>
      <w:r>
        <w:t xml:space="preserve">The importance of transparency, dialogue and trust in convincing women they can </w:t>
      </w:r>
      <w:r w:rsidR="00B9381C">
        <w:t xml:space="preserve">succeed in an </w:t>
      </w:r>
      <w:r>
        <w:t>organisation, and helping them understand what they need to do to pr</w:t>
      </w:r>
      <w:r w:rsidR="00B9381C">
        <w:t>ogress.</w:t>
      </w:r>
    </w:p>
    <w:p w14:paraId="438839DB" w14:textId="7EC4A07A" w:rsidR="00B9381C" w:rsidRDefault="00B9381C" w:rsidP="00B9381C">
      <w:pPr>
        <w:pStyle w:val="NoSpacing"/>
        <w:numPr>
          <w:ilvl w:val="0"/>
          <w:numId w:val="7"/>
        </w:numPr>
      </w:pPr>
      <w:r>
        <w:t>The need for active management support to identify future leaders and ensure they acquire the necessary experience and access to networks to enhance their development.</w:t>
      </w:r>
    </w:p>
    <w:p w14:paraId="295CD4B5" w14:textId="77777777" w:rsidR="00B9381C" w:rsidRDefault="00B9381C" w:rsidP="00B9381C">
      <w:pPr>
        <w:pStyle w:val="NoSpacing"/>
        <w:numPr>
          <w:ilvl w:val="0"/>
          <w:numId w:val="7"/>
        </w:numPr>
      </w:pPr>
      <w:r>
        <w:t xml:space="preserve">Creating an environment that enables women to balance their personal and professional aspirations in a culture that embraces rather than simply accepts flexible working. </w:t>
      </w:r>
    </w:p>
    <w:p w14:paraId="584D5258" w14:textId="77777777" w:rsidR="00B9381C" w:rsidRDefault="00B9381C" w:rsidP="00B9381C">
      <w:pPr>
        <w:pStyle w:val="NoSpacing"/>
        <w:ind w:left="720"/>
      </w:pPr>
    </w:p>
    <w:p w14:paraId="5D97D811" w14:textId="77777777" w:rsidR="003264CE" w:rsidRDefault="003264CE" w:rsidP="003264CE">
      <w:pPr>
        <w:pStyle w:val="NoSpacing"/>
      </w:pPr>
    </w:p>
    <w:p w14:paraId="2548E908" w14:textId="77777777" w:rsidR="003264CE" w:rsidRDefault="003264CE" w:rsidP="003264CE">
      <w:pPr>
        <w:pStyle w:val="NoSpacing"/>
      </w:pPr>
      <w:r>
        <w:t>Jon Terry, Global FS HR Consulting Leader at PwC, says,</w:t>
      </w:r>
    </w:p>
    <w:p w14:paraId="79209E1C" w14:textId="77777777" w:rsidR="003264CE" w:rsidRDefault="003264CE" w:rsidP="003264CE">
      <w:pPr>
        <w:pStyle w:val="NoSpacing"/>
      </w:pPr>
    </w:p>
    <w:p w14:paraId="735E9FF0" w14:textId="06120A45" w:rsidR="003264CE" w:rsidRDefault="003264CE" w:rsidP="003264CE">
      <w:pPr>
        <w:pStyle w:val="NoSpacing"/>
      </w:pPr>
      <w:r>
        <w:t>‘This report em</w:t>
      </w:r>
      <w:r w:rsidR="00B9381C">
        <w:t>phasises that financial services globally is</w:t>
      </w:r>
      <w:r>
        <w:t xml:space="preserve"> facing a watershed moment in terms of supporting gender diversity. Organisations are confronting a generational cohort who are more confident and ambitious regarding their leadership abilities than ever before. </w:t>
      </w:r>
    </w:p>
    <w:p w14:paraId="102ABF7D" w14:textId="77777777" w:rsidR="003264CE" w:rsidRDefault="003264CE" w:rsidP="003264CE">
      <w:pPr>
        <w:pStyle w:val="NoSpacing"/>
      </w:pPr>
    </w:p>
    <w:p w14:paraId="5300D748" w14:textId="08CD3B4A" w:rsidR="003264CE" w:rsidRDefault="003264CE" w:rsidP="003264CE">
      <w:pPr>
        <w:pStyle w:val="NoSpacing"/>
      </w:pPr>
      <w:r>
        <w:t xml:space="preserve">‘Yet the perception is that many employers are failing to adapt to the challenge and take pro-active steps to reduce the barriers. While the earnings gap between men and women is relatively small until their late 20s, it starts to widen significantly by their forties. It is therefore vital to understand the needs and concerns of </w:t>
      </w:r>
      <w:r w:rsidR="00B9381C">
        <w:t>this group</w:t>
      </w:r>
      <w:r>
        <w:t xml:space="preserve"> in particular so that organisations can take practical steps to address this shortcoming. </w:t>
      </w:r>
    </w:p>
    <w:p w14:paraId="624FB9D3" w14:textId="77777777" w:rsidR="003264CE" w:rsidRDefault="003264CE" w:rsidP="003264CE">
      <w:pPr>
        <w:pStyle w:val="NoSpacing"/>
      </w:pPr>
    </w:p>
    <w:p w14:paraId="2798B73C" w14:textId="140B288E" w:rsidR="003264CE" w:rsidRDefault="003264CE" w:rsidP="003264CE">
      <w:pPr>
        <w:pStyle w:val="NoSpacing"/>
      </w:pPr>
      <w:r>
        <w:t>‘This generational change should be seen as a window of opportunity for gender equality in financial services</w:t>
      </w:r>
      <w:r w:rsidR="00B9381C">
        <w:t>:</w:t>
      </w:r>
      <w:r>
        <w:t xml:space="preserve"> a chance to boost diversity and inclusion and reap the benefits. Yet if this window is not seized there could be serious challenges for the sector when it comes to attracting and retaining talent in the future.’ </w:t>
      </w:r>
    </w:p>
    <w:p w14:paraId="28BA3BA2" w14:textId="77777777" w:rsidR="003264CE" w:rsidRDefault="003264CE" w:rsidP="003264CE">
      <w:pPr>
        <w:pStyle w:val="NoSpacing"/>
      </w:pPr>
    </w:p>
    <w:p w14:paraId="02428182" w14:textId="5088D8C9" w:rsidR="00AA4C72" w:rsidRPr="00AA4C72" w:rsidRDefault="00AA4C72">
      <w:pPr>
        <w:spacing w:line="240" w:lineRule="auto"/>
        <w:rPr>
          <w:szCs w:val="20"/>
        </w:rPr>
      </w:pPr>
    </w:p>
    <w:p w14:paraId="5D51D58F" w14:textId="77777777" w:rsidR="00FD0C74" w:rsidRPr="006327C2" w:rsidRDefault="00FD0C74" w:rsidP="00761822">
      <w:pPr>
        <w:spacing w:line="240" w:lineRule="auto"/>
        <w:rPr>
          <w:rFonts w:cs="Helv"/>
          <w:b/>
          <w:szCs w:val="20"/>
          <w:lang w:val="en-IE" w:eastAsia="en-GB"/>
        </w:rPr>
      </w:pPr>
    </w:p>
    <w:p w14:paraId="0B124594" w14:textId="77777777" w:rsidR="006A5C94" w:rsidRPr="00982429" w:rsidRDefault="00DF1CB4" w:rsidP="00080D5B">
      <w:pPr>
        <w:spacing w:line="240" w:lineRule="auto"/>
        <w:rPr>
          <w:rFonts w:cs="Helv"/>
          <w:b/>
          <w:szCs w:val="20"/>
          <w:lang w:eastAsia="en-GB"/>
        </w:rPr>
      </w:pPr>
      <w:r w:rsidRPr="00982429">
        <w:rPr>
          <w:rFonts w:cs="Helv"/>
          <w:b/>
          <w:szCs w:val="20"/>
          <w:lang w:eastAsia="en-GB"/>
        </w:rPr>
        <w:t>ENDS</w:t>
      </w:r>
    </w:p>
    <w:p w14:paraId="46528636" w14:textId="77777777" w:rsidR="006666E9" w:rsidRPr="00982429" w:rsidRDefault="006666E9">
      <w:pPr>
        <w:autoSpaceDE w:val="0"/>
        <w:autoSpaceDN w:val="0"/>
        <w:adjustRightInd w:val="0"/>
        <w:spacing w:line="240" w:lineRule="auto"/>
        <w:rPr>
          <w:rFonts w:cs="Arial"/>
          <w:b/>
          <w:bCs/>
          <w:color w:val="000000"/>
          <w:szCs w:val="20"/>
          <w:lang w:eastAsia="en-GB"/>
        </w:rPr>
      </w:pPr>
    </w:p>
    <w:p w14:paraId="171ADEF5" w14:textId="77777777" w:rsidR="00D47127" w:rsidRDefault="00D47127">
      <w:pPr>
        <w:autoSpaceDE w:val="0"/>
        <w:autoSpaceDN w:val="0"/>
        <w:adjustRightInd w:val="0"/>
        <w:spacing w:line="240" w:lineRule="auto"/>
        <w:rPr>
          <w:rFonts w:cs="Arial"/>
          <w:b/>
          <w:bCs/>
          <w:color w:val="000000"/>
          <w:szCs w:val="20"/>
          <w:lang w:eastAsia="en-GB"/>
        </w:rPr>
      </w:pPr>
    </w:p>
    <w:p w14:paraId="036F79E2" w14:textId="77777777" w:rsidR="00D47127" w:rsidRDefault="00D47127">
      <w:pPr>
        <w:autoSpaceDE w:val="0"/>
        <w:autoSpaceDN w:val="0"/>
        <w:adjustRightInd w:val="0"/>
        <w:spacing w:line="240" w:lineRule="auto"/>
        <w:rPr>
          <w:rFonts w:cs="Arial"/>
          <w:b/>
          <w:bCs/>
          <w:color w:val="000000"/>
          <w:szCs w:val="20"/>
          <w:lang w:eastAsia="en-GB"/>
        </w:rPr>
      </w:pPr>
    </w:p>
    <w:p w14:paraId="4871B7D7" w14:textId="77777777" w:rsidR="00D47127" w:rsidRDefault="00D47127">
      <w:pPr>
        <w:autoSpaceDE w:val="0"/>
        <w:autoSpaceDN w:val="0"/>
        <w:adjustRightInd w:val="0"/>
        <w:spacing w:line="240" w:lineRule="auto"/>
        <w:rPr>
          <w:rFonts w:cs="Arial"/>
          <w:b/>
          <w:bCs/>
          <w:color w:val="000000"/>
          <w:szCs w:val="20"/>
          <w:lang w:eastAsia="en-GB"/>
        </w:rPr>
      </w:pPr>
    </w:p>
    <w:p w14:paraId="08681A40" w14:textId="2A2051B7" w:rsidR="006A5C94" w:rsidRDefault="00DF1CB4">
      <w:pPr>
        <w:autoSpaceDE w:val="0"/>
        <w:autoSpaceDN w:val="0"/>
        <w:adjustRightInd w:val="0"/>
        <w:spacing w:line="240" w:lineRule="auto"/>
        <w:rPr>
          <w:rFonts w:cs="Arial"/>
          <w:b/>
          <w:bCs/>
          <w:color w:val="000000"/>
          <w:szCs w:val="20"/>
          <w:lang w:eastAsia="en-GB"/>
        </w:rPr>
      </w:pPr>
      <w:r w:rsidRPr="00982429">
        <w:rPr>
          <w:rFonts w:cs="Arial"/>
          <w:b/>
          <w:bCs/>
          <w:color w:val="000000"/>
          <w:szCs w:val="20"/>
          <w:lang w:eastAsia="en-GB"/>
        </w:rPr>
        <w:t>Notes</w:t>
      </w:r>
      <w:r w:rsidR="00884BF5" w:rsidRPr="00982429">
        <w:rPr>
          <w:rFonts w:cs="Arial"/>
          <w:b/>
          <w:bCs/>
          <w:color w:val="000000"/>
          <w:szCs w:val="20"/>
          <w:lang w:eastAsia="en-GB"/>
        </w:rPr>
        <w:t xml:space="preserve"> to editors</w:t>
      </w:r>
      <w:r w:rsidR="00253EAB">
        <w:rPr>
          <w:rFonts w:cs="Arial"/>
          <w:b/>
          <w:bCs/>
          <w:color w:val="000000"/>
          <w:szCs w:val="20"/>
          <w:lang w:eastAsia="en-GB"/>
        </w:rPr>
        <w:t>:</w:t>
      </w:r>
    </w:p>
    <w:p w14:paraId="34EBA1A3" w14:textId="68B781FF" w:rsidR="00BF6885" w:rsidRDefault="00BF6885">
      <w:pPr>
        <w:autoSpaceDE w:val="0"/>
        <w:autoSpaceDN w:val="0"/>
        <w:adjustRightInd w:val="0"/>
        <w:spacing w:line="240" w:lineRule="auto"/>
        <w:rPr>
          <w:rFonts w:cs="Arial"/>
          <w:b/>
          <w:bCs/>
          <w:color w:val="000000"/>
          <w:szCs w:val="20"/>
          <w:lang w:eastAsia="en-GB"/>
        </w:rPr>
      </w:pPr>
    </w:p>
    <w:p w14:paraId="630306CD" w14:textId="4918D965" w:rsidR="00BF6885" w:rsidRDefault="00BF6885">
      <w:pPr>
        <w:autoSpaceDE w:val="0"/>
        <w:autoSpaceDN w:val="0"/>
        <w:adjustRightInd w:val="0"/>
        <w:spacing w:line="240" w:lineRule="auto"/>
        <w:rPr>
          <w:rFonts w:cs="Arial"/>
          <w:bCs/>
          <w:color w:val="000000"/>
          <w:szCs w:val="20"/>
          <w:lang w:eastAsia="en-GB"/>
        </w:rPr>
      </w:pPr>
      <w:r>
        <w:rPr>
          <w:rFonts w:cs="Arial"/>
          <w:bCs/>
          <w:color w:val="000000"/>
          <w:szCs w:val="20"/>
          <w:lang w:eastAsia="en-GB"/>
        </w:rPr>
        <w:t>Find the full report: “</w:t>
      </w:r>
      <w:r w:rsidR="003264CE" w:rsidRPr="00880B48">
        <w:rPr>
          <w:i/>
        </w:rPr>
        <w:t>Seeing Is Believing: clearing the barriers to women’s progress in financial services</w:t>
      </w:r>
      <w:r w:rsidR="0085165E">
        <w:rPr>
          <w:rFonts w:cs="Arial"/>
          <w:bCs/>
          <w:color w:val="000000"/>
          <w:szCs w:val="20"/>
          <w:lang w:eastAsia="en-GB"/>
        </w:rPr>
        <w:t xml:space="preserve">” at </w:t>
      </w:r>
      <w:hyperlink r:id="rId8" w:history="1">
        <w:r w:rsidR="00786C28" w:rsidRPr="00B3443A">
          <w:rPr>
            <w:rStyle w:val="Hyperlink"/>
            <w:rFonts w:cs="Arial"/>
            <w:bCs/>
            <w:szCs w:val="20"/>
            <w:lang w:eastAsia="en-GB"/>
          </w:rPr>
          <w:t>https://www.pwc.com/gx/en/industries/financial-services/publications/clearing-barriers-women-progress-financial-services.html</w:t>
        </w:r>
      </w:hyperlink>
      <w:r w:rsidR="00786C28">
        <w:rPr>
          <w:rStyle w:val="Hyperlink"/>
          <w:rFonts w:cs="Arial"/>
          <w:bCs/>
          <w:szCs w:val="20"/>
          <w:lang w:eastAsia="en-GB"/>
        </w:rPr>
        <w:t xml:space="preserve"> </w:t>
      </w:r>
    </w:p>
    <w:p w14:paraId="01621EF1" w14:textId="77777777" w:rsidR="00BF6885" w:rsidRPr="00BF6885" w:rsidRDefault="00BF6885">
      <w:pPr>
        <w:autoSpaceDE w:val="0"/>
        <w:autoSpaceDN w:val="0"/>
        <w:adjustRightInd w:val="0"/>
        <w:spacing w:line="240" w:lineRule="auto"/>
        <w:rPr>
          <w:rFonts w:cs="Arial"/>
          <w:bCs/>
          <w:color w:val="000000"/>
          <w:szCs w:val="20"/>
          <w:lang w:eastAsia="en-GB"/>
        </w:rPr>
      </w:pPr>
    </w:p>
    <w:p w14:paraId="1CC3C8B7" w14:textId="5C4CBDB1" w:rsidR="006A5C94" w:rsidRDefault="00BF6885" w:rsidP="00884BF5">
      <w:pPr>
        <w:spacing w:line="240" w:lineRule="auto"/>
        <w:rPr>
          <w:rFonts w:cs="Arial"/>
          <w:bCs/>
          <w:szCs w:val="20"/>
        </w:rPr>
      </w:pPr>
      <w:r>
        <w:rPr>
          <w:rFonts w:cs="Arial"/>
          <w:bCs/>
          <w:szCs w:val="20"/>
        </w:rPr>
        <w:t>F</w:t>
      </w:r>
      <w:r w:rsidR="0085165E">
        <w:rPr>
          <w:rFonts w:cs="Arial"/>
          <w:bCs/>
          <w:szCs w:val="20"/>
        </w:rPr>
        <w:t>ollow us on twitter:  @PwC</w:t>
      </w:r>
    </w:p>
    <w:p w14:paraId="1A0370CA" w14:textId="773E4EBD" w:rsidR="00BF6885" w:rsidRDefault="00BF6885" w:rsidP="00884BF5">
      <w:pPr>
        <w:spacing w:line="240" w:lineRule="auto"/>
        <w:rPr>
          <w:rFonts w:cs="Arial"/>
          <w:bCs/>
          <w:szCs w:val="20"/>
        </w:rPr>
      </w:pPr>
    </w:p>
    <w:p w14:paraId="4F0F6B89" w14:textId="77A17097" w:rsidR="00BF6885" w:rsidRDefault="00BF6885" w:rsidP="00884BF5">
      <w:pPr>
        <w:spacing w:line="240" w:lineRule="auto"/>
        <w:rPr>
          <w:rFonts w:cs="Arial"/>
          <w:bCs/>
          <w:szCs w:val="20"/>
        </w:rPr>
      </w:pPr>
    </w:p>
    <w:p w14:paraId="07694107" w14:textId="77777777" w:rsidR="00BF6885" w:rsidRPr="00982429" w:rsidRDefault="00BF6885" w:rsidP="00884BF5">
      <w:pPr>
        <w:spacing w:line="240" w:lineRule="auto"/>
        <w:rPr>
          <w:rFonts w:cs="Arial"/>
          <w:bCs/>
          <w:szCs w:val="20"/>
        </w:rPr>
      </w:pPr>
    </w:p>
    <w:p w14:paraId="3D25A40F" w14:textId="5F6B3178" w:rsidR="00D3305D" w:rsidRDefault="00D3305D" w:rsidP="00A97174">
      <w:pPr>
        <w:spacing w:line="276" w:lineRule="auto"/>
        <w:rPr>
          <w:rStyle w:val="Hyperlink"/>
          <w:rFonts w:eastAsia="Times New Roman"/>
          <w:b/>
          <w:color w:val="000000" w:themeColor="text1"/>
          <w:szCs w:val="20"/>
          <w:lang w:eastAsia="zh-CN"/>
        </w:rPr>
      </w:pPr>
      <w:r w:rsidRPr="00982429">
        <w:rPr>
          <w:rStyle w:val="Hyperlink"/>
          <w:rFonts w:eastAsia="Times New Roman"/>
          <w:b/>
          <w:color w:val="000000" w:themeColor="text1"/>
          <w:szCs w:val="20"/>
          <w:lang w:eastAsia="zh-CN"/>
        </w:rPr>
        <w:t>About the research</w:t>
      </w:r>
    </w:p>
    <w:p w14:paraId="2C810A96" w14:textId="77777777" w:rsidR="003264CE" w:rsidRDefault="003264CE" w:rsidP="003264CE">
      <w:pPr>
        <w:pStyle w:val="NoSpacing"/>
      </w:pPr>
      <w:r w:rsidRPr="00880B48">
        <w:rPr>
          <w:i/>
        </w:rPr>
        <w:t>Seeing Is Believing: clearing the barriers to women’s progress in financial services</w:t>
      </w:r>
      <w:r>
        <w:t xml:space="preserve"> surveyed 290 professional women ages 28 </w:t>
      </w:r>
      <w:r w:rsidRPr="00880B48">
        <w:t>to 40 who are working in FS</w:t>
      </w:r>
      <w:r>
        <w:t xml:space="preserve"> globally. The survey included views</w:t>
      </w:r>
      <w:r w:rsidRPr="00880B48">
        <w:t xml:space="preserve"> about their</w:t>
      </w:r>
      <w:r>
        <w:t xml:space="preserve"> </w:t>
      </w:r>
      <w:r w:rsidRPr="00880B48">
        <w:t>aspirations, how they feel about their</w:t>
      </w:r>
      <w:r>
        <w:t xml:space="preserve"> </w:t>
      </w:r>
      <w:r w:rsidRPr="00880B48">
        <w:t>prospects for advancement and what they see</w:t>
      </w:r>
      <w:r>
        <w:t xml:space="preserve"> </w:t>
      </w:r>
      <w:r w:rsidRPr="00880B48">
        <w:t>as potential obstacles to successful careers.</w:t>
      </w:r>
      <w:r>
        <w:t xml:space="preserve"> </w:t>
      </w:r>
    </w:p>
    <w:p w14:paraId="6D7FF61B" w14:textId="77777777" w:rsidR="003264CE" w:rsidRDefault="003264CE" w:rsidP="003264CE">
      <w:pPr>
        <w:pStyle w:val="NoSpacing"/>
      </w:pPr>
    </w:p>
    <w:p w14:paraId="61114CF0" w14:textId="77777777" w:rsidR="003264CE" w:rsidRPr="00880B48" w:rsidRDefault="003264CE" w:rsidP="003264CE">
      <w:pPr>
        <w:pStyle w:val="NoSpacing"/>
      </w:pPr>
      <w:r w:rsidRPr="00880B48">
        <w:t>The FS sample forms part of a survey of 3,627</w:t>
      </w:r>
      <w:r>
        <w:t xml:space="preserve"> </w:t>
      </w:r>
      <w:r w:rsidRPr="00880B48">
        <w:t>professional women from across all sectors</w:t>
      </w:r>
      <w:r>
        <w:t xml:space="preserve"> </w:t>
      </w:r>
      <w:r w:rsidRPr="00880B48">
        <w:t>worldwide; the age range was chosen as this</w:t>
      </w:r>
      <w:r>
        <w:t xml:space="preserve"> </w:t>
      </w:r>
      <w:r w:rsidRPr="00880B48">
        <w:t>is the period in working lives where the gap</w:t>
      </w:r>
      <w:r>
        <w:t xml:space="preserve"> </w:t>
      </w:r>
      <w:r w:rsidRPr="00880B48">
        <w:t>between men’s and women’s progression</w:t>
      </w:r>
      <w:r>
        <w:t xml:space="preserve"> </w:t>
      </w:r>
      <w:r w:rsidRPr="00880B48">
        <w:t>begins to widen and the challenges of</w:t>
      </w:r>
      <w:r>
        <w:t xml:space="preserve"> </w:t>
      </w:r>
      <w:r w:rsidRPr="00880B48">
        <w:t>combining careers and personal</w:t>
      </w:r>
      <w:r>
        <w:t xml:space="preserve"> </w:t>
      </w:r>
      <w:r w:rsidRPr="00880B48">
        <w:t>priorities increase.</w:t>
      </w:r>
      <w:r>
        <w:t xml:space="preserve">  </w:t>
      </w:r>
    </w:p>
    <w:p w14:paraId="3DEE6EA1" w14:textId="549574C9" w:rsidR="00C6549D" w:rsidRPr="00982429" w:rsidRDefault="00C6549D" w:rsidP="00A97174">
      <w:pPr>
        <w:spacing w:line="276" w:lineRule="auto"/>
        <w:rPr>
          <w:rStyle w:val="Hyperlink"/>
          <w:rFonts w:eastAsia="Times New Roman"/>
          <w:b/>
          <w:color w:val="000000" w:themeColor="text1"/>
          <w:szCs w:val="20"/>
          <w:lang w:eastAsia="zh-CN"/>
        </w:rPr>
      </w:pPr>
    </w:p>
    <w:p w14:paraId="0E5E5AD2" w14:textId="3B3A75AD" w:rsidR="007C05BB" w:rsidRPr="00982429" w:rsidRDefault="007515A5" w:rsidP="00D018A4">
      <w:pPr>
        <w:spacing w:line="276" w:lineRule="auto"/>
        <w:rPr>
          <w:rStyle w:val="Hyperlink"/>
          <w:rFonts w:eastAsia="Times New Roman"/>
          <w:b/>
          <w:color w:val="000000" w:themeColor="text1"/>
          <w:szCs w:val="20"/>
          <w:lang w:eastAsia="zh-CN"/>
        </w:rPr>
      </w:pPr>
      <w:r w:rsidRPr="00982429">
        <w:rPr>
          <w:rStyle w:val="Hyperlink"/>
          <w:rFonts w:eastAsia="Times New Roman"/>
          <w:b/>
          <w:color w:val="000000" w:themeColor="text1"/>
          <w:szCs w:val="20"/>
          <w:lang w:eastAsia="zh-CN"/>
        </w:rPr>
        <w:t>About PwC</w:t>
      </w:r>
    </w:p>
    <w:p w14:paraId="35E1AF20" w14:textId="62EDF084" w:rsidR="00D018A4" w:rsidRPr="00982429" w:rsidRDefault="00D018A4" w:rsidP="00D018A4">
      <w:pPr>
        <w:spacing w:line="276" w:lineRule="auto"/>
        <w:rPr>
          <w:bCs/>
          <w:szCs w:val="20"/>
        </w:rPr>
      </w:pPr>
      <w:r w:rsidRPr="00982429">
        <w:rPr>
          <w:bCs/>
          <w:szCs w:val="20"/>
        </w:rPr>
        <w:t>At PwC, our purpose is to build trust in society and solve important problems.</w:t>
      </w:r>
      <w:r w:rsidR="0053496F" w:rsidRPr="00982429">
        <w:rPr>
          <w:bCs/>
          <w:szCs w:val="20"/>
        </w:rPr>
        <w:t xml:space="preserve"> We’re a network of firms in 158</w:t>
      </w:r>
      <w:r w:rsidRPr="00982429">
        <w:rPr>
          <w:bCs/>
          <w:szCs w:val="20"/>
        </w:rPr>
        <w:t xml:space="preserve"> </w:t>
      </w:r>
      <w:r w:rsidR="00563BED" w:rsidRPr="00982429">
        <w:rPr>
          <w:bCs/>
          <w:szCs w:val="20"/>
        </w:rPr>
        <w:t>countries with more tha</w:t>
      </w:r>
      <w:r w:rsidR="00E27D5F" w:rsidRPr="00982429">
        <w:rPr>
          <w:bCs/>
          <w:szCs w:val="20"/>
        </w:rPr>
        <w:t>n 2</w:t>
      </w:r>
      <w:r w:rsidR="0053496F" w:rsidRPr="00982429">
        <w:rPr>
          <w:bCs/>
          <w:szCs w:val="20"/>
        </w:rPr>
        <w:t>36</w:t>
      </w:r>
      <w:r w:rsidR="00E27D5F" w:rsidRPr="00982429">
        <w:rPr>
          <w:bCs/>
          <w:szCs w:val="20"/>
        </w:rPr>
        <w:t xml:space="preserve">,000 </w:t>
      </w:r>
      <w:r w:rsidRPr="00982429">
        <w:rPr>
          <w:bCs/>
          <w:szCs w:val="20"/>
        </w:rPr>
        <w:t xml:space="preserve">people who are committed to delivering </w:t>
      </w:r>
      <w:r w:rsidRPr="008D2A95">
        <w:rPr>
          <w:bCs/>
          <w:color w:val="000000" w:themeColor="text1"/>
          <w:szCs w:val="20"/>
        </w:rPr>
        <w:t xml:space="preserve">quality in assurance, advisory and tax services. Find out more and tell us what matters to you by visiting us at </w:t>
      </w:r>
      <w:hyperlink r:id="rId9" w:history="1">
        <w:r w:rsidR="003264CE" w:rsidRPr="00176BE9">
          <w:rPr>
            <w:rStyle w:val="Hyperlink"/>
            <w:bCs/>
            <w:szCs w:val="20"/>
          </w:rPr>
          <w:t>www.pwc.com</w:t>
        </w:r>
      </w:hyperlink>
      <w:r w:rsidRPr="008D2A95">
        <w:rPr>
          <w:bCs/>
          <w:color w:val="000000" w:themeColor="text1"/>
          <w:szCs w:val="20"/>
        </w:rPr>
        <w:t>.</w:t>
      </w:r>
    </w:p>
    <w:p w14:paraId="2E082270" w14:textId="77777777" w:rsidR="00D018A4" w:rsidRPr="00982429" w:rsidRDefault="00D018A4" w:rsidP="00D018A4">
      <w:pPr>
        <w:spacing w:line="276" w:lineRule="auto"/>
        <w:rPr>
          <w:bCs/>
          <w:szCs w:val="20"/>
        </w:rPr>
      </w:pPr>
    </w:p>
    <w:p w14:paraId="091DE4EE" w14:textId="77777777" w:rsidR="00D018A4" w:rsidRPr="00982429" w:rsidRDefault="00D018A4" w:rsidP="00D018A4">
      <w:pPr>
        <w:spacing w:line="276" w:lineRule="auto"/>
        <w:rPr>
          <w:bCs/>
          <w:szCs w:val="20"/>
        </w:rPr>
      </w:pPr>
      <w:r w:rsidRPr="00982429">
        <w:rPr>
          <w:bCs/>
          <w:szCs w:val="20"/>
        </w:rPr>
        <w:t>PwC refers to the PwC network and/or one or more of its member firms, each of which is a separate legal entity. Please see www.pwc.com/structure for further details.</w:t>
      </w:r>
    </w:p>
    <w:p w14:paraId="7CE4324F" w14:textId="57EEDFD1" w:rsidR="00884BF5" w:rsidRPr="00982429" w:rsidRDefault="00563BED" w:rsidP="00052383">
      <w:pPr>
        <w:spacing w:line="276" w:lineRule="auto"/>
        <w:rPr>
          <w:bCs/>
          <w:szCs w:val="20"/>
        </w:rPr>
      </w:pPr>
      <w:r w:rsidRPr="00982429">
        <w:rPr>
          <w:bCs/>
          <w:szCs w:val="20"/>
        </w:rPr>
        <w:t>©</w:t>
      </w:r>
      <w:r w:rsidR="0053496F" w:rsidRPr="00982429">
        <w:rPr>
          <w:bCs/>
          <w:szCs w:val="20"/>
        </w:rPr>
        <w:t xml:space="preserve"> 2018</w:t>
      </w:r>
      <w:r w:rsidR="00D018A4" w:rsidRPr="00982429">
        <w:rPr>
          <w:bCs/>
          <w:szCs w:val="20"/>
        </w:rPr>
        <w:t xml:space="preserve"> PwC. All rights reserved</w:t>
      </w:r>
    </w:p>
    <w:p w14:paraId="7662A00C" w14:textId="4C892D86" w:rsidR="00E26606" w:rsidRPr="00982429" w:rsidRDefault="00E26606" w:rsidP="00E26606">
      <w:pPr>
        <w:spacing w:line="276" w:lineRule="auto"/>
        <w:rPr>
          <w:bCs/>
          <w:szCs w:val="20"/>
        </w:rPr>
      </w:pPr>
    </w:p>
    <w:sectPr w:rsidR="00E26606" w:rsidRPr="00982429" w:rsidSect="00233C03">
      <w:headerReference w:type="even" r:id="rId10"/>
      <w:headerReference w:type="default" r:id="rId11"/>
      <w:footerReference w:type="even" r:id="rId12"/>
      <w:footerReference w:type="default" r:id="rId13"/>
      <w:headerReference w:type="first" r:id="rId14"/>
      <w:footerReference w:type="first" r:id="rId15"/>
      <w:pgSz w:w="11907" w:h="16839"/>
      <w:pgMar w:top="3137" w:right="1417" w:bottom="993" w:left="198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ADC96" w14:textId="77777777" w:rsidR="00564704" w:rsidRDefault="00564704">
      <w:pPr>
        <w:spacing w:line="240" w:lineRule="auto"/>
      </w:pPr>
      <w:r>
        <w:separator/>
      </w:r>
    </w:p>
  </w:endnote>
  <w:endnote w:type="continuationSeparator" w:id="0">
    <w:p w14:paraId="50AEF2B4" w14:textId="77777777" w:rsidR="00564704" w:rsidRDefault="005647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Charter ITC Com">
    <w:altName w:val="Charter ITC Com"/>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D2D3" w14:textId="611EA13C" w:rsidR="001F509F" w:rsidRDefault="001F509F">
    <w:pPr>
      <w:pStyle w:val="Footer"/>
    </w:pPr>
    <w:r>
      <w:fldChar w:fldCharType="begin"/>
    </w:r>
    <w:r>
      <w:instrText xml:space="preserve"> PAGE  \* MERGEFORMAT </w:instrText>
    </w:r>
    <w:r>
      <w:fldChar w:fldCharType="separate"/>
    </w:r>
    <w:r w:rsidR="00665D6C">
      <w:rPr>
        <w:noProof/>
      </w:rPr>
      <w:t>2</w:t>
    </w:r>
    <w:r>
      <w:rPr>
        <w:noProof/>
      </w:rPr>
      <w:fldChar w:fldCharType="end"/>
    </w:r>
    <w:r>
      <w:t xml:space="preserve"> of </w:t>
    </w:r>
    <w:r w:rsidR="00601E60">
      <w:rPr>
        <w:noProof/>
      </w:rPr>
      <w:fldChar w:fldCharType="begin"/>
    </w:r>
    <w:r w:rsidR="00601E60">
      <w:rPr>
        <w:noProof/>
      </w:rPr>
      <w:instrText xml:space="preserve"> NUMPAGES  \* MERGEFORMAT </w:instrText>
    </w:r>
    <w:r w:rsidR="00601E60">
      <w:rPr>
        <w:noProof/>
      </w:rPr>
      <w:fldChar w:fldCharType="separate"/>
    </w:r>
    <w:r w:rsidR="00665D6C">
      <w:rPr>
        <w:noProof/>
      </w:rPr>
      <w:t>3</w:t>
    </w:r>
    <w:r w:rsidR="00601E6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71079" w14:textId="2EF98089" w:rsidR="001F509F" w:rsidRDefault="001F509F">
    <w:pPr>
      <w:pStyle w:val="Footer"/>
    </w:pPr>
    <w:r>
      <w:fldChar w:fldCharType="begin"/>
    </w:r>
    <w:r>
      <w:instrText xml:space="preserve"> PAGE  \* MERGEFORMAT </w:instrText>
    </w:r>
    <w:r>
      <w:fldChar w:fldCharType="separate"/>
    </w:r>
    <w:r w:rsidR="00665D6C">
      <w:rPr>
        <w:noProof/>
      </w:rPr>
      <w:t>3</w:t>
    </w:r>
    <w:r>
      <w:rPr>
        <w:noProof/>
      </w:rPr>
      <w:fldChar w:fldCharType="end"/>
    </w:r>
    <w:r>
      <w:t xml:space="preserve"> of </w:t>
    </w:r>
    <w:r w:rsidR="00601E60">
      <w:rPr>
        <w:noProof/>
      </w:rPr>
      <w:fldChar w:fldCharType="begin"/>
    </w:r>
    <w:r w:rsidR="00601E60">
      <w:rPr>
        <w:noProof/>
      </w:rPr>
      <w:instrText xml:space="preserve"> NUMPAGES  \* MERGEFORMAT </w:instrText>
    </w:r>
    <w:r w:rsidR="00601E60">
      <w:rPr>
        <w:noProof/>
      </w:rPr>
      <w:fldChar w:fldCharType="separate"/>
    </w:r>
    <w:r w:rsidR="00665D6C">
      <w:rPr>
        <w:noProof/>
      </w:rPr>
      <w:t>3</w:t>
    </w:r>
    <w:r w:rsidR="00601E6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1348" w14:textId="77777777" w:rsidR="00EA06A4" w:rsidRDefault="00EA06A4">
    <w:pPr>
      <w:pStyle w:val="Footer"/>
    </w:pPr>
  </w:p>
  <w:p w14:paraId="23717724" w14:textId="77777777" w:rsidR="00EA06A4" w:rsidRDefault="00EA0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1C438" w14:textId="77777777" w:rsidR="00564704" w:rsidRDefault="00564704">
      <w:pPr>
        <w:spacing w:line="240" w:lineRule="auto"/>
      </w:pPr>
      <w:r>
        <w:separator/>
      </w:r>
    </w:p>
  </w:footnote>
  <w:footnote w:type="continuationSeparator" w:id="0">
    <w:p w14:paraId="6339E535" w14:textId="77777777" w:rsidR="00564704" w:rsidRDefault="005647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2BAC" w14:textId="77777777" w:rsidR="001F509F" w:rsidRDefault="001F509F">
    <w:pPr>
      <w:pStyle w:val="Header"/>
    </w:pPr>
    <w:r>
      <w:rPr>
        <w:noProof/>
        <w:lang w:val="en-US"/>
      </w:rPr>
      <w:drawing>
        <wp:anchor distT="0" distB="0" distL="114300" distR="114300" simplePos="0" relativeHeight="251661824" behindDoc="0" locked="1" layoutInCell="1" allowOverlap="1" wp14:anchorId="562A24D9" wp14:editId="29D47119">
          <wp:simplePos x="0" y="0"/>
          <wp:positionH relativeFrom="page">
            <wp:posOffset>431165</wp:posOffset>
          </wp:positionH>
          <wp:positionV relativeFrom="page">
            <wp:posOffset>490855</wp:posOffset>
          </wp:positionV>
          <wp:extent cx="1410970" cy="126873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14:paraId="4C7B137D" w14:textId="77777777" w:rsidR="001F509F" w:rsidRDefault="001F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EA902" w14:textId="77777777" w:rsidR="001F509F" w:rsidRDefault="001F509F">
    <w:pPr>
      <w:pStyle w:val="Header"/>
    </w:pPr>
    <w:r>
      <w:rPr>
        <w:noProof/>
        <w:lang w:val="en-US"/>
      </w:rPr>
      <w:drawing>
        <wp:anchor distT="0" distB="0" distL="114300" distR="114300" simplePos="0" relativeHeight="251658752" behindDoc="0" locked="1" layoutInCell="1" allowOverlap="1" wp14:anchorId="5603A4DF" wp14:editId="64D8E237">
          <wp:simplePos x="0" y="0"/>
          <wp:positionH relativeFrom="page">
            <wp:posOffset>431165</wp:posOffset>
          </wp:positionH>
          <wp:positionV relativeFrom="page">
            <wp:posOffset>490855</wp:posOffset>
          </wp:positionV>
          <wp:extent cx="1410970" cy="12687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14:paraId="2D8681E7" w14:textId="77777777" w:rsidR="001F509F" w:rsidRDefault="001F5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BC7B" w14:textId="77777777" w:rsidR="001F509F" w:rsidRDefault="001F509F">
    <w:pPr>
      <w:pStyle w:val="Header"/>
    </w:pPr>
    <w:r>
      <w:rPr>
        <w:noProof/>
        <w:lang w:val="en-US"/>
      </w:rPr>
      <w:drawing>
        <wp:anchor distT="0" distB="0" distL="114300" distR="114300" simplePos="0" relativeHeight="251655680" behindDoc="0" locked="1" layoutInCell="1" allowOverlap="1" wp14:anchorId="6F6B44B3" wp14:editId="01377660">
          <wp:simplePos x="0" y="0"/>
          <wp:positionH relativeFrom="page">
            <wp:posOffset>431165</wp:posOffset>
          </wp:positionH>
          <wp:positionV relativeFrom="page">
            <wp:posOffset>490855</wp:posOffset>
          </wp:positionV>
          <wp:extent cx="1410970" cy="1268730"/>
          <wp:effectExtent l="0" t="0" r="0" b="0"/>
          <wp:wrapNone/>
          <wp:docPr id="2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9A4"/>
    <w:multiLevelType w:val="hybridMultilevel"/>
    <w:tmpl w:val="BA92E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B734E"/>
    <w:multiLevelType w:val="hybridMultilevel"/>
    <w:tmpl w:val="6CB0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042D1"/>
    <w:multiLevelType w:val="hybridMultilevel"/>
    <w:tmpl w:val="22965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604C3F"/>
    <w:multiLevelType w:val="hybridMultilevel"/>
    <w:tmpl w:val="97EA8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751B6"/>
    <w:multiLevelType w:val="hybridMultilevel"/>
    <w:tmpl w:val="8F92528E"/>
    <w:lvl w:ilvl="0" w:tplc="E6DC1BFA">
      <w:start w:val="1"/>
      <w:numFmt w:val="decimal"/>
      <w:pStyle w:val="ListNumbered"/>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71FC2E6C"/>
    <w:multiLevelType w:val="hybridMultilevel"/>
    <w:tmpl w:val="57BC1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E707F"/>
    <w:multiLevelType w:val="hybridMultilevel"/>
    <w:tmpl w:val="AB5691CC"/>
    <w:lvl w:ilvl="0" w:tplc="BAFE26C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1"/>
  </w:num>
  <w:num w:numId="6">
    <w:abstractNumId w:val="5"/>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IE" w:vendorID="64" w:dllVersion="0" w:nlCheck="1" w:checkStyle="0"/>
  <w:activeWritingStyle w:appName="MSWord" w:lang="fr-CH" w:vendorID="64" w:dllVersion="6"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C94"/>
    <w:rsid w:val="00001BDE"/>
    <w:rsid w:val="00001F4C"/>
    <w:rsid w:val="0001454B"/>
    <w:rsid w:val="000172EE"/>
    <w:rsid w:val="00023B8D"/>
    <w:rsid w:val="0002470B"/>
    <w:rsid w:val="00026A59"/>
    <w:rsid w:val="00027491"/>
    <w:rsid w:val="00033A52"/>
    <w:rsid w:val="00033A67"/>
    <w:rsid w:val="00035A9D"/>
    <w:rsid w:val="00040BA4"/>
    <w:rsid w:val="000454AA"/>
    <w:rsid w:val="00045DB8"/>
    <w:rsid w:val="00052383"/>
    <w:rsid w:val="000558B3"/>
    <w:rsid w:val="00056619"/>
    <w:rsid w:val="000608AF"/>
    <w:rsid w:val="000608C5"/>
    <w:rsid w:val="00060CF7"/>
    <w:rsid w:val="00061047"/>
    <w:rsid w:val="00064CB6"/>
    <w:rsid w:val="00064F0F"/>
    <w:rsid w:val="0006706B"/>
    <w:rsid w:val="000717ED"/>
    <w:rsid w:val="000721AD"/>
    <w:rsid w:val="00072716"/>
    <w:rsid w:val="00072E03"/>
    <w:rsid w:val="00080D5B"/>
    <w:rsid w:val="00082303"/>
    <w:rsid w:val="000931C3"/>
    <w:rsid w:val="00093B9A"/>
    <w:rsid w:val="00093DB4"/>
    <w:rsid w:val="000A5C17"/>
    <w:rsid w:val="000A7BCA"/>
    <w:rsid w:val="000B559E"/>
    <w:rsid w:val="000B6E83"/>
    <w:rsid w:val="000C21D8"/>
    <w:rsid w:val="000C4BBE"/>
    <w:rsid w:val="000C6395"/>
    <w:rsid w:val="000D42CF"/>
    <w:rsid w:val="000E1A72"/>
    <w:rsid w:val="000E2EF9"/>
    <w:rsid w:val="000E30D3"/>
    <w:rsid w:val="000F26F3"/>
    <w:rsid w:val="000F5644"/>
    <w:rsid w:val="00104A9A"/>
    <w:rsid w:val="001059CD"/>
    <w:rsid w:val="00106416"/>
    <w:rsid w:val="00107581"/>
    <w:rsid w:val="00107BF6"/>
    <w:rsid w:val="001138B0"/>
    <w:rsid w:val="001166EC"/>
    <w:rsid w:val="001177C8"/>
    <w:rsid w:val="00120AC4"/>
    <w:rsid w:val="001220BF"/>
    <w:rsid w:val="00123A06"/>
    <w:rsid w:val="00137AC5"/>
    <w:rsid w:val="00137BCD"/>
    <w:rsid w:val="00141A9D"/>
    <w:rsid w:val="0014566E"/>
    <w:rsid w:val="00152415"/>
    <w:rsid w:val="00161E1A"/>
    <w:rsid w:val="00162A9E"/>
    <w:rsid w:val="00164621"/>
    <w:rsid w:val="0016481F"/>
    <w:rsid w:val="001667BA"/>
    <w:rsid w:val="00166A6C"/>
    <w:rsid w:val="001731F5"/>
    <w:rsid w:val="0018340A"/>
    <w:rsid w:val="001A7D26"/>
    <w:rsid w:val="001B3CCB"/>
    <w:rsid w:val="001B77C1"/>
    <w:rsid w:val="001C06BD"/>
    <w:rsid w:val="001C6F7E"/>
    <w:rsid w:val="001C7ADE"/>
    <w:rsid w:val="001D2060"/>
    <w:rsid w:val="001D250C"/>
    <w:rsid w:val="001D288F"/>
    <w:rsid w:val="001E5E3D"/>
    <w:rsid w:val="001F0FF0"/>
    <w:rsid w:val="001F38B3"/>
    <w:rsid w:val="001F509F"/>
    <w:rsid w:val="001F731E"/>
    <w:rsid w:val="0020060F"/>
    <w:rsid w:val="00201991"/>
    <w:rsid w:val="00216EB7"/>
    <w:rsid w:val="002206D7"/>
    <w:rsid w:val="00221322"/>
    <w:rsid w:val="00222A49"/>
    <w:rsid w:val="00223576"/>
    <w:rsid w:val="0022398C"/>
    <w:rsid w:val="00231F88"/>
    <w:rsid w:val="00232C9C"/>
    <w:rsid w:val="00233C03"/>
    <w:rsid w:val="0023624C"/>
    <w:rsid w:val="00237DC4"/>
    <w:rsid w:val="00244785"/>
    <w:rsid w:val="00251868"/>
    <w:rsid w:val="00253EAB"/>
    <w:rsid w:val="0025665F"/>
    <w:rsid w:val="002626CE"/>
    <w:rsid w:val="002667B5"/>
    <w:rsid w:val="00271BEB"/>
    <w:rsid w:val="00272DAA"/>
    <w:rsid w:val="002769B9"/>
    <w:rsid w:val="00292539"/>
    <w:rsid w:val="0029320F"/>
    <w:rsid w:val="002A2BC3"/>
    <w:rsid w:val="002B1A19"/>
    <w:rsid w:val="002B4000"/>
    <w:rsid w:val="002D3E8D"/>
    <w:rsid w:val="002D5F4B"/>
    <w:rsid w:val="002E0013"/>
    <w:rsid w:val="002E5CF2"/>
    <w:rsid w:val="002F1163"/>
    <w:rsid w:val="002F147E"/>
    <w:rsid w:val="002F4365"/>
    <w:rsid w:val="0030128B"/>
    <w:rsid w:val="00302169"/>
    <w:rsid w:val="00306341"/>
    <w:rsid w:val="003101BD"/>
    <w:rsid w:val="00311B2D"/>
    <w:rsid w:val="00322835"/>
    <w:rsid w:val="00325FB2"/>
    <w:rsid w:val="003264CE"/>
    <w:rsid w:val="00327A61"/>
    <w:rsid w:val="003341E5"/>
    <w:rsid w:val="00340A12"/>
    <w:rsid w:val="00347448"/>
    <w:rsid w:val="00351373"/>
    <w:rsid w:val="00351EAE"/>
    <w:rsid w:val="00355BF8"/>
    <w:rsid w:val="0036062D"/>
    <w:rsid w:val="00374046"/>
    <w:rsid w:val="003828B8"/>
    <w:rsid w:val="0038541E"/>
    <w:rsid w:val="00386285"/>
    <w:rsid w:val="00387E27"/>
    <w:rsid w:val="003A50AA"/>
    <w:rsid w:val="003A5881"/>
    <w:rsid w:val="003A6164"/>
    <w:rsid w:val="003A712F"/>
    <w:rsid w:val="003B0D49"/>
    <w:rsid w:val="003B1320"/>
    <w:rsid w:val="003B2D88"/>
    <w:rsid w:val="003B3031"/>
    <w:rsid w:val="003C250C"/>
    <w:rsid w:val="003C25EC"/>
    <w:rsid w:val="003C2E93"/>
    <w:rsid w:val="003C40F4"/>
    <w:rsid w:val="003C71E9"/>
    <w:rsid w:val="003C7EE9"/>
    <w:rsid w:val="003D1469"/>
    <w:rsid w:val="003D2B66"/>
    <w:rsid w:val="003D2D73"/>
    <w:rsid w:val="003E0F0E"/>
    <w:rsid w:val="003F4DCE"/>
    <w:rsid w:val="003F6435"/>
    <w:rsid w:val="003F786D"/>
    <w:rsid w:val="00401911"/>
    <w:rsid w:val="0040488A"/>
    <w:rsid w:val="004143D0"/>
    <w:rsid w:val="004158BB"/>
    <w:rsid w:val="00416FA8"/>
    <w:rsid w:val="004177CA"/>
    <w:rsid w:val="004216F1"/>
    <w:rsid w:val="00425C03"/>
    <w:rsid w:val="00425C14"/>
    <w:rsid w:val="004265B0"/>
    <w:rsid w:val="00436D05"/>
    <w:rsid w:val="00440C9C"/>
    <w:rsid w:val="00441A3D"/>
    <w:rsid w:val="00441AA9"/>
    <w:rsid w:val="00451C38"/>
    <w:rsid w:val="0045397F"/>
    <w:rsid w:val="00454901"/>
    <w:rsid w:val="004549D8"/>
    <w:rsid w:val="00462558"/>
    <w:rsid w:val="0046259F"/>
    <w:rsid w:val="00462978"/>
    <w:rsid w:val="00463736"/>
    <w:rsid w:val="00470EF7"/>
    <w:rsid w:val="004743C4"/>
    <w:rsid w:val="00475AF3"/>
    <w:rsid w:val="0048193A"/>
    <w:rsid w:val="0048463B"/>
    <w:rsid w:val="004B1CEA"/>
    <w:rsid w:val="004B3B5F"/>
    <w:rsid w:val="004C1363"/>
    <w:rsid w:val="004C253F"/>
    <w:rsid w:val="004C61BE"/>
    <w:rsid w:val="004C782C"/>
    <w:rsid w:val="004D48ED"/>
    <w:rsid w:val="004E004C"/>
    <w:rsid w:val="004E3528"/>
    <w:rsid w:val="004E77BB"/>
    <w:rsid w:val="004E7BD6"/>
    <w:rsid w:val="004F1D31"/>
    <w:rsid w:val="004F2546"/>
    <w:rsid w:val="00511E90"/>
    <w:rsid w:val="00512246"/>
    <w:rsid w:val="00515717"/>
    <w:rsid w:val="00515A3D"/>
    <w:rsid w:val="005235AA"/>
    <w:rsid w:val="00523F6E"/>
    <w:rsid w:val="00527CED"/>
    <w:rsid w:val="0053496F"/>
    <w:rsid w:val="0053573E"/>
    <w:rsid w:val="005432FE"/>
    <w:rsid w:val="0054393F"/>
    <w:rsid w:val="00546F53"/>
    <w:rsid w:val="005531AC"/>
    <w:rsid w:val="00557776"/>
    <w:rsid w:val="005609BB"/>
    <w:rsid w:val="00560FF6"/>
    <w:rsid w:val="0056156E"/>
    <w:rsid w:val="0056395F"/>
    <w:rsid w:val="00563BED"/>
    <w:rsid w:val="00564704"/>
    <w:rsid w:val="0057005C"/>
    <w:rsid w:val="00571F0F"/>
    <w:rsid w:val="005737E3"/>
    <w:rsid w:val="005755EF"/>
    <w:rsid w:val="00575793"/>
    <w:rsid w:val="00575FB8"/>
    <w:rsid w:val="0057696D"/>
    <w:rsid w:val="00587C87"/>
    <w:rsid w:val="00592A8F"/>
    <w:rsid w:val="005953B2"/>
    <w:rsid w:val="005A7185"/>
    <w:rsid w:val="005A742F"/>
    <w:rsid w:val="005A7E56"/>
    <w:rsid w:val="005C15B8"/>
    <w:rsid w:val="005C3813"/>
    <w:rsid w:val="005C40BF"/>
    <w:rsid w:val="005C5C2A"/>
    <w:rsid w:val="005D11DA"/>
    <w:rsid w:val="005D1FDD"/>
    <w:rsid w:val="005D25FC"/>
    <w:rsid w:val="005E3A0F"/>
    <w:rsid w:val="005E3EF0"/>
    <w:rsid w:val="005E6410"/>
    <w:rsid w:val="005F600A"/>
    <w:rsid w:val="00601E60"/>
    <w:rsid w:val="00604151"/>
    <w:rsid w:val="00607990"/>
    <w:rsid w:val="00623B59"/>
    <w:rsid w:val="00624B5A"/>
    <w:rsid w:val="006261EB"/>
    <w:rsid w:val="0062749D"/>
    <w:rsid w:val="006327C2"/>
    <w:rsid w:val="006340A0"/>
    <w:rsid w:val="0064459D"/>
    <w:rsid w:val="00650C6C"/>
    <w:rsid w:val="0065304C"/>
    <w:rsid w:val="006560A8"/>
    <w:rsid w:val="00661525"/>
    <w:rsid w:val="00665D6C"/>
    <w:rsid w:val="00666487"/>
    <w:rsid w:val="006666E9"/>
    <w:rsid w:val="00672C68"/>
    <w:rsid w:val="00692063"/>
    <w:rsid w:val="006925D3"/>
    <w:rsid w:val="006A5C94"/>
    <w:rsid w:val="006B386C"/>
    <w:rsid w:val="006B6A88"/>
    <w:rsid w:val="006C7E9C"/>
    <w:rsid w:val="006D5544"/>
    <w:rsid w:val="006F544B"/>
    <w:rsid w:val="0070762D"/>
    <w:rsid w:val="00710252"/>
    <w:rsid w:val="00711220"/>
    <w:rsid w:val="00711506"/>
    <w:rsid w:val="007122A9"/>
    <w:rsid w:val="00714651"/>
    <w:rsid w:val="00721CA7"/>
    <w:rsid w:val="00727CB1"/>
    <w:rsid w:val="00731B9E"/>
    <w:rsid w:val="00744F76"/>
    <w:rsid w:val="00750B2C"/>
    <w:rsid w:val="00750D80"/>
    <w:rsid w:val="007515A5"/>
    <w:rsid w:val="0075508B"/>
    <w:rsid w:val="00761822"/>
    <w:rsid w:val="00765659"/>
    <w:rsid w:val="00774A81"/>
    <w:rsid w:val="00774B38"/>
    <w:rsid w:val="00776BEF"/>
    <w:rsid w:val="00777A2A"/>
    <w:rsid w:val="00784A9F"/>
    <w:rsid w:val="00786C28"/>
    <w:rsid w:val="007943BB"/>
    <w:rsid w:val="00795016"/>
    <w:rsid w:val="007A1807"/>
    <w:rsid w:val="007A3BC4"/>
    <w:rsid w:val="007A4CEC"/>
    <w:rsid w:val="007A65E8"/>
    <w:rsid w:val="007C01D8"/>
    <w:rsid w:val="007C05BB"/>
    <w:rsid w:val="007C28DC"/>
    <w:rsid w:val="007C335C"/>
    <w:rsid w:val="007C61CE"/>
    <w:rsid w:val="007D13DB"/>
    <w:rsid w:val="007E1C9F"/>
    <w:rsid w:val="007E4453"/>
    <w:rsid w:val="007E51BD"/>
    <w:rsid w:val="007E5560"/>
    <w:rsid w:val="007E6298"/>
    <w:rsid w:val="007F5E3F"/>
    <w:rsid w:val="007F6092"/>
    <w:rsid w:val="00812109"/>
    <w:rsid w:val="00813786"/>
    <w:rsid w:val="00820772"/>
    <w:rsid w:val="0082312E"/>
    <w:rsid w:val="0082462C"/>
    <w:rsid w:val="0083269A"/>
    <w:rsid w:val="00832976"/>
    <w:rsid w:val="008467B9"/>
    <w:rsid w:val="00850D22"/>
    <w:rsid w:val="0085165E"/>
    <w:rsid w:val="0085568C"/>
    <w:rsid w:val="008603A8"/>
    <w:rsid w:val="00861841"/>
    <w:rsid w:val="0086454B"/>
    <w:rsid w:val="00867801"/>
    <w:rsid w:val="0087118C"/>
    <w:rsid w:val="00872262"/>
    <w:rsid w:val="00875CC2"/>
    <w:rsid w:val="00883AD2"/>
    <w:rsid w:val="00884BF5"/>
    <w:rsid w:val="00887667"/>
    <w:rsid w:val="008906E4"/>
    <w:rsid w:val="00893A23"/>
    <w:rsid w:val="008A0A13"/>
    <w:rsid w:val="008B04E2"/>
    <w:rsid w:val="008B1A6F"/>
    <w:rsid w:val="008B465B"/>
    <w:rsid w:val="008C0C85"/>
    <w:rsid w:val="008C42A5"/>
    <w:rsid w:val="008C549A"/>
    <w:rsid w:val="008C6DDF"/>
    <w:rsid w:val="008C7E22"/>
    <w:rsid w:val="008D2A95"/>
    <w:rsid w:val="008E50D5"/>
    <w:rsid w:val="008F0208"/>
    <w:rsid w:val="008F673B"/>
    <w:rsid w:val="008F67E3"/>
    <w:rsid w:val="009007B4"/>
    <w:rsid w:val="0091047C"/>
    <w:rsid w:val="00912120"/>
    <w:rsid w:val="00921106"/>
    <w:rsid w:val="00935981"/>
    <w:rsid w:val="00957B1E"/>
    <w:rsid w:val="00964B07"/>
    <w:rsid w:val="009655ED"/>
    <w:rsid w:val="00967B8B"/>
    <w:rsid w:val="00972815"/>
    <w:rsid w:val="00980719"/>
    <w:rsid w:val="00982429"/>
    <w:rsid w:val="00984073"/>
    <w:rsid w:val="009840C2"/>
    <w:rsid w:val="0099060F"/>
    <w:rsid w:val="009916D2"/>
    <w:rsid w:val="00993CF5"/>
    <w:rsid w:val="00995418"/>
    <w:rsid w:val="009A1811"/>
    <w:rsid w:val="009C0EC5"/>
    <w:rsid w:val="009D2135"/>
    <w:rsid w:val="009D794A"/>
    <w:rsid w:val="009E4207"/>
    <w:rsid w:val="009F636B"/>
    <w:rsid w:val="00A013DC"/>
    <w:rsid w:val="00A02ACF"/>
    <w:rsid w:val="00A07A50"/>
    <w:rsid w:val="00A105CA"/>
    <w:rsid w:val="00A2556A"/>
    <w:rsid w:val="00A367C7"/>
    <w:rsid w:val="00A37908"/>
    <w:rsid w:val="00A4038C"/>
    <w:rsid w:val="00A43263"/>
    <w:rsid w:val="00A446DD"/>
    <w:rsid w:val="00A50C3D"/>
    <w:rsid w:val="00A5156F"/>
    <w:rsid w:val="00A622BF"/>
    <w:rsid w:val="00A6519E"/>
    <w:rsid w:val="00A71F0C"/>
    <w:rsid w:val="00A8015B"/>
    <w:rsid w:val="00A81099"/>
    <w:rsid w:val="00A82C9C"/>
    <w:rsid w:val="00A94AD8"/>
    <w:rsid w:val="00A97174"/>
    <w:rsid w:val="00AA0AE6"/>
    <w:rsid w:val="00AA0E27"/>
    <w:rsid w:val="00AA346F"/>
    <w:rsid w:val="00AA4C72"/>
    <w:rsid w:val="00AA7BA8"/>
    <w:rsid w:val="00AB2663"/>
    <w:rsid w:val="00AB3CF1"/>
    <w:rsid w:val="00AB4923"/>
    <w:rsid w:val="00AB70AC"/>
    <w:rsid w:val="00AC2A5C"/>
    <w:rsid w:val="00AC4207"/>
    <w:rsid w:val="00AD075E"/>
    <w:rsid w:val="00AD07B5"/>
    <w:rsid w:val="00AE0FFC"/>
    <w:rsid w:val="00AE27AD"/>
    <w:rsid w:val="00AE2886"/>
    <w:rsid w:val="00AE3251"/>
    <w:rsid w:val="00AE5AFB"/>
    <w:rsid w:val="00AE76E2"/>
    <w:rsid w:val="00AF1E1B"/>
    <w:rsid w:val="00AF7C20"/>
    <w:rsid w:val="00B02016"/>
    <w:rsid w:val="00B04299"/>
    <w:rsid w:val="00B0756D"/>
    <w:rsid w:val="00B16BFB"/>
    <w:rsid w:val="00B21335"/>
    <w:rsid w:val="00B24C38"/>
    <w:rsid w:val="00B25F5B"/>
    <w:rsid w:val="00B263C9"/>
    <w:rsid w:val="00B330EE"/>
    <w:rsid w:val="00B35555"/>
    <w:rsid w:val="00B37122"/>
    <w:rsid w:val="00B45F7A"/>
    <w:rsid w:val="00B5036B"/>
    <w:rsid w:val="00B5059B"/>
    <w:rsid w:val="00B60274"/>
    <w:rsid w:val="00B61F06"/>
    <w:rsid w:val="00B62D07"/>
    <w:rsid w:val="00B657B7"/>
    <w:rsid w:val="00B677A2"/>
    <w:rsid w:val="00B7031F"/>
    <w:rsid w:val="00B75444"/>
    <w:rsid w:val="00B75C7C"/>
    <w:rsid w:val="00B80CA5"/>
    <w:rsid w:val="00B82246"/>
    <w:rsid w:val="00B8351A"/>
    <w:rsid w:val="00B84D9D"/>
    <w:rsid w:val="00B84FD7"/>
    <w:rsid w:val="00B8543E"/>
    <w:rsid w:val="00B86F83"/>
    <w:rsid w:val="00B91975"/>
    <w:rsid w:val="00B9381C"/>
    <w:rsid w:val="00B97967"/>
    <w:rsid w:val="00BA176D"/>
    <w:rsid w:val="00BA55BD"/>
    <w:rsid w:val="00BA6D2A"/>
    <w:rsid w:val="00BA7F32"/>
    <w:rsid w:val="00BB0D77"/>
    <w:rsid w:val="00BB4AFC"/>
    <w:rsid w:val="00BB4BF4"/>
    <w:rsid w:val="00BC4008"/>
    <w:rsid w:val="00BC6E85"/>
    <w:rsid w:val="00BC78C5"/>
    <w:rsid w:val="00BD32E7"/>
    <w:rsid w:val="00BE212C"/>
    <w:rsid w:val="00BE4609"/>
    <w:rsid w:val="00BF6885"/>
    <w:rsid w:val="00C00798"/>
    <w:rsid w:val="00C00CCB"/>
    <w:rsid w:val="00C02690"/>
    <w:rsid w:val="00C04200"/>
    <w:rsid w:val="00C15D5F"/>
    <w:rsid w:val="00C17114"/>
    <w:rsid w:val="00C17B58"/>
    <w:rsid w:val="00C233F8"/>
    <w:rsid w:val="00C31DBE"/>
    <w:rsid w:val="00C321F7"/>
    <w:rsid w:val="00C364A7"/>
    <w:rsid w:val="00C42972"/>
    <w:rsid w:val="00C447D4"/>
    <w:rsid w:val="00C4599C"/>
    <w:rsid w:val="00C46D6C"/>
    <w:rsid w:val="00C47EA1"/>
    <w:rsid w:val="00C50059"/>
    <w:rsid w:val="00C5575E"/>
    <w:rsid w:val="00C562D1"/>
    <w:rsid w:val="00C64CB9"/>
    <w:rsid w:val="00C6549D"/>
    <w:rsid w:val="00C7049B"/>
    <w:rsid w:val="00C70EA4"/>
    <w:rsid w:val="00C74CBA"/>
    <w:rsid w:val="00C814D2"/>
    <w:rsid w:val="00C85DB5"/>
    <w:rsid w:val="00C9294E"/>
    <w:rsid w:val="00C956FD"/>
    <w:rsid w:val="00CA0C19"/>
    <w:rsid w:val="00CA0EDD"/>
    <w:rsid w:val="00CA254A"/>
    <w:rsid w:val="00CA4114"/>
    <w:rsid w:val="00CA4A79"/>
    <w:rsid w:val="00CB5D45"/>
    <w:rsid w:val="00CC3B4E"/>
    <w:rsid w:val="00CC7D7A"/>
    <w:rsid w:val="00CD0DBC"/>
    <w:rsid w:val="00CD58DB"/>
    <w:rsid w:val="00CE0FC5"/>
    <w:rsid w:val="00CE7CF5"/>
    <w:rsid w:val="00D018A4"/>
    <w:rsid w:val="00D019C0"/>
    <w:rsid w:val="00D02273"/>
    <w:rsid w:val="00D042BA"/>
    <w:rsid w:val="00D05650"/>
    <w:rsid w:val="00D101C2"/>
    <w:rsid w:val="00D12A00"/>
    <w:rsid w:val="00D13B90"/>
    <w:rsid w:val="00D17659"/>
    <w:rsid w:val="00D20DDD"/>
    <w:rsid w:val="00D27178"/>
    <w:rsid w:val="00D3065E"/>
    <w:rsid w:val="00D3070B"/>
    <w:rsid w:val="00D3305D"/>
    <w:rsid w:val="00D353F2"/>
    <w:rsid w:val="00D36DDB"/>
    <w:rsid w:val="00D3785C"/>
    <w:rsid w:val="00D40E11"/>
    <w:rsid w:val="00D47127"/>
    <w:rsid w:val="00D53C5A"/>
    <w:rsid w:val="00D54B15"/>
    <w:rsid w:val="00D55926"/>
    <w:rsid w:val="00D57448"/>
    <w:rsid w:val="00D65608"/>
    <w:rsid w:val="00D70E45"/>
    <w:rsid w:val="00D73EE9"/>
    <w:rsid w:val="00D8009B"/>
    <w:rsid w:val="00D86199"/>
    <w:rsid w:val="00D92F7B"/>
    <w:rsid w:val="00D95727"/>
    <w:rsid w:val="00DA2E5C"/>
    <w:rsid w:val="00DA5736"/>
    <w:rsid w:val="00DB0672"/>
    <w:rsid w:val="00DB0DD0"/>
    <w:rsid w:val="00DB1693"/>
    <w:rsid w:val="00DB3061"/>
    <w:rsid w:val="00DB3E48"/>
    <w:rsid w:val="00DB70B0"/>
    <w:rsid w:val="00DB7AA4"/>
    <w:rsid w:val="00DC31F2"/>
    <w:rsid w:val="00DC45CB"/>
    <w:rsid w:val="00DD2552"/>
    <w:rsid w:val="00DD5F3D"/>
    <w:rsid w:val="00DF1CB4"/>
    <w:rsid w:val="00DF7EF1"/>
    <w:rsid w:val="00E00AF9"/>
    <w:rsid w:val="00E00B16"/>
    <w:rsid w:val="00E01DB4"/>
    <w:rsid w:val="00E031DE"/>
    <w:rsid w:val="00E064E9"/>
    <w:rsid w:val="00E06D2E"/>
    <w:rsid w:val="00E06F09"/>
    <w:rsid w:val="00E0720F"/>
    <w:rsid w:val="00E10A4F"/>
    <w:rsid w:val="00E10FDD"/>
    <w:rsid w:val="00E116B1"/>
    <w:rsid w:val="00E1195E"/>
    <w:rsid w:val="00E128B2"/>
    <w:rsid w:val="00E132E2"/>
    <w:rsid w:val="00E249C8"/>
    <w:rsid w:val="00E26606"/>
    <w:rsid w:val="00E27D5F"/>
    <w:rsid w:val="00E361FE"/>
    <w:rsid w:val="00E36401"/>
    <w:rsid w:val="00E40F15"/>
    <w:rsid w:val="00E4112D"/>
    <w:rsid w:val="00E5388B"/>
    <w:rsid w:val="00E540F6"/>
    <w:rsid w:val="00E618DC"/>
    <w:rsid w:val="00E85296"/>
    <w:rsid w:val="00E90CCF"/>
    <w:rsid w:val="00E90E5A"/>
    <w:rsid w:val="00EA0520"/>
    <w:rsid w:val="00EA06A4"/>
    <w:rsid w:val="00EA6195"/>
    <w:rsid w:val="00EB24D6"/>
    <w:rsid w:val="00EC0A71"/>
    <w:rsid w:val="00EC54C9"/>
    <w:rsid w:val="00ED3354"/>
    <w:rsid w:val="00ED36A7"/>
    <w:rsid w:val="00ED42C7"/>
    <w:rsid w:val="00ED4ED9"/>
    <w:rsid w:val="00ED7B33"/>
    <w:rsid w:val="00EE0304"/>
    <w:rsid w:val="00EE6665"/>
    <w:rsid w:val="00EE7DA2"/>
    <w:rsid w:val="00EF0B12"/>
    <w:rsid w:val="00F0218C"/>
    <w:rsid w:val="00F07B9B"/>
    <w:rsid w:val="00F16120"/>
    <w:rsid w:val="00F179F5"/>
    <w:rsid w:val="00F20345"/>
    <w:rsid w:val="00F21D63"/>
    <w:rsid w:val="00F21F21"/>
    <w:rsid w:val="00F23F8A"/>
    <w:rsid w:val="00F305A4"/>
    <w:rsid w:val="00F310D6"/>
    <w:rsid w:val="00F32C68"/>
    <w:rsid w:val="00F36FB4"/>
    <w:rsid w:val="00F47830"/>
    <w:rsid w:val="00F5027F"/>
    <w:rsid w:val="00F52364"/>
    <w:rsid w:val="00F52E7E"/>
    <w:rsid w:val="00F54725"/>
    <w:rsid w:val="00F66E67"/>
    <w:rsid w:val="00F721FF"/>
    <w:rsid w:val="00F73CEC"/>
    <w:rsid w:val="00F753B6"/>
    <w:rsid w:val="00F77AC1"/>
    <w:rsid w:val="00F81B98"/>
    <w:rsid w:val="00F91072"/>
    <w:rsid w:val="00F9257A"/>
    <w:rsid w:val="00F92EB0"/>
    <w:rsid w:val="00F97375"/>
    <w:rsid w:val="00FA0062"/>
    <w:rsid w:val="00FA305D"/>
    <w:rsid w:val="00FA4E35"/>
    <w:rsid w:val="00FB2D5A"/>
    <w:rsid w:val="00FB34A4"/>
    <w:rsid w:val="00FB4B8C"/>
    <w:rsid w:val="00FB77C1"/>
    <w:rsid w:val="00FC0D54"/>
    <w:rsid w:val="00FC3F23"/>
    <w:rsid w:val="00FC5B6A"/>
    <w:rsid w:val="00FC6191"/>
    <w:rsid w:val="00FD0576"/>
    <w:rsid w:val="00FD0C74"/>
    <w:rsid w:val="00FD1283"/>
    <w:rsid w:val="00FD2C70"/>
    <w:rsid w:val="00FD4B5B"/>
    <w:rsid w:val="00FD5BF9"/>
    <w:rsid w:val="00FD6F0B"/>
    <w:rsid w:val="00FE3059"/>
    <w:rsid w:val="00FE69A6"/>
    <w:rsid w:val="00FF1ED2"/>
    <w:rsid w:val="00FF22E8"/>
    <w:rsid w:val="00FF2AF9"/>
    <w:rsid w:val="00FF5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BF78A"/>
  <w15:docId w15:val="{F036D663-5323-4195-9B27-87186219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C94"/>
    <w:pPr>
      <w:spacing w:line="240" w:lineRule="atLeast"/>
    </w:pPr>
    <w:rPr>
      <w:rFonts w:ascii="Georgia" w:hAnsi="Georgia"/>
      <w:sz w:val="20"/>
      <w:lang w:eastAsia="en-US"/>
    </w:rPr>
  </w:style>
  <w:style w:type="paragraph" w:styleId="Heading1">
    <w:name w:val="heading 1"/>
    <w:basedOn w:val="Normal"/>
    <w:next w:val="Normal"/>
    <w:link w:val="Heading1Char"/>
    <w:uiPriority w:val="99"/>
    <w:qFormat/>
    <w:rsid w:val="006A5C94"/>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6A5C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C94"/>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A5C94"/>
    <w:rPr>
      <w:rFonts w:ascii="Cambria" w:hAnsi="Cambria" w:cs="Times New Roman"/>
      <w:b/>
      <w:bCs/>
      <w:sz w:val="26"/>
      <w:szCs w:val="26"/>
      <w:lang w:eastAsia="en-US"/>
    </w:rPr>
  </w:style>
  <w:style w:type="paragraph" w:styleId="Header">
    <w:name w:val="header"/>
    <w:basedOn w:val="Normal"/>
    <w:link w:val="HeaderChar"/>
    <w:uiPriority w:val="99"/>
    <w:semiHidden/>
    <w:rsid w:val="006A5C94"/>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6A5C94"/>
    <w:rPr>
      <w:rFonts w:cs="Times New Roman"/>
    </w:rPr>
  </w:style>
  <w:style w:type="paragraph" w:styleId="Footer">
    <w:name w:val="footer"/>
    <w:basedOn w:val="Normal"/>
    <w:link w:val="FooterChar"/>
    <w:uiPriority w:val="99"/>
    <w:rsid w:val="006A5C94"/>
    <w:pPr>
      <w:tabs>
        <w:tab w:val="center" w:pos="4513"/>
        <w:tab w:val="right" w:pos="9026"/>
      </w:tabs>
      <w:spacing w:line="240" w:lineRule="auto"/>
    </w:pPr>
  </w:style>
  <w:style w:type="character" w:customStyle="1" w:styleId="FooterChar">
    <w:name w:val="Footer Char"/>
    <w:basedOn w:val="DefaultParagraphFont"/>
    <w:link w:val="Footer"/>
    <w:uiPriority w:val="99"/>
    <w:locked/>
    <w:rsid w:val="006A5C94"/>
    <w:rPr>
      <w:rFonts w:cs="Times New Roman"/>
    </w:rPr>
  </w:style>
  <w:style w:type="paragraph" w:styleId="BodyText">
    <w:name w:val="Body Text"/>
    <w:basedOn w:val="Normal"/>
    <w:link w:val="BodyTextChar"/>
    <w:uiPriority w:val="99"/>
    <w:rsid w:val="006A5C94"/>
    <w:pPr>
      <w:spacing w:after="240"/>
    </w:pPr>
  </w:style>
  <w:style w:type="character" w:customStyle="1" w:styleId="BodyTextChar">
    <w:name w:val="Body Text Char"/>
    <w:basedOn w:val="DefaultParagraphFont"/>
    <w:link w:val="BodyText"/>
    <w:uiPriority w:val="99"/>
    <w:locked/>
    <w:rsid w:val="006A5C94"/>
    <w:rPr>
      <w:rFonts w:ascii="Georgia" w:hAnsi="Georgia" w:cs="Times New Roman"/>
      <w:sz w:val="20"/>
    </w:rPr>
  </w:style>
  <w:style w:type="paragraph" w:styleId="Title">
    <w:name w:val="Title"/>
    <w:basedOn w:val="Normal"/>
    <w:next w:val="Normal"/>
    <w:link w:val="TitleChar"/>
    <w:uiPriority w:val="99"/>
    <w:qFormat/>
    <w:rsid w:val="006A5C94"/>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6A5C94"/>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6A5C94"/>
    <w:pPr>
      <w:spacing w:line="200" w:lineRule="atLeast"/>
    </w:pPr>
    <w:rPr>
      <w:i/>
      <w:sz w:val="18"/>
    </w:rPr>
  </w:style>
  <w:style w:type="character" w:customStyle="1" w:styleId="AddressChar">
    <w:name w:val="Address Char"/>
    <w:basedOn w:val="DefaultParagraphFont"/>
    <w:link w:val="Address"/>
    <w:uiPriority w:val="99"/>
    <w:locked/>
    <w:rsid w:val="006A5C94"/>
    <w:rPr>
      <w:rFonts w:ascii="Georgia" w:hAnsi="Georgia" w:cs="Times New Roman"/>
      <w:i/>
      <w:sz w:val="18"/>
    </w:rPr>
  </w:style>
  <w:style w:type="paragraph" w:customStyle="1" w:styleId="Disclaimer">
    <w:name w:val="Disclaimer"/>
    <w:basedOn w:val="Normal"/>
    <w:link w:val="DisclaimerChar"/>
    <w:uiPriority w:val="99"/>
    <w:rsid w:val="006A5C94"/>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6A5C94"/>
    <w:rPr>
      <w:rFonts w:ascii="Arial" w:hAnsi="Arial" w:cs="Arial"/>
      <w:sz w:val="12"/>
    </w:rPr>
  </w:style>
  <w:style w:type="paragraph" w:customStyle="1" w:styleId="ReleaseBodyText">
    <w:name w:val="Release Body Text"/>
    <w:uiPriority w:val="99"/>
    <w:rsid w:val="006A5C94"/>
    <w:rPr>
      <w:rFonts w:ascii="Arial" w:eastAsia="Times New Roman" w:hAnsi="Arial" w:cs="Arial"/>
      <w:sz w:val="20"/>
      <w:szCs w:val="20"/>
      <w:lang w:eastAsia="en-US"/>
    </w:rPr>
  </w:style>
  <w:style w:type="paragraph" w:customStyle="1" w:styleId="Heading">
    <w:name w:val="Heading"/>
    <w:basedOn w:val="Normal"/>
    <w:uiPriority w:val="99"/>
    <w:rsid w:val="006A5C94"/>
    <w:pPr>
      <w:spacing w:line="240" w:lineRule="auto"/>
    </w:pPr>
    <w:rPr>
      <w:rFonts w:ascii="Arial" w:eastAsia="Times New Roman" w:hAnsi="Arial"/>
      <w:b/>
      <w:sz w:val="24"/>
      <w:szCs w:val="20"/>
    </w:rPr>
  </w:style>
  <w:style w:type="paragraph" w:styleId="ListParagraph">
    <w:name w:val="List Paragraph"/>
    <w:basedOn w:val="Normal"/>
    <w:uiPriority w:val="34"/>
    <w:qFormat/>
    <w:rsid w:val="006A5C94"/>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uiPriority w:val="99"/>
    <w:rsid w:val="006A5C94"/>
    <w:rPr>
      <w:rFonts w:cs="Times New Roman"/>
    </w:rPr>
  </w:style>
  <w:style w:type="paragraph" w:customStyle="1" w:styleId="ListNumbered">
    <w:name w:val="List Numbered"/>
    <w:basedOn w:val="Normal"/>
    <w:uiPriority w:val="99"/>
    <w:rsid w:val="006A5C94"/>
    <w:pPr>
      <w:numPr>
        <w:numId w:val="1"/>
      </w:numPr>
      <w:spacing w:line="240" w:lineRule="auto"/>
    </w:pPr>
    <w:rPr>
      <w:rFonts w:ascii="Arial" w:eastAsia="Times New Roman" w:hAnsi="Arial" w:cs="Arial"/>
      <w:szCs w:val="20"/>
    </w:rPr>
  </w:style>
  <w:style w:type="character" w:styleId="Hyperlink">
    <w:name w:val="Hyperlink"/>
    <w:basedOn w:val="DefaultParagraphFont"/>
    <w:uiPriority w:val="99"/>
    <w:rsid w:val="006A5C94"/>
    <w:rPr>
      <w:rFonts w:cs="Times New Roman"/>
      <w:color w:val="0097DC"/>
      <w:u w:val="none"/>
      <w:effect w:val="none"/>
    </w:rPr>
  </w:style>
  <w:style w:type="character" w:styleId="Strong">
    <w:name w:val="Strong"/>
    <w:basedOn w:val="DefaultParagraphFont"/>
    <w:uiPriority w:val="99"/>
    <w:qFormat/>
    <w:rsid w:val="006A5C94"/>
    <w:rPr>
      <w:rFonts w:cs="Times New Roman"/>
      <w:b/>
      <w:bCs/>
    </w:rPr>
  </w:style>
  <w:style w:type="character" w:customStyle="1" w:styleId="date-display-single">
    <w:name w:val="date-display-single"/>
    <w:basedOn w:val="DefaultParagraphFont"/>
    <w:uiPriority w:val="99"/>
    <w:rsid w:val="006A5C94"/>
    <w:rPr>
      <w:rFonts w:cs="Times New Roman"/>
    </w:rPr>
  </w:style>
  <w:style w:type="character" w:customStyle="1" w:styleId="date-display-start">
    <w:name w:val="date-display-start"/>
    <w:basedOn w:val="DefaultParagraphFont"/>
    <w:uiPriority w:val="99"/>
    <w:rsid w:val="006A5C94"/>
    <w:rPr>
      <w:rFonts w:cs="Times New Roman"/>
    </w:rPr>
  </w:style>
  <w:style w:type="character" w:customStyle="1" w:styleId="date-display-end">
    <w:name w:val="date-display-end"/>
    <w:basedOn w:val="DefaultParagraphFont"/>
    <w:uiPriority w:val="99"/>
    <w:rsid w:val="006A5C94"/>
    <w:rPr>
      <w:rFonts w:cs="Times New Roman"/>
    </w:rPr>
  </w:style>
  <w:style w:type="character" w:customStyle="1" w:styleId="date-display-separator">
    <w:name w:val="date-display-separator"/>
    <w:basedOn w:val="DefaultParagraphFont"/>
    <w:uiPriority w:val="99"/>
    <w:rsid w:val="006A5C94"/>
    <w:rPr>
      <w:rFonts w:cs="Times New Roman"/>
    </w:rPr>
  </w:style>
  <w:style w:type="character" w:customStyle="1" w:styleId="field-content2">
    <w:name w:val="field-content2"/>
    <w:basedOn w:val="DefaultParagraphFont"/>
    <w:uiPriority w:val="99"/>
    <w:rsid w:val="006A5C94"/>
    <w:rPr>
      <w:rFonts w:cs="Times New Roman"/>
    </w:rPr>
  </w:style>
  <w:style w:type="character" w:styleId="CommentReference">
    <w:name w:val="annotation reference"/>
    <w:basedOn w:val="DefaultParagraphFont"/>
    <w:uiPriority w:val="99"/>
    <w:semiHidden/>
    <w:rsid w:val="006A5C94"/>
    <w:rPr>
      <w:rFonts w:cs="Times New Roman"/>
      <w:sz w:val="16"/>
      <w:szCs w:val="16"/>
    </w:rPr>
  </w:style>
  <w:style w:type="paragraph" w:styleId="CommentText">
    <w:name w:val="annotation text"/>
    <w:basedOn w:val="Normal"/>
    <w:link w:val="CommentTextChar"/>
    <w:uiPriority w:val="99"/>
    <w:semiHidden/>
    <w:rsid w:val="006A5C94"/>
    <w:rPr>
      <w:szCs w:val="20"/>
    </w:rPr>
  </w:style>
  <w:style w:type="character" w:customStyle="1" w:styleId="CommentTextChar">
    <w:name w:val="Comment Text Char"/>
    <w:basedOn w:val="DefaultParagraphFont"/>
    <w:link w:val="CommentText"/>
    <w:uiPriority w:val="99"/>
    <w:semiHidden/>
    <w:locked/>
    <w:rsid w:val="006A5C94"/>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6A5C94"/>
    <w:rPr>
      <w:b/>
      <w:bCs/>
    </w:rPr>
  </w:style>
  <w:style w:type="character" w:customStyle="1" w:styleId="CommentSubjectChar">
    <w:name w:val="Comment Subject Char"/>
    <w:basedOn w:val="CommentTextChar"/>
    <w:link w:val="CommentSubject"/>
    <w:uiPriority w:val="99"/>
    <w:semiHidden/>
    <w:locked/>
    <w:rsid w:val="006A5C94"/>
    <w:rPr>
      <w:rFonts w:ascii="Georgia" w:hAnsi="Georgia" w:cs="Times New Roman"/>
      <w:b/>
      <w:bCs/>
      <w:lang w:eastAsia="en-US"/>
    </w:rPr>
  </w:style>
  <w:style w:type="paragraph" w:styleId="BalloonText">
    <w:name w:val="Balloon Text"/>
    <w:basedOn w:val="Normal"/>
    <w:link w:val="BalloonTextChar"/>
    <w:uiPriority w:val="99"/>
    <w:semiHidden/>
    <w:rsid w:val="006A5C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C94"/>
    <w:rPr>
      <w:rFonts w:ascii="Tahoma" w:hAnsi="Tahoma" w:cs="Tahoma"/>
      <w:sz w:val="16"/>
      <w:szCs w:val="16"/>
      <w:lang w:eastAsia="en-US"/>
    </w:rPr>
  </w:style>
  <w:style w:type="character" w:customStyle="1" w:styleId="at5">
    <w:name w:val="a__t5"/>
    <w:basedOn w:val="DefaultParagraphFont"/>
    <w:uiPriority w:val="99"/>
    <w:rsid w:val="006A5C94"/>
    <w:rPr>
      <w:rFonts w:cs="Times New Roman"/>
    </w:rPr>
  </w:style>
  <w:style w:type="table" w:styleId="TableGrid">
    <w:name w:val="Table Grid"/>
    <w:basedOn w:val="TableNormal"/>
    <w:uiPriority w:val="99"/>
    <w:locked/>
    <w:rsid w:val="006A5C94"/>
    <w:pPr>
      <w:spacing w:line="24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6A5C94"/>
    <w:rPr>
      <w:vertAlign w:val="superscript"/>
    </w:rPr>
  </w:style>
  <w:style w:type="paragraph" w:styleId="NormalWeb">
    <w:name w:val="Normal (Web)"/>
    <w:basedOn w:val="Normal"/>
    <w:uiPriority w:val="99"/>
    <w:rsid w:val="00026A59"/>
    <w:pPr>
      <w:spacing w:before="100" w:beforeAutospacing="1" w:after="100" w:afterAutospacing="1" w:line="240" w:lineRule="auto"/>
    </w:pPr>
    <w:rPr>
      <w:rFonts w:ascii="Times New Roman" w:hAnsi="Times New Roman"/>
      <w:sz w:val="24"/>
      <w:szCs w:val="24"/>
      <w:lang w:val="en-US"/>
    </w:rPr>
  </w:style>
  <w:style w:type="paragraph" w:styleId="Revision">
    <w:name w:val="Revision"/>
    <w:hidden/>
    <w:uiPriority w:val="99"/>
    <w:semiHidden/>
    <w:rsid w:val="00045DB8"/>
    <w:rPr>
      <w:rFonts w:ascii="Georgia" w:hAnsi="Georgia"/>
      <w:sz w:val="20"/>
      <w:lang w:eastAsia="en-US"/>
    </w:rPr>
  </w:style>
  <w:style w:type="character" w:styleId="FollowedHyperlink">
    <w:name w:val="FollowedHyperlink"/>
    <w:basedOn w:val="DefaultParagraphFont"/>
    <w:uiPriority w:val="99"/>
    <w:semiHidden/>
    <w:unhideWhenUsed/>
    <w:rsid w:val="00EA06A4"/>
    <w:rPr>
      <w:color w:val="800080" w:themeColor="followedHyperlink"/>
      <w:u w:val="single"/>
    </w:rPr>
  </w:style>
  <w:style w:type="paragraph" w:customStyle="1" w:styleId="Pa1">
    <w:name w:val="Pa1"/>
    <w:basedOn w:val="Normal"/>
    <w:next w:val="Normal"/>
    <w:uiPriority w:val="99"/>
    <w:rsid w:val="00935981"/>
    <w:pPr>
      <w:autoSpaceDE w:val="0"/>
      <w:autoSpaceDN w:val="0"/>
      <w:adjustRightInd w:val="0"/>
      <w:spacing w:line="241" w:lineRule="atLeast"/>
    </w:pPr>
    <w:rPr>
      <w:rFonts w:ascii="HelveticaNeue Condensed" w:hAnsi="HelveticaNeue Condensed"/>
      <w:sz w:val="24"/>
      <w:szCs w:val="24"/>
      <w:lang w:val="en-IE" w:eastAsia="en-GB"/>
    </w:rPr>
  </w:style>
  <w:style w:type="character" w:customStyle="1" w:styleId="A14">
    <w:name w:val="A14"/>
    <w:uiPriority w:val="99"/>
    <w:rsid w:val="00935981"/>
    <w:rPr>
      <w:rFonts w:cs="HelveticaNeue Condensed"/>
      <w:color w:val="000000"/>
      <w:sz w:val="22"/>
      <w:szCs w:val="22"/>
    </w:rPr>
  </w:style>
  <w:style w:type="character" w:customStyle="1" w:styleId="A0">
    <w:name w:val="A0"/>
    <w:uiPriority w:val="99"/>
    <w:rsid w:val="00666487"/>
    <w:rPr>
      <w:rFonts w:cs="Charter ITC Com"/>
      <w:i/>
      <w:iCs/>
      <w:color w:val="000000"/>
      <w:sz w:val="30"/>
      <w:szCs w:val="30"/>
    </w:rPr>
  </w:style>
  <w:style w:type="paragraph" w:styleId="FootnoteText">
    <w:name w:val="footnote text"/>
    <w:basedOn w:val="Normal"/>
    <w:link w:val="FootnoteTextChar"/>
    <w:uiPriority w:val="99"/>
    <w:semiHidden/>
    <w:unhideWhenUsed/>
    <w:rsid w:val="00E128B2"/>
    <w:pPr>
      <w:spacing w:line="240" w:lineRule="auto"/>
    </w:pPr>
    <w:rPr>
      <w:szCs w:val="20"/>
    </w:rPr>
  </w:style>
  <w:style w:type="character" w:customStyle="1" w:styleId="FootnoteTextChar">
    <w:name w:val="Footnote Text Char"/>
    <w:basedOn w:val="DefaultParagraphFont"/>
    <w:link w:val="FootnoteText"/>
    <w:uiPriority w:val="99"/>
    <w:semiHidden/>
    <w:rsid w:val="00E128B2"/>
    <w:rPr>
      <w:rFonts w:ascii="Georgia" w:hAnsi="Georgia"/>
      <w:sz w:val="20"/>
      <w:szCs w:val="20"/>
      <w:lang w:eastAsia="en-US"/>
    </w:rPr>
  </w:style>
  <w:style w:type="paragraph" w:styleId="NoSpacing">
    <w:name w:val="No Spacing"/>
    <w:uiPriority w:val="1"/>
    <w:qFormat/>
    <w:rsid w:val="003264CE"/>
    <w:rPr>
      <w:rFonts w:ascii="Georgia" w:eastAsiaTheme="minorHAnsi" w:hAnsi="Georgia" w:cstheme="minorBid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16490">
      <w:bodyDiv w:val="1"/>
      <w:marLeft w:val="0"/>
      <w:marRight w:val="0"/>
      <w:marTop w:val="0"/>
      <w:marBottom w:val="0"/>
      <w:divBdr>
        <w:top w:val="none" w:sz="0" w:space="0" w:color="auto"/>
        <w:left w:val="none" w:sz="0" w:space="0" w:color="auto"/>
        <w:bottom w:val="none" w:sz="0" w:space="0" w:color="auto"/>
        <w:right w:val="none" w:sz="0" w:space="0" w:color="auto"/>
      </w:divBdr>
    </w:div>
    <w:div w:id="1010450724">
      <w:marLeft w:val="0"/>
      <w:marRight w:val="0"/>
      <w:marTop w:val="0"/>
      <w:marBottom w:val="0"/>
      <w:divBdr>
        <w:top w:val="none" w:sz="0" w:space="0" w:color="auto"/>
        <w:left w:val="none" w:sz="0" w:space="0" w:color="auto"/>
        <w:bottom w:val="none" w:sz="0" w:space="0" w:color="auto"/>
        <w:right w:val="none" w:sz="0" w:space="0" w:color="auto"/>
      </w:divBdr>
      <w:divsChild>
        <w:div w:id="1010450727">
          <w:marLeft w:val="0"/>
          <w:marRight w:val="0"/>
          <w:marTop w:val="375"/>
          <w:marBottom w:val="0"/>
          <w:divBdr>
            <w:top w:val="none" w:sz="0" w:space="0" w:color="auto"/>
            <w:left w:val="none" w:sz="0" w:space="0" w:color="auto"/>
            <w:bottom w:val="none" w:sz="0" w:space="0" w:color="auto"/>
            <w:right w:val="none" w:sz="0" w:space="0" w:color="auto"/>
          </w:divBdr>
          <w:divsChild>
            <w:div w:id="1010450732">
              <w:marLeft w:val="0"/>
              <w:marRight w:val="0"/>
              <w:marTop w:val="0"/>
              <w:marBottom w:val="0"/>
              <w:divBdr>
                <w:top w:val="none" w:sz="0" w:space="0" w:color="auto"/>
                <w:left w:val="none" w:sz="0" w:space="0" w:color="auto"/>
                <w:bottom w:val="none" w:sz="0" w:space="0" w:color="auto"/>
                <w:right w:val="none" w:sz="0" w:space="0" w:color="auto"/>
              </w:divBdr>
              <w:divsChild>
                <w:div w:id="1010450716">
                  <w:marLeft w:val="0"/>
                  <w:marRight w:val="0"/>
                  <w:marTop w:val="0"/>
                  <w:marBottom w:val="0"/>
                  <w:divBdr>
                    <w:top w:val="none" w:sz="0" w:space="0" w:color="auto"/>
                    <w:left w:val="none" w:sz="0" w:space="0" w:color="auto"/>
                    <w:bottom w:val="none" w:sz="0" w:space="0" w:color="auto"/>
                    <w:right w:val="none" w:sz="0" w:space="0" w:color="auto"/>
                  </w:divBdr>
                  <w:divsChild>
                    <w:div w:id="1010450730">
                      <w:marLeft w:val="0"/>
                      <w:marRight w:val="0"/>
                      <w:marTop w:val="0"/>
                      <w:marBottom w:val="0"/>
                      <w:divBdr>
                        <w:top w:val="none" w:sz="0" w:space="0" w:color="auto"/>
                        <w:left w:val="none" w:sz="0" w:space="0" w:color="auto"/>
                        <w:bottom w:val="none" w:sz="0" w:space="0" w:color="auto"/>
                        <w:right w:val="none" w:sz="0" w:space="0" w:color="auto"/>
                      </w:divBdr>
                      <w:divsChild>
                        <w:div w:id="1010450718">
                          <w:marLeft w:val="150"/>
                          <w:marRight w:val="0"/>
                          <w:marTop w:val="0"/>
                          <w:marBottom w:val="0"/>
                          <w:divBdr>
                            <w:top w:val="none" w:sz="0" w:space="0" w:color="auto"/>
                            <w:left w:val="none" w:sz="0" w:space="0" w:color="auto"/>
                            <w:bottom w:val="none" w:sz="0" w:space="0" w:color="auto"/>
                            <w:right w:val="none" w:sz="0" w:space="0" w:color="auto"/>
                          </w:divBdr>
                          <w:divsChild>
                            <w:div w:id="1010450737">
                              <w:marLeft w:val="0"/>
                              <w:marRight w:val="0"/>
                              <w:marTop w:val="0"/>
                              <w:marBottom w:val="0"/>
                              <w:divBdr>
                                <w:top w:val="none" w:sz="0" w:space="0" w:color="auto"/>
                                <w:left w:val="none" w:sz="0" w:space="0" w:color="auto"/>
                                <w:bottom w:val="none" w:sz="0" w:space="0" w:color="auto"/>
                                <w:right w:val="none" w:sz="0" w:space="0" w:color="auto"/>
                              </w:divBdr>
                              <w:divsChild>
                                <w:div w:id="1010450731">
                                  <w:marLeft w:val="0"/>
                                  <w:marRight w:val="0"/>
                                  <w:marTop w:val="0"/>
                                  <w:marBottom w:val="0"/>
                                  <w:divBdr>
                                    <w:top w:val="none" w:sz="0" w:space="0" w:color="auto"/>
                                    <w:left w:val="none" w:sz="0" w:space="0" w:color="auto"/>
                                    <w:bottom w:val="none" w:sz="0" w:space="0" w:color="auto"/>
                                    <w:right w:val="none" w:sz="0" w:space="0" w:color="auto"/>
                                  </w:divBdr>
                                  <w:divsChild>
                                    <w:div w:id="1010450734">
                                      <w:marLeft w:val="0"/>
                                      <w:marRight w:val="0"/>
                                      <w:marTop w:val="0"/>
                                      <w:marBottom w:val="0"/>
                                      <w:divBdr>
                                        <w:top w:val="none" w:sz="0" w:space="0" w:color="auto"/>
                                        <w:left w:val="none" w:sz="0" w:space="0" w:color="auto"/>
                                        <w:bottom w:val="none" w:sz="0" w:space="0" w:color="auto"/>
                                        <w:right w:val="none" w:sz="0" w:space="0" w:color="auto"/>
                                      </w:divBdr>
                                      <w:divsChild>
                                        <w:div w:id="1010450720">
                                          <w:marLeft w:val="0"/>
                                          <w:marRight w:val="0"/>
                                          <w:marTop w:val="0"/>
                                          <w:marBottom w:val="0"/>
                                          <w:divBdr>
                                            <w:top w:val="none" w:sz="0" w:space="0" w:color="auto"/>
                                            <w:left w:val="none" w:sz="0" w:space="0" w:color="auto"/>
                                            <w:bottom w:val="single" w:sz="6" w:space="8" w:color="D8D4D0"/>
                                            <w:right w:val="none" w:sz="0" w:space="0" w:color="auto"/>
                                          </w:divBdr>
                                          <w:divsChild>
                                            <w:div w:id="1010450715">
                                              <w:marLeft w:val="0"/>
                                              <w:marRight w:val="0"/>
                                              <w:marTop w:val="0"/>
                                              <w:marBottom w:val="0"/>
                                              <w:divBdr>
                                                <w:top w:val="none" w:sz="0" w:space="0" w:color="auto"/>
                                                <w:left w:val="none" w:sz="0" w:space="0" w:color="auto"/>
                                                <w:bottom w:val="none" w:sz="0" w:space="0" w:color="auto"/>
                                                <w:right w:val="none" w:sz="0" w:space="0" w:color="auto"/>
                                              </w:divBdr>
                                            </w:div>
                                            <w:div w:id="1010450717">
                                              <w:marLeft w:val="0"/>
                                              <w:marRight w:val="0"/>
                                              <w:marTop w:val="0"/>
                                              <w:marBottom w:val="0"/>
                                              <w:divBdr>
                                                <w:top w:val="none" w:sz="0" w:space="0" w:color="auto"/>
                                                <w:left w:val="none" w:sz="0" w:space="0" w:color="auto"/>
                                                <w:bottom w:val="none" w:sz="0" w:space="0" w:color="auto"/>
                                                <w:right w:val="none" w:sz="0" w:space="0" w:color="auto"/>
                                              </w:divBdr>
                                            </w:div>
                                            <w:div w:id="1010450719">
                                              <w:marLeft w:val="0"/>
                                              <w:marRight w:val="0"/>
                                              <w:marTop w:val="120"/>
                                              <w:marBottom w:val="0"/>
                                              <w:divBdr>
                                                <w:top w:val="none" w:sz="0" w:space="0" w:color="auto"/>
                                                <w:left w:val="none" w:sz="0" w:space="0" w:color="auto"/>
                                                <w:bottom w:val="none" w:sz="0" w:space="0" w:color="auto"/>
                                                <w:right w:val="none" w:sz="0" w:space="0" w:color="auto"/>
                                              </w:divBdr>
                                            </w:div>
                                            <w:div w:id="1010450721">
                                              <w:marLeft w:val="0"/>
                                              <w:marRight w:val="150"/>
                                              <w:marTop w:val="0"/>
                                              <w:marBottom w:val="0"/>
                                              <w:divBdr>
                                                <w:top w:val="none" w:sz="0" w:space="0" w:color="auto"/>
                                                <w:left w:val="none" w:sz="0" w:space="0" w:color="auto"/>
                                                <w:bottom w:val="none" w:sz="0" w:space="0" w:color="auto"/>
                                                <w:right w:val="single" w:sz="6" w:space="8" w:color="63513F"/>
                                              </w:divBdr>
                                            </w:div>
                                            <w:div w:id="1010450722">
                                              <w:marLeft w:val="0"/>
                                              <w:marRight w:val="0"/>
                                              <w:marTop w:val="0"/>
                                              <w:marBottom w:val="0"/>
                                              <w:divBdr>
                                                <w:top w:val="none" w:sz="0" w:space="0" w:color="auto"/>
                                                <w:left w:val="none" w:sz="0" w:space="0" w:color="auto"/>
                                                <w:bottom w:val="none" w:sz="0" w:space="0" w:color="auto"/>
                                                <w:right w:val="none" w:sz="0" w:space="0" w:color="auto"/>
                                              </w:divBdr>
                                            </w:div>
                                            <w:div w:id="1010450723">
                                              <w:marLeft w:val="0"/>
                                              <w:marRight w:val="0"/>
                                              <w:marTop w:val="150"/>
                                              <w:marBottom w:val="75"/>
                                              <w:divBdr>
                                                <w:top w:val="none" w:sz="0" w:space="0" w:color="auto"/>
                                                <w:left w:val="none" w:sz="0" w:space="0" w:color="auto"/>
                                                <w:bottom w:val="none" w:sz="0" w:space="0" w:color="auto"/>
                                                <w:right w:val="none" w:sz="0" w:space="0" w:color="auto"/>
                                              </w:divBdr>
                                            </w:div>
                                            <w:div w:id="1010450725">
                                              <w:marLeft w:val="0"/>
                                              <w:marRight w:val="0"/>
                                              <w:marTop w:val="150"/>
                                              <w:marBottom w:val="75"/>
                                              <w:divBdr>
                                                <w:top w:val="none" w:sz="0" w:space="0" w:color="auto"/>
                                                <w:left w:val="none" w:sz="0" w:space="0" w:color="auto"/>
                                                <w:bottom w:val="none" w:sz="0" w:space="0" w:color="auto"/>
                                                <w:right w:val="none" w:sz="0" w:space="0" w:color="auto"/>
                                              </w:divBdr>
                                            </w:div>
                                            <w:div w:id="1010450726">
                                              <w:marLeft w:val="0"/>
                                              <w:marRight w:val="150"/>
                                              <w:marTop w:val="0"/>
                                              <w:marBottom w:val="0"/>
                                              <w:divBdr>
                                                <w:top w:val="none" w:sz="0" w:space="0" w:color="auto"/>
                                                <w:left w:val="none" w:sz="0" w:space="0" w:color="auto"/>
                                                <w:bottom w:val="none" w:sz="0" w:space="0" w:color="auto"/>
                                                <w:right w:val="single" w:sz="6" w:space="8" w:color="63513F"/>
                                              </w:divBdr>
                                            </w:div>
                                            <w:div w:id="1010450728">
                                              <w:marLeft w:val="0"/>
                                              <w:marRight w:val="150"/>
                                              <w:marTop w:val="0"/>
                                              <w:marBottom w:val="0"/>
                                              <w:divBdr>
                                                <w:top w:val="none" w:sz="0" w:space="0" w:color="auto"/>
                                                <w:left w:val="none" w:sz="0" w:space="0" w:color="auto"/>
                                                <w:bottom w:val="none" w:sz="0" w:space="0" w:color="auto"/>
                                                <w:right w:val="single" w:sz="6" w:space="8" w:color="63513F"/>
                                              </w:divBdr>
                                            </w:div>
                                            <w:div w:id="1010450729">
                                              <w:marLeft w:val="0"/>
                                              <w:marRight w:val="150"/>
                                              <w:marTop w:val="0"/>
                                              <w:marBottom w:val="0"/>
                                              <w:divBdr>
                                                <w:top w:val="none" w:sz="0" w:space="0" w:color="auto"/>
                                                <w:left w:val="none" w:sz="0" w:space="0" w:color="auto"/>
                                                <w:bottom w:val="none" w:sz="0" w:space="0" w:color="auto"/>
                                                <w:right w:val="single" w:sz="6" w:space="8" w:color="63513F"/>
                                              </w:divBdr>
                                            </w:div>
                                            <w:div w:id="1010450733">
                                              <w:marLeft w:val="0"/>
                                              <w:marRight w:val="0"/>
                                              <w:marTop w:val="120"/>
                                              <w:marBottom w:val="0"/>
                                              <w:divBdr>
                                                <w:top w:val="none" w:sz="0" w:space="0" w:color="auto"/>
                                                <w:left w:val="none" w:sz="0" w:space="0" w:color="auto"/>
                                                <w:bottom w:val="none" w:sz="0" w:space="0" w:color="auto"/>
                                                <w:right w:val="none" w:sz="0" w:space="0" w:color="auto"/>
                                              </w:divBdr>
                                            </w:div>
                                            <w:div w:id="1010450735">
                                              <w:marLeft w:val="0"/>
                                              <w:marRight w:val="0"/>
                                              <w:marTop w:val="150"/>
                                              <w:marBottom w:val="75"/>
                                              <w:divBdr>
                                                <w:top w:val="none" w:sz="0" w:space="0" w:color="auto"/>
                                                <w:left w:val="none" w:sz="0" w:space="0" w:color="auto"/>
                                                <w:bottom w:val="none" w:sz="0" w:space="0" w:color="auto"/>
                                                <w:right w:val="none" w:sz="0" w:space="0" w:color="auto"/>
                                              </w:divBdr>
                                            </w:div>
                                            <w:div w:id="1010450736">
                                              <w:marLeft w:val="0"/>
                                              <w:marRight w:val="0"/>
                                              <w:marTop w:val="150"/>
                                              <w:marBottom w:val="75"/>
                                              <w:divBdr>
                                                <w:top w:val="none" w:sz="0" w:space="0" w:color="auto"/>
                                                <w:left w:val="none" w:sz="0" w:space="0" w:color="auto"/>
                                                <w:bottom w:val="none" w:sz="0" w:space="0" w:color="auto"/>
                                                <w:right w:val="none" w:sz="0" w:space="0" w:color="auto"/>
                                              </w:divBdr>
                                            </w:div>
                                            <w:div w:id="1010450738">
                                              <w:marLeft w:val="0"/>
                                              <w:marRight w:val="0"/>
                                              <w:marTop w:val="120"/>
                                              <w:marBottom w:val="0"/>
                                              <w:divBdr>
                                                <w:top w:val="none" w:sz="0" w:space="0" w:color="auto"/>
                                                <w:left w:val="none" w:sz="0" w:space="0" w:color="auto"/>
                                                <w:bottom w:val="none" w:sz="0" w:space="0" w:color="auto"/>
                                                <w:right w:val="none" w:sz="0" w:space="0" w:color="auto"/>
                                              </w:divBdr>
                                            </w:div>
                                            <w:div w:id="10104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com/gx/en/industries/financial-services/publications/clearing-barriers-women-progress-financial-servic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wc.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EA4F1-57FE-4A9E-9A69-40D0C55B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3</TotalTime>
  <Pages>2</Pages>
  <Words>768</Words>
  <Characters>4382</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PricewaterhouseCoopers</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 Hollingdale</dc:creator>
  <cp:lastModifiedBy>Divyang Datania</cp:lastModifiedBy>
  <cp:revision>4</cp:revision>
  <cp:lastPrinted>2018-04-19T08:14:00Z</cp:lastPrinted>
  <dcterms:created xsi:type="dcterms:W3CDTF">2018-08-09T13:23:00Z</dcterms:created>
  <dcterms:modified xsi:type="dcterms:W3CDTF">2018-08-11T10:21:00Z</dcterms:modified>
</cp:coreProperties>
</file>