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30B9" w14:textId="77777777" w:rsidR="00934826" w:rsidRPr="005C1639" w:rsidRDefault="00F00A04" w:rsidP="00934826">
      <w:pPr>
        <w:pStyle w:val="Title"/>
        <w:spacing w:after="0"/>
        <w:rPr>
          <w:rFonts w:asciiTheme="majorHAnsi" w:hAnsiTheme="majorHAnsi"/>
          <w:szCs w:val="20"/>
        </w:rPr>
      </w:pPr>
      <w:r w:rsidRPr="005C1639">
        <w:rPr>
          <w:rFonts w:asciiTheme="majorHAnsi" w:hAnsiTheme="majorHAnsi"/>
          <w:szCs w:val="20"/>
        </w:rPr>
        <w:br/>
      </w:r>
      <w:r w:rsidR="00934826" w:rsidRPr="005C1639">
        <w:rPr>
          <w:rFonts w:asciiTheme="majorHAnsi" w:hAnsiTheme="majorHAnsi"/>
          <w:szCs w:val="20"/>
        </w:rPr>
        <w:t>News release</w:t>
      </w:r>
    </w:p>
    <w:p w14:paraId="1808E740" w14:textId="77777777" w:rsidR="00934826" w:rsidRPr="005C1639" w:rsidRDefault="008507E3" w:rsidP="00934826">
      <w:pPr>
        <w:rPr>
          <w:rFonts w:asciiTheme="majorHAnsi" w:hAnsiTheme="majorHAnsi"/>
          <w:szCs w:val="20"/>
        </w:rPr>
      </w:pPr>
      <w:r w:rsidRPr="005C1639">
        <w:rPr>
          <w:rFonts w:asciiTheme="majorHAnsi" w:hAnsiTheme="majorHAnsi"/>
          <w:szCs w:val="20"/>
        </w:rPr>
        <w:tab/>
      </w:r>
      <w:r w:rsidRPr="005C1639">
        <w:rPr>
          <w:rFonts w:asciiTheme="majorHAnsi" w:hAnsiTheme="majorHAnsi"/>
          <w:szCs w:val="20"/>
        </w:rPr>
        <w:tab/>
      </w:r>
      <w:r w:rsidRPr="005C1639">
        <w:rPr>
          <w:rFonts w:asciiTheme="majorHAnsi" w:hAnsiTheme="majorHAnsi"/>
          <w:szCs w:val="20"/>
        </w:rPr>
        <w:tab/>
      </w:r>
    </w:p>
    <w:tbl>
      <w:tblPr>
        <w:tblW w:w="14252" w:type="dxa"/>
        <w:tblLayout w:type="fixed"/>
        <w:tblLook w:val="0000" w:firstRow="0" w:lastRow="0" w:firstColumn="0" w:lastColumn="0" w:noHBand="0" w:noVBand="0"/>
      </w:tblPr>
      <w:tblGrid>
        <w:gridCol w:w="2268"/>
        <w:gridCol w:w="6102"/>
        <w:gridCol w:w="5882"/>
      </w:tblGrid>
      <w:tr w:rsidR="00934826" w:rsidRPr="005C1639" w14:paraId="24076F9C" w14:textId="77777777" w:rsidTr="00F00A04">
        <w:trPr>
          <w:gridAfter w:val="1"/>
          <w:wAfter w:w="5882" w:type="dxa"/>
        </w:trPr>
        <w:tc>
          <w:tcPr>
            <w:tcW w:w="2268" w:type="dxa"/>
          </w:tcPr>
          <w:p w14:paraId="289C4503" w14:textId="77777777" w:rsidR="00934826" w:rsidRPr="001A64C4" w:rsidRDefault="00934826" w:rsidP="00F00A04">
            <w:pPr>
              <w:spacing w:line="240" w:lineRule="auto"/>
              <w:ind w:left="-108"/>
              <w:rPr>
                <w:rFonts w:asciiTheme="majorHAnsi" w:hAnsiTheme="majorHAnsi"/>
                <w:i/>
                <w:szCs w:val="20"/>
              </w:rPr>
            </w:pPr>
            <w:r w:rsidRPr="001A64C4">
              <w:rPr>
                <w:rFonts w:asciiTheme="majorHAnsi" w:hAnsiTheme="majorHAnsi"/>
                <w:i/>
                <w:szCs w:val="20"/>
              </w:rPr>
              <w:t>Date</w:t>
            </w:r>
          </w:p>
        </w:tc>
        <w:tc>
          <w:tcPr>
            <w:tcW w:w="6102" w:type="dxa"/>
          </w:tcPr>
          <w:p w14:paraId="0E1057DD" w14:textId="7D3F55D1" w:rsidR="00934826" w:rsidRPr="005C1639" w:rsidRDefault="008507E3" w:rsidP="0026020C">
            <w:pPr>
              <w:spacing w:line="240" w:lineRule="auto"/>
              <w:rPr>
                <w:rFonts w:asciiTheme="majorHAnsi" w:hAnsiTheme="majorHAnsi"/>
                <w:b/>
                <w:sz w:val="22"/>
              </w:rPr>
            </w:pPr>
            <w:r w:rsidRPr="005C1639">
              <w:rPr>
                <w:rFonts w:asciiTheme="majorHAnsi" w:hAnsiTheme="majorHAnsi"/>
                <w:b/>
                <w:sz w:val="22"/>
                <w:szCs w:val="20"/>
              </w:rPr>
              <w:t xml:space="preserve">UNDER EMBARGO: 00:01am </w:t>
            </w:r>
            <w:r w:rsidR="00F814CD">
              <w:rPr>
                <w:rFonts w:asciiTheme="majorHAnsi" w:hAnsiTheme="majorHAnsi"/>
                <w:b/>
                <w:sz w:val="22"/>
                <w:szCs w:val="20"/>
              </w:rPr>
              <w:t>GMT</w:t>
            </w:r>
            <w:r w:rsidR="00D44681">
              <w:rPr>
                <w:rFonts w:asciiTheme="majorHAnsi" w:hAnsiTheme="majorHAnsi"/>
                <w:b/>
                <w:sz w:val="22"/>
                <w:szCs w:val="20"/>
              </w:rPr>
              <w:t xml:space="preserve"> on</w:t>
            </w:r>
            <w:r w:rsidR="00330EC2">
              <w:rPr>
                <w:rFonts w:asciiTheme="majorHAnsi" w:hAnsiTheme="majorHAnsi"/>
                <w:b/>
                <w:sz w:val="22"/>
                <w:szCs w:val="20"/>
              </w:rPr>
              <w:t xml:space="preserve"> </w:t>
            </w:r>
            <w:r w:rsidR="0026020C">
              <w:rPr>
                <w:rFonts w:asciiTheme="majorHAnsi" w:hAnsiTheme="majorHAnsi"/>
                <w:b/>
                <w:sz w:val="22"/>
                <w:szCs w:val="20"/>
              </w:rPr>
              <w:t>Wednes</w:t>
            </w:r>
            <w:r w:rsidR="0001160A">
              <w:rPr>
                <w:rFonts w:asciiTheme="majorHAnsi" w:hAnsiTheme="majorHAnsi"/>
                <w:b/>
                <w:sz w:val="22"/>
                <w:szCs w:val="20"/>
              </w:rPr>
              <w:t>day</w:t>
            </w:r>
            <w:r w:rsidR="00D44681">
              <w:rPr>
                <w:rFonts w:asciiTheme="majorHAnsi" w:hAnsiTheme="majorHAnsi"/>
                <w:b/>
                <w:sz w:val="22"/>
                <w:szCs w:val="20"/>
              </w:rPr>
              <w:t xml:space="preserve"> </w:t>
            </w:r>
            <w:r w:rsidR="0026020C">
              <w:rPr>
                <w:rFonts w:asciiTheme="majorHAnsi" w:hAnsiTheme="majorHAnsi"/>
                <w:b/>
                <w:sz w:val="22"/>
                <w:szCs w:val="20"/>
              </w:rPr>
              <w:t>21</w:t>
            </w:r>
            <w:r w:rsidRPr="005C1639">
              <w:rPr>
                <w:rFonts w:asciiTheme="majorHAnsi" w:hAnsiTheme="majorHAnsi"/>
                <w:b/>
                <w:sz w:val="22"/>
                <w:szCs w:val="20"/>
              </w:rPr>
              <w:t xml:space="preserve"> </w:t>
            </w:r>
            <w:r w:rsidR="00330EC2">
              <w:rPr>
                <w:rFonts w:asciiTheme="majorHAnsi" w:hAnsiTheme="majorHAnsi"/>
                <w:b/>
                <w:sz w:val="22"/>
                <w:szCs w:val="20"/>
              </w:rPr>
              <w:t>March 2018</w:t>
            </w:r>
          </w:p>
        </w:tc>
      </w:tr>
      <w:tr w:rsidR="00934826" w:rsidRPr="005C1639" w14:paraId="44E68712" w14:textId="77777777" w:rsidTr="00F00A04">
        <w:tc>
          <w:tcPr>
            <w:tcW w:w="2268" w:type="dxa"/>
          </w:tcPr>
          <w:p w14:paraId="4C518199" w14:textId="77777777" w:rsidR="00934826" w:rsidRPr="005C1639" w:rsidRDefault="00934826" w:rsidP="000354F3">
            <w:pPr>
              <w:spacing w:line="240" w:lineRule="auto"/>
              <w:rPr>
                <w:rFonts w:asciiTheme="majorHAnsi" w:hAnsiTheme="majorHAnsi"/>
                <w:i/>
                <w:sz w:val="22"/>
              </w:rPr>
            </w:pPr>
          </w:p>
        </w:tc>
        <w:tc>
          <w:tcPr>
            <w:tcW w:w="6102" w:type="dxa"/>
          </w:tcPr>
          <w:p w14:paraId="6DE5A0D2" w14:textId="77777777" w:rsidR="00934826" w:rsidRPr="005C1639" w:rsidRDefault="00934826" w:rsidP="000354F3">
            <w:pPr>
              <w:rPr>
                <w:rFonts w:asciiTheme="majorHAnsi" w:hAnsiTheme="majorHAnsi"/>
                <w:b/>
                <w:color w:val="000000" w:themeColor="text1"/>
                <w:sz w:val="22"/>
              </w:rPr>
            </w:pPr>
          </w:p>
        </w:tc>
        <w:tc>
          <w:tcPr>
            <w:tcW w:w="5882" w:type="dxa"/>
          </w:tcPr>
          <w:p w14:paraId="1D579B1E" w14:textId="77777777" w:rsidR="00934826" w:rsidRPr="005C1639" w:rsidRDefault="00934826" w:rsidP="000354F3">
            <w:pPr>
              <w:spacing w:line="240" w:lineRule="auto"/>
              <w:rPr>
                <w:rFonts w:asciiTheme="majorHAnsi" w:hAnsiTheme="majorHAnsi"/>
              </w:rPr>
            </w:pPr>
          </w:p>
        </w:tc>
      </w:tr>
    </w:tbl>
    <w:tbl>
      <w:tblPr>
        <w:tblpPr w:leftFromText="180" w:rightFromText="180" w:vertAnchor="text" w:tblpY="1"/>
        <w:tblOverlap w:val="never"/>
        <w:tblW w:w="0" w:type="auto"/>
        <w:tblLayout w:type="fixed"/>
        <w:tblLook w:val="0000" w:firstRow="0" w:lastRow="0" w:firstColumn="0" w:lastColumn="0" w:noHBand="0" w:noVBand="0"/>
      </w:tblPr>
      <w:tblGrid>
        <w:gridCol w:w="2268"/>
        <w:gridCol w:w="5882"/>
      </w:tblGrid>
      <w:tr w:rsidR="00934826" w:rsidRPr="005C1639" w14:paraId="527B94E7" w14:textId="77777777" w:rsidTr="000354F3">
        <w:trPr>
          <w:trHeight w:val="821"/>
        </w:trPr>
        <w:tc>
          <w:tcPr>
            <w:tcW w:w="2268" w:type="dxa"/>
            <w:shd w:val="clear" w:color="auto" w:fill="auto"/>
          </w:tcPr>
          <w:p w14:paraId="5AD887B7" w14:textId="77777777" w:rsidR="00934826" w:rsidRPr="005C1639" w:rsidRDefault="00934826" w:rsidP="00F00A04">
            <w:pPr>
              <w:ind w:left="-108"/>
              <w:rPr>
                <w:rFonts w:asciiTheme="majorHAnsi" w:hAnsiTheme="majorHAnsi"/>
                <w:i/>
                <w:szCs w:val="20"/>
              </w:rPr>
            </w:pPr>
            <w:r w:rsidRPr="005C1639">
              <w:rPr>
                <w:rFonts w:asciiTheme="majorHAnsi" w:hAnsiTheme="majorHAnsi"/>
                <w:i/>
                <w:szCs w:val="20"/>
              </w:rPr>
              <w:t>Contact</w:t>
            </w:r>
            <w:r w:rsidR="001A64C4">
              <w:rPr>
                <w:rFonts w:asciiTheme="majorHAnsi" w:hAnsiTheme="majorHAnsi"/>
                <w:i/>
                <w:szCs w:val="20"/>
              </w:rPr>
              <w:t>s</w:t>
            </w:r>
          </w:p>
        </w:tc>
        <w:tc>
          <w:tcPr>
            <w:tcW w:w="5882" w:type="dxa"/>
            <w:shd w:val="clear" w:color="auto" w:fill="auto"/>
          </w:tcPr>
          <w:tbl>
            <w:tblPr>
              <w:tblpPr w:leftFromText="180" w:rightFromText="180" w:vertAnchor="text" w:tblpY="1"/>
              <w:tblOverlap w:val="never"/>
              <w:tblW w:w="10440" w:type="dxa"/>
              <w:tblLayout w:type="fixed"/>
              <w:tblLook w:val="0000" w:firstRow="0" w:lastRow="0" w:firstColumn="0" w:lastColumn="0" w:noHBand="0" w:noVBand="0"/>
            </w:tblPr>
            <w:tblGrid>
              <w:gridCol w:w="5220"/>
              <w:gridCol w:w="5220"/>
            </w:tblGrid>
            <w:tr w:rsidR="00F00A04" w:rsidRPr="005C1639" w14:paraId="7B72802D" w14:textId="77777777" w:rsidTr="00F00A04">
              <w:tc>
                <w:tcPr>
                  <w:tcW w:w="5220" w:type="dxa"/>
                </w:tcPr>
                <w:p w14:paraId="3FDB70F1" w14:textId="77777777" w:rsidR="008507E3" w:rsidRPr="005C1639" w:rsidRDefault="008507E3" w:rsidP="00A40DB7">
                  <w:pPr>
                    <w:tabs>
                      <w:tab w:val="left" w:pos="1440"/>
                    </w:tabs>
                    <w:rPr>
                      <w:rFonts w:asciiTheme="majorHAnsi" w:hAnsiTheme="majorHAnsi" w:cs="Arial"/>
                      <w:bCs/>
                      <w:color w:val="000000"/>
                      <w:szCs w:val="20"/>
                      <w:lang w:val="it-IT"/>
                    </w:rPr>
                  </w:pPr>
                  <w:r w:rsidRPr="005C1639">
                    <w:rPr>
                      <w:rFonts w:asciiTheme="majorHAnsi" w:hAnsiTheme="majorHAnsi" w:cs="Arial"/>
                      <w:bCs/>
                      <w:color w:val="000000"/>
                      <w:szCs w:val="20"/>
                      <w:lang w:val="it-IT"/>
                    </w:rPr>
                    <w:t>Joost Blankenspoor, PwC</w:t>
                  </w:r>
                </w:p>
                <w:p w14:paraId="608891E2" w14:textId="77777777" w:rsidR="008507E3" w:rsidRPr="005C1639" w:rsidRDefault="008507E3"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Tel: +31 88 792 6596</w:t>
                  </w:r>
                </w:p>
                <w:p w14:paraId="72517E1D" w14:textId="77777777" w:rsidR="008507E3" w:rsidRPr="005C1639" w:rsidRDefault="00A40DB7" w:rsidP="00F00A04">
                  <w:pPr>
                    <w:tabs>
                      <w:tab w:val="left" w:pos="1440"/>
                    </w:tabs>
                    <w:ind w:left="1440" w:hanging="1440"/>
                    <w:rPr>
                      <w:rFonts w:asciiTheme="majorHAnsi" w:hAnsiTheme="majorHAnsi" w:cs="Arial"/>
                      <w:bCs/>
                      <w:color w:val="000000"/>
                      <w:szCs w:val="20"/>
                      <w:lang w:val="it-IT"/>
                    </w:rPr>
                  </w:pPr>
                  <w:r>
                    <w:rPr>
                      <w:rFonts w:asciiTheme="majorHAnsi" w:hAnsiTheme="majorHAnsi" w:cs="Arial"/>
                      <w:bCs/>
                      <w:color w:val="000000"/>
                      <w:szCs w:val="20"/>
                      <w:lang w:val="it-IT"/>
                    </w:rPr>
                    <w:t>Email: joost.blankenspoor@</w:t>
                  </w:r>
                  <w:r w:rsidR="008507E3" w:rsidRPr="005C1639">
                    <w:rPr>
                      <w:rFonts w:asciiTheme="majorHAnsi" w:hAnsiTheme="majorHAnsi" w:cs="Arial"/>
                      <w:bCs/>
                      <w:color w:val="000000"/>
                      <w:szCs w:val="20"/>
                      <w:lang w:val="it-IT"/>
                    </w:rPr>
                    <w:t>pwc.com</w:t>
                  </w:r>
                </w:p>
                <w:p w14:paraId="3B6017C5" w14:textId="77777777" w:rsidR="00F00A04" w:rsidRPr="005C1639" w:rsidRDefault="00F00A04" w:rsidP="00F00A04">
                  <w:pPr>
                    <w:pStyle w:val="Header"/>
                    <w:tabs>
                      <w:tab w:val="left" w:pos="1440"/>
                    </w:tabs>
                    <w:rPr>
                      <w:rFonts w:asciiTheme="majorHAnsi" w:hAnsiTheme="majorHAnsi"/>
                      <w:szCs w:val="20"/>
                      <w:lang w:val="it-IT"/>
                    </w:rPr>
                  </w:pPr>
                </w:p>
              </w:tc>
              <w:tc>
                <w:tcPr>
                  <w:tcW w:w="5220" w:type="dxa"/>
                  <w:shd w:val="clear" w:color="auto" w:fill="auto"/>
                </w:tcPr>
                <w:p w14:paraId="707CB682" w14:textId="77777777" w:rsidR="00F00A04" w:rsidRPr="005C1639" w:rsidRDefault="00F00A04" w:rsidP="00F00A04">
                  <w:pPr>
                    <w:rPr>
                      <w:rFonts w:asciiTheme="majorHAnsi" w:hAnsiTheme="majorHAnsi"/>
                      <w:i/>
                      <w:szCs w:val="20"/>
                    </w:rPr>
                  </w:pPr>
                </w:p>
              </w:tc>
            </w:tr>
          </w:tbl>
          <w:p w14:paraId="72AC2E5D" w14:textId="77777777" w:rsidR="00934826" w:rsidRPr="005C1639" w:rsidRDefault="00934826" w:rsidP="000354F3">
            <w:pPr>
              <w:rPr>
                <w:rFonts w:asciiTheme="majorHAnsi" w:hAnsiTheme="majorHAnsi"/>
                <w:lang w:val="pt-PT"/>
              </w:rPr>
            </w:pPr>
          </w:p>
        </w:tc>
      </w:tr>
      <w:tr w:rsidR="00934826" w:rsidRPr="005C1639" w14:paraId="44ACA599" w14:textId="77777777" w:rsidTr="001A64C4">
        <w:trPr>
          <w:trHeight w:val="1070"/>
        </w:trPr>
        <w:tc>
          <w:tcPr>
            <w:tcW w:w="2268" w:type="dxa"/>
            <w:shd w:val="clear" w:color="auto" w:fill="auto"/>
          </w:tcPr>
          <w:p w14:paraId="6A0C4A24" w14:textId="77777777" w:rsidR="008507E3" w:rsidRPr="005C1639" w:rsidRDefault="008507E3" w:rsidP="00F00A04">
            <w:pPr>
              <w:ind w:left="-108"/>
              <w:rPr>
                <w:rFonts w:asciiTheme="majorHAnsi" w:hAnsiTheme="majorHAnsi"/>
                <w:i/>
                <w:szCs w:val="20"/>
              </w:rPr>
            </w:pPr>
          </w:p>
          <w:p w14:paraId="74853A51" w14:textId="77777777" w:rsidR="008507E3" w:rsidRPr="005C1639" w:rsidRDefault="008507E3" w:rsidP="00F00A04">
            <w:pPr>
              <w:ind w:left="-108"/>
              <w:rPr>
                <w:rFonts w:asciiTheme="majorHAnsi" w:hAnsiTheme="majorHAnsi"/>
                <w:i/>
                <w:szCs w:val="20"/>
              </w:rPr>
            </w:pPr>
          </w:p>
          <w:p w14:paraId="361B1D34" w14:textId="77777777" w:rsidR="008507E3" w:rsidRPr="005C1639" w:rsidRDefault="008507E3" w:rsidP="00F00A04">
            <w:pPr>
              <w:ind w:left="-108"/>
              <w:rPr>
                <w:rFonts w:asciiTheme="majorHAnsi" w:hAnsiTheme="majorHAnsi"/>
                <w:i/>
                <w:szCs w:val="20"/>
              </w:rPr>
            </w:pPr>
          </w:p>
          <w:p w14:paraId="493C1D65" w14:textId="77777777" w:rsidR="00934826" w:rsidRPr="005C1639" w:rsidRDefault="00934826" w:rsidP="00F00A04">
            <w:pPr>
              <w:ind w:left="-108"/>
              <w:rPr>
                <w:rFonts w:asciiTheme="majorHAnsi" w:hAnsiTheme="majorHAnsi"/>
                <w:i/>
                <w:szCs w:val="20"/>
              </w:rPr>
            </w:pPr>
            <w:r w:rsidRPr="005C1639">
              <w:rPr>
                <w:rFonts w:asciiTheme="majorHAnsi" w:hAnsiTheme="majorHAnsi"/>
                <w:i/>
                <w:szCs w:val="20"/>
              </w:rPr>
              <w:t xml:space="preserve">Pages </w:t>
            </w:r>
          </w:p>
        </w:tc>
        <w:tc>
          <w:tcPr>
            <w:tcW w:w="5882" w:type="dxa"/>
            <w:shd w:val="clear" w:color="auto" w:fill="auto"/>
          </w:tcPr>
          <w:p w14:paraId="22408CCD" w14:textId="241FDA70" w:rsidR="00FD6C7F" w:rsidRPr="005C1639" w:rsidRDefault="00FD6C7F" w:rsidP="00FD6C7F">
            <w:pPr>
              <w:rPr>
                <w:rFonts w:asciiTheme="majorHAnsi" w:hAnsiTheme="majorHAnsi"/>
                <w:color w:val="000000" w:themeColor="text1"/>
                <w:szCs w:val="20"/>
              </w:rPr>
            </w:pPr>
            <w:r w:rsidRPr="005C1639">
              <w:rPr>
                <w:rFonts w:asciiTheme="majorHAnsi" w:hAnsiTheme="majorHAnsi"/>
                <w:color w:val="000000" w:themeColor="text1"/>
                <w:szCs w:val="20"/>
              </w:rPr>
              <w:t xml:space="preserve">More details: </w:t>
            </w:r>
            <w:hyperlink r:id="rId8" w:history="1">
              <w:r w:rsidR="00330EC2" w:rsidRPr="006A6173">
                <w:rPr>
                  <w:rStyle w:val="Hyperlink"/>
                  <w:rFonts w:asciiTheme="majorHAnsi" w:hAnsiTheme="majorHAnsi"/>
                  <w:color w:val="00B0F0"/>
                  <w:szCs w:val="20"/>
                  <w:u w:val="none"/>
                </w:rPr>
                <w:t>www.pwc.com/ceosurvey</w:t>
              </w:r>
            </w:hyperlink>
            <w:r w:rsidR="0066766D" w:rsidRPr="006A6173">
              <w:rPr>
                <w:rFonts w:asciiTheme="majorHAnsi" w:hAnsiTheme="majorHAnsi"/>
                <w:color w:val="00B0F0"/>
                <w:szCs w:val="20"/>
              </w:rPr>
              <w:t xml:space="preserve"> </w:t>
            </w:r>
          </w:p>
          <w:p w14:paraId="21665789" w14:textId="77777777" w:rsidR="00FD6C7F" w:rsidRPr="005C1639" w:rsidRDefault="0066766D" w:rsidP="00FD6C7F">
            <w:pPr>
              <w:ind w:right="-90"/>
              <w:rPr>
                <w:rFonts w:asciiTheme="majorHAnsi" w:hAnsiTheme="majorHAnsi"/>
                <w:color w:val="000000" w:themeColor="text1"/>
                <w:szCs w:val="20"/>
              </w:rPr>
            </w:pPr>
            <w:r>
              <w:rPr>
                <w:rFonts w:asciiTheme="majorHAnsi" w:hAnsiTheme="majorHAnsi"/>
                <w:color w:val="000000" w:themeColor="text1"/>
                <w:szCs w:val="20"/>
              </w:rPr>
              <w:t>Follow/retweet: @PwC</w:t>
            </w:r>
          </w:p>
          <w:p w14:paraId="6E38EC0C" w14:textId="77777777" w:rsidR="00934826" w:rsidRPr="005C1639" w:rsidRDefault="00934826" w:rsidP="0039030D">
            <w:pPr>
              <w:rPr>
                <w:rFonts w:asciiTheme="majorHAnsi" w:hAnsiTheme="majorHAnsi"/>
                <w:szCs w:val="20"/>
              </w:rPr>
            </w:pPr>
          </w:p>
          <w:p w14:paraId="18C47AED" w14:textId="1EB7512C" w:rsidR="008507E3" w:rsidRPr="005C1639" w:rsidRDefault="0001160A" w:rsidP="0039030D">
            <w:pPr>
              <w:rPr>
                <w:rFonts w:asciiTheme="majorHAnsi" w:hAnsiTheme="majorHAnsi"/>
                <w:szCs w:val="20"/>
              </w:rPr>
            </w:pPr>
            <w:r>
              <w:rPr>
                <w:rFonts w:asciiTheme="majorHAnsi" w:hAnsiTheme="majorHAnsi"/>
                <w:szCs w:val="20"/>
              </w:rPr>
              <w:t>3</w:t>
            </w:r>
          </w:p>
        </w:tc>
      </w:tr>
    </w:tbl>
    <w:p w14:paraId="2E59ADB5" w14:textId="77777777" w:rsidR="008507E3" w:rsidRPr="00A40DB7" w:rsidRDefault="00A40DB7" w:rsidP="00A40DB7">
      <w:pPr>
        <w:spacing w:line="240" w:lineRule="auto"/>
        <w:jc w:val="center"/>
        <w:rPr>
          <w:rFonts w:asciiTheme="majorHAnsi" w:hAnsiTheme="majorHAnsi" w:cs="Arial"/>
          <w:szCs w:val="20"/>
          <w:lang w:val="en"/>
        </w:rPr>
      </w:pPr>
      <w:r w:rsidRPr="001A64C4">
        <w:rPr>
          <w:noProof/>
          <w:lang w:val="en-US"/>
        </w:rPr>
        <mc:AlternateContent>
          <mc:Choice Requires="wps">
            <w:drawing>
              <wp:anchor distT="4294967293" distB="4294967293" distL="114300" distR="114300" simplePos="0" relativeHeight="251659264" behindDoc="0" locked="0" layoutInCell="1" allowOverlap="1" wp14:anchorId="19366085" wp14:editId="5621A0A9">
                <wp:simplePos x="0" y="0"/>
                <wp:positionH relativeFrom="margin">
                  <wp:align>center</wp:align>
                </wp:positionH>
                <wp:positionV relativeFrom="page">
                  <wp:posOffset>3788019</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12700">
                          <a:solidFill>
                            <a:schemeClr val="tx2"/>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F25F9CE" id="Line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page;mso-width-percent:0;mso-height-percent:0;mso-width-relative:page;mso-height-relative:page" from="0,298.25pt" to="455.0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" strokecolor="#dc6900 [3215]" strokeweight="1pt">
                <w10:wrap anchorx="margin" anchory="page"/>
              </v:line>
            </w:pict>
          </mc:Fallback>
        </mc:AlternateContent>
      </w:r>
      <w:r w:rsidR="00934826" w:rsidRPr="005C1639">
        <w:rPr>
          <w:rFonts w:asciiTheme="majorHAnsi" w:hAnsiTheme="majorHAnsi" w:cs="Arial"/>
          <w:b/>
          <w:i/>
          <w:iCs/>
          <w:szCs w:val="20"/>
        </w:rPr>
        <w:br w:type="textWrapping" w:clear="all"/>
      </w:r>
    </w:p>
    <w:p w14:paraId="74A507C3" w14:textId="77777777" w:rsidR="00872909" w:rsidRDefault="00872909" w:rsidP="00872909">
      <w:pPr>
        <w:jc w:val="center"/>
        <w:rPr>
          <w:b/>
        </w:rPr>
      </w:pPr>
    </w:p>
    <w:p w14:paraId="4AC673F5" w14:textId="77777777" w:rsidR="00872909" w:rsidRPr="00872909" w:rsidRDefault="00872909" w:rsidP="00872909">
      <w:pPr>
        <w:jc w:val="center"/>
        <w:rPr>
          <w:b/>
          <w:sz w:val="28"/>
          <w:szCs w:val="28"/>
        </w:rPr>
      </w:pPr>
      <w:r w:rsidRPr="00872909">
        <w:rPr>
          <w:b/>
          <w:sz w:val="28"/>
          <w:szCs w:val="28"/>
        </w:rPr>
        <w:t>Cyber threats topple over-regulation as top risk for Banking and Capital Markets CEOs</w:t>
      </w:r>
    </w:p>
    <w:p w14:paraId="60A3827F" w14:textId="77777777" w:rsidR="00872909" w:rsidRPr="000F614B" w:rsidRDefault="00872909" w:rsidP="00872909">
      <w:pPr>
        <w:jc w:val="center"/>
        <w:rPr>
          <w:b/>
        </w:rPr>
      </w:pPr>
    </w:p>
    <w:p w14:paraId="3A5B5DC3" w14:textId="2CEC18D4" w:rsidR="00872909" w:rsidRDefault="00872909" w:rsidP="00872909">
      <w:pPr>
        <w:pStyle w:val="BodyText"/>
        <w:numPr>
          <w:ilvl w:val="0"/>
          <w:numId w:val="25"/>
        </w:numPr>
      </w:pPr>
      <w:r>
        <w:t>B</w:t>
      </w:r>
      <w:r w:rsidR="00672A1D">
        <w:t>anking &amp; Capital M</w:t>
      </w:r>
      <w:r w:rsidRPr="009B61AB">
        <w:t>arkets (BCM) CEOs are bullish about economic growth – 57% believe it will improve over the next 12 months, compared to 30% in 2017</w:t>
      </w:r>
    </w:p>
    <w:p w14:paraId="5E28E0EC" w14:textId="77777777" w:rsidR="00872909" w:rsidRPr="0090235E" w:rsidRDefault="00872909" w:rsidP="00872909">
      <w:pPr>
        <w:pStyle w:val="BodyText"/>
        <w:numPr>
          <w:ilvl w:val="0"/>
          <w:numId w:val="25"/>
        </w:numPr>
        <w:rPr>
          <w:lang w:val="en-US"/>
        </w:rPr>
      </w:pPr>
      <w:r>
        <w:t>BCM CEOs’ o</w:t>
      </w:r>
      <w:r w:rsidRPr="007C75EE">
        <w:t xml:space="preserve">ptimism about the economy hasn’t translated into increasing confidence in </w:t>
      </w:r>
      <w:r>
        <w:t xml:space="preserve">the prospects for </w:t>
      </w:r>
      <w:r w:rsidRPr="007C75EE">
        <w:t>the</w:t>
      </w:r>
      <w:r>
        <w:t>ir own organisations –</w:t>
      </w:r>
      <w:r w:rsidRPr="007C75EE">
        <w:t xml:space="preserve"> 38% </w:t>
      </w:r>
      <w:r>
        <w:t>are very confident</w:t>
      </w:r>
      <w:r w:rsidRPr="007C75EE">
        <w:t xml:space="preserve"> about their companies’ ability to boost revenue growth over the next 12 months, down from 40% in 2017</w:t>
      </w:r>
    </w:p>
    <w:p w14:paraId="6149AAD4" w14:textId="77777777" w:rsidR="00872909" w:rsidRDefault="00872909" w:rsidP="00872909">
      <w:pPr>
        <w:pStyle w:val="BodyText"/>
        <w:numPr>
          <w:ilvl w:val="0"/>
          <w:numId w:val="25"/>
        </w:numPr>
      </w:pPr>
      <w:r>
        <w:rPr>
          <w:lang w:val="en-US"/>
        </w:rPr>
        <w:t>T</w:t>
      </w:r>
      <w:r w:rsidRPr="0090235E">
        <w:t>he pace of technological change (85%) and the closely-related impact of changing consumer behaviour (73%)</w:t>
      </w:r>
      <w:r>
        <w:t xml:space="preserve"> as threats to growth are on the rise</w:t>
      </w:r>
    </w:p>
    <w:p w14:paraId="622B72D6" w14:textId="77777777" w:rsidR="00872909" w:rsidRPr="00926A84" w:rsidRDefault="00872909" w:rsidP="00872909">
      <w:pPr>
        <w:pStyle w:val="BodyText"/>
        <w:numPr>
          <w:ilvl w:val="0"/>
          <w:numId w:val="25"/>
        </w:numPr>
      </w:pPr>
      <w:r>
        <w:t>It’s probably why l</w:t>
      </w:r>
      <w:r w:rsidRPr="00F42A95">
        <w:t xml:space="preserve">ess than half (44%) </w:t>
      </w:r>
      <w:r>
        <w:t xml:space="preserve">of BCM CEOs </w:t>
      </w:r>
      <w:r w:rsidRPr="00F42A95">
        <w:t>are clear about how robotics and AI can improve customer experience</w:t>
      </w:r>
    </w:p>
    <w:p w14:paraId="37E16431" w14:textId="68455DE3" w:rsidR="00872909" w:rsidRPr="00F42A95" w:rsidRDefault="00872909" w:rsidP="00872909">
      <w:pPr>
        <w:pStyle w:val="BodyText"/>
        <w:rPr>
          <w:lang w:val="en-US"/>
        </w:rPr>
      </w:pPr>
      <w:r w:rsidRPr="0090235E">
        <w:rPr>
          <w:lang w:val="en-US"/>
        </w:rPr>
        <w:t>Cyber</w:t>
      </w:r>
      <w:r>
        <w:rPr>
          <w:lang w:val="en-US"/>
        </w:rPr>
        <w:t xml:space="preserve"> threats have replaced</w:t>
      </w:r>
      <w:r w:rsidRPr="0090235E">
        <w:rPr>
          <w:lang w:val="en-US"/>
        </w:rPr>
        <w:t xml:space="preserve"> </w:t>
      </w:r>
      <w:r>
        <w:rPr>
          <w:lang w:val="en-US"/>
        </w:rPr>
        <w:t>over-</w:t>
      </w:r>
      <w:r w:rsidRPr="0090235E">
        <w:rPr>
          <w:lang w:val="en-US"/>
        </w:rPr>
        <w:t xml:space="preserve">regulation as top </w:t>
      </w:r>
      <w:r>
        <w:rPr>
          <w:lang w:val="en-US"/>
        </w:rPr>
        <w:t xml:space="preserve">concern for </w:t>
      </w:r>
      <w:r w:rsidRPr="000F614B">
        <w:rPr>
          <w:lang w:val="en-US"/>
        </w:rPr>
        <w:t xml:space="preserve">Banking and Capital Markets </w:t>
      </w:r>
      <w:r>
        <w:rPr>
          <w:lang w:val="en-US"/>
        </w:rPr>
        <w:t>(BCM) CEO</w:t>
      </w:r>
      <w:r w:rsidR="00672A1D">
        <w:rPr>
          <w:lang w:val="en-US"/>
        </w:rPr>
        <w:t>s</w:t>
      </w:r>
      <w:r>
        <w:rPr>
          <w:lang w:val="en-US"/>
        </w:rPr>
        <w:t xml:space="preserve">. 89% </w:t>
      </w:r>
      <w:r w:rsidRPr="0090235E">
        <w:rPr>
          <w:lang w:val="en-US"/>
        </w:rPr>
        <w:t xml:space="preserve">are </w:t>
      </w:r>
      <w:r>
        <w:rPr>
          <w:lang w:val="en-US"/>
        </w:rPr>
        <w:t>worried</w:t>
      </w:r>
      <w:r w:rsidRPr="0090235E">
        <w:rPr>
          <w:lang w:val="en-US"/>
        </w:rPr>
        <w:t xml:space="preserve"> about </w:t>
      </w:r>
      <w:r>
        <w:rPr>
          <w:lang w:val="en-US"/>
        </w:rPr>
        <w:t>their cybersecurity, while 93% will be</w:t>
      </w:r>
      <w:r w:rsidRPr="0090235E">
        <w:rPr>
          <w:lang w:val="en-US"/>
        </w:rPr>
        <w:t xml:space="preserve"> investing more heavily in </w:t>
      </w:r>
      <w:r>
        <w:rPr>
          <w:lang w:val="en-US"/>
        </w:rPr>
        <w:t xml:space="preserve">it in 2018. </w:t>
      </w:r>
      <w:r>
        <w:t>That’s one of the main takeaways</w:t>
      </w:r>
      <w:r w:rsidRPr="00592717">
        <w:t xml:space="preserve"> from the report ‘</w:t>
      </w:r>
      <w:r>
        <w:t>Driving change: no magic solutions, just hard work’, which is part of PwC’s 21th Global Survey and highlights the outcomes of interviews with</w:t>
      </w:r>
      <w:r w:rsidRPr="00592717">
        <w:t xml:space="preserve"> 188 </w:t>
      </w:r>
      <w:r>
        <w:t>BCM</w:t>
      </w:r>
      <w:r w:rsidRPr="00592717">
        <w:t xml:space="preserve"> CEOs</w:t>
      </w:r>
      <w:r>
        <w:t xml:space="preserve"> around the world. </w:t>
      </w:r>
    </w:p>
    <w:p w14:paraId="5CCD8D95" w14:textId="4F91EAB0" w:rsidR="00872909" w:rsidRDefault="00872909" w:rsidP="00872909">
      <w:pPr>
        <w:pStyle w:val="BodyText"/>
        <w:rPr>
          <w:lang w:val="en-US"/>
        </w:rPr>
      </w:pPr>
      <w:r>
        <w:rPr>
          <w:lang w:val="en-US"/>
        </w:rPr>
        <w:t>David Hoffman,</w:t>
      </w:r>
      <w:r w:rsidRPr="007276C5">
        <w:t xml:space="preserve"> </w:t>
      </w:r>
      <w:r w:rsidR="00E11C3B" w:rsidRPr="00E11C3B">
        <w:rPr>
          <w:lang w:val="en-US"/>
        </w:rPr>
        <w:t>Global Banking &amp; Capital Markets Leader</w:t>
      </w:r>
      <w:bookmarkStart w:id="0" w:name="_GoBack"/>
      <w:bookmarkEnd w:id="0"/>
      <w:r>
        <w:rPr>
          <w:lang w:val="en-US"/>
        </w:rPr>
        <w:t>, says:</w:t>
      </w:r>
    </w:p>
    <w:p w14:paraId="54BD688A" w14:textId="77777777" w:rsidR="00872909" w:rsidRPr="007276C5" w:rsidRDefault="00872909" w:rsidP="00872909">
      <w:pPr>
        <w:pStyle w:val="BodyText"/>
        <w:ind w:left="720"/>
        <w:rPr>
          <w:lang w:val="en-US"/>
        </w:rPr>
      </w:pPr>
      <w:r>
        <w:rPr>
          <w:lang w:val="en-US"/>
        </w:rPr>
        <w:t>“</w:t>
      </w:r>
      <w:r w:rsidRPr="0090235E">
        <w:rPr>
          <w:lang w:val="en-US"/>
        </w:rPr>
        <w:t xml:space="preserve">There are two types of BCM </w:t>
      </w:r>
      <w:proofErr w:type="spellStart"/>
      <w:r w:rsidRPr="0090235E">
        <w:rPr>
          <w:lang w:val="en-US"/>
        </w:rPr>
        <w:t>organisations</w:t>
      </w:r>
      <w:proofErr w:type="spellEnd"/>
      <w:r w:rsidRPr="0090235E">
        <w:rPr>
          <w:lang w:val="en-US"/>
        </w:rPr>
        <w:t xml:space="preserve"> – those that have experienced a major c</w:t>
      </w:r>
      <w:r>
        <w:rPr>
          <w:lang w:val="en-US"/>
        </w:rPr>
        <w:t>yberattack and those that will. Unsurprisingly,</w:t>
      </w:r>
      <w:r w:rsidRPr="0090235E">
        <w:rPr>
          <w:lang w:val="en-US"/>
        </w:rPr>
        <w:t xml:space="preserve"> nothing is more likely to keep </w:t>
      </w:r>
      <w:r>
        <w:rPr>
          <w:lang w:val="en-US"/>
        </w:rPr>
        <w:t>their</w:t>
      </w:r>
      <w:r w:rsidRPr="0090235E">
        <w:rPr>
          <w:lang w:val="en-US"/>
        </w:rPr>
        <w:t xml:space="preserve"> CEOs awake at night.</w:t>
      </w:r>
      <w:r w:rsidRPr="00926A84">
        <w:rPr>
          <w:lang w:val="en-US"/>
        </w:rPr>
        <w:t xml:space="preserve"> </w:t>
      </w:r>
      <w:r w:rsidRPr="0090235E">
        <w:rPr>
          <w:lang w:val="en-US"/>
        </w:rPr>
        <w:t>The importance of cyber protection to customer trust underlines the extent to which cyber threats are a strategic rather than just IT risk.</w:t>
      </w:r>
      <w:r>
        <w:rPr>
          <w:lang w:val="en-US"/>
        </w:rPr>
        <w:t xml:space="preserve"> </w:t>
      </w:r>
      <w:r w:rsidRPr="0090235E">
        <w:rPr>
          <w:lang w:val="en-US"/>
        </w:rPr>
        <w:t>Developments such as the EU’s General Data Protection Regulation (GDPR) make the need for more proactive safeguards, better coordination and more systematic response plans even more pressing.</w:t>
      </w:r>
      <w:r>
        <w:rPr>
          <w:lang w:val="en-US"/>
        </w:rPr>
        <w:t>”</w:t>
      </w:r>
    </w:p>
    <w:p w14:paraId="0160670E" w14:textId="77777777" w:rsidR="00872909" w:rsidRPr="007276C5" w:rsidRDefault="00872909" w:rsidP="00872909">
      <w:pPr>
        <w:pStyle w:val="BodyText"/>
        <w:rPr>
          <w:b/>
        </w:rPr>
      </w:pPr>
      <w:r>
        <w:rPr>
          <w:b/>
        </w:rPr>
        <w:t xml:space="preserve">Partnering rather than competing with </w:t>
      </w:r>
      <w:proofErr w:type="spellStart"/>
      <w:r>
        <w:rPr>
          <w:b/>
        </w:rPr>
        <w:t>FinTech</w:t>
      </w:r>
      <w:proofErr w:type="spellEnd"/>
    </w:p>
    <w:p w14:paraId="6A5E2D4B" w14:textId="77777777" w:rsidR="00872909" w:rsidRDefault="00872909" w:rsidP="00872909">
      <w:pPr>
        <w:pStyle w:val="BodyText"/>
      </w:pPr>
      <w:r w:rsidRPr="007C75EE">
        <w:t>BCM CEOs seeing the pace of technological change (85%) and the closely-related impact of changing consumer behaviour (73%) as threats to growth is up on last year.</w:t>
      </w:r>
      <w:r w:rsidRPr="007276C5">
        <w:t xml:space="preserve"> </w:t>
      </w:r>
      <w:r>
        <w:t>They’re realising c</w:t>
      </w:r>
      <w:r w:rsidRPr="007276C5">
        <w:t>ustomer behaviour can’t be addressed without first dealing with the technologi</w:t>
      </w:r>
      <w:r>
        <w:t xml:space="preserve">cal disruption that drives them. </w:t>
      </w:r>
      <w:r>
        <w:lastRenderedPageBreak/>
        <w:t>At the same time, t</w:t>
      </w:r>
      <w:r w:rsidRPr="007276C5">
        <w:t xml:space="preserve">he relatively low level of perceived disruption coming from new competition would suggest that the heat from </w:t>
      </w:r>
      <w:proofErr w:type="spellStart"/>
      <w:r w:rsidRPr="007276C5">
        <w:t>FinTech</w:t>
      </w:r>
      <w:proofErr w:type="spellEnd"/>
      <w:r w:rsidRPr="007276C5">
        <w:t xml:space="preserve"> is easing off. Rather than a potential rival, </w:t>
      </w:r>
      <w:proofErr w:type="spellStart"/>
      <w:r w:rsidRPr="007276C5">
        <w:t>FinTech</w:t>
      </w:r>
      <w:proofErr w:type="spellEnd"/>
      <w:r w:rsidRPr="007276C5">
        <w:t xml:space="preserve"> businesses are coming to be seen as a valued source of innovation and talent</w:t>
      </w:r>
      <w:r>
        <w:t>.</w:t>
      </w:r>
    </w:p>
    <w:p w14:paraId="39FC92B4" w14:textId="77777777" w:rsidR="00872909" w:rsidRDefault="00872909" w:rsidP="00872909">
      <w:pPr>
        <w:pStyle w:val="BodyText"/>
      </w:pPr>
      <w:r>
        <w:t xml:space="preserve">Capitalising on the </w:t>
      </w:r>
      <w:r w:rsidRPr="007276C5">
        <w:t xml:space="preserve">potential </w:t>
      </w:r>
      <w:r>
        <w:t xml:space="preserve">of new technologies </w:t>
      </w:r>
      <w:r w:rsidRPr="007276C5">
        <w:t>is also as mu</w:t>
      </w:r>
      <w:r>
        <w:t>ch about talent as tech itself. P</w:t>
      </w:r>
      <w:r w:rsidRPr="007276C5">
        <w:t>eople rather than systems drive innovation and realise its full commercial potential. As the CEO Survey findings highlight, attracting digital talent is notoriously hard – less than 20% of BCM CEOs see it as easy. While much of the focus is on bringing in app developers, robotics engineers and other specialists, it’s just as important to ensure that tech awareness permeates throughout the organisation, including senior leadership.</w:t>
      </w:r>
    </w:p>
    <w:p w14:paraId="2994DD62" w14:textId="77777777" w:rsidR="00872909" w:rsidRPr="000E3034" w:rsidRDefault="00872909" w:rsidP="00872909">
      <w:pPr>
        <w:pStyle w:val="BodyText"/>
        <w:rPr>
          <w:b/>
        </w:rPr>
      </w:pPr>
      <w:r>
        <w:rPr>
          <w:b/>
        </w:rPr>
        <w:t>P</w:t>
      </w:r>
      <w:r w:rsidRPr="000E3034">
        <w:rPr>
          <w:b/>
        </w:rPr>
        <w:t>eople strategy for the digital age</w:t>
      </w:r>
    </w:p>
    <w:p w14:paraId="4EFDB1D9" w14:textId="77777777" w:rsidR="00872909" w:rsidRDefault="00872909" w:rsidP="00872909">
      <w:pPr>
        <w:pStyle w:val="BodyText"/>
      </w:pPr>
      <w:r>
        <w:t>It’s also key</w:t>
      </w:r>
      <w:r w:rsidRPr="007276C5">
        <w:t xml:space="preserve"> to consider how to organise talent when humans and machines are now coming to work so closely as part </w:t>
      </w:r>
      <w:r>
        <w:t>of a hybrid workforce</w:t>
      </w:r>
      <w:r w:rsidRPr="007276C5">
        <w:t xml:space="preserve">. Most BCM CEOs are still trying to work out how to make the most of the collaborative potential – when thinking about their people strategy for the digital age, less than half (44%) are clear about how robotics and AI can improve customer experience, for example. </w:t>
      </w:r>
    </w:p>
    <w:p w14:paraId="759CA2FA" w14:textId="77777777" w:rsidR="00872909" w:rsidRDefault="00872909" w:rsidP="00872909">
      <w:pPr>
        <w:pStyle w:val="BodyText"/>
      </w:pPr>
      <w:r>
        <w:t>BCM organisations also need to</w:t>
      </w:r>
      <w:r w:rsidRPr="007276C5">
        <w:t xml:space="preserve"> address common anxieties about the impact of automation and AI. When asked whether they are creating transparency over the impacts of automation and AI to help build trust within their workforces, nearly two-thirds of BCM CEOs said yes and a further 10% plan to do so in the next 12 months. However, more than 20% aren’t addressing this issue and have no immediate plans to do so.</w:t>
      </w:r>
    </w:p>
    <w:p w14:paraId="15254629" w14:textId="77777777" w:rsidR="00872909" w:rsidRDefault="00872909" w:rsidP="00872909">
      <w:pPr>
        <w:pStyle w:val="BodyText"/>
        <w:rPr>
          <w:lang w:val="en-US"/>
        </w:rPr>
      </w:pPr>
      <w:r>
        <w:rPr>
          <w:lang w:val="en-US"/>
        </w:rPr>
        <w:t>David Hoffman says:</w:t>
      </w:r>
    </w:p>
    <w:p w14:paraId="18905E2F" w14:textId="11C065D5" w:rsidR="00872909" w:rsidRDefault="00872909" w:rsidP="00872909">
      <w:pPr>
        <w:pStyle w:val="BodyText"/>
        <w:ind w:left="720"/>
        <w:rPr>
          <w:lang w:val="en-US"/>
        </w:rPr>
      </w:pPr>
      <w:r>
        <w:rPr>
          <w:lang w:val="en-US"/>
        </w:rPr>
        <w:t>“</w:t>
      </w:r>
      <w:r w:rsidRPr="007276C5">
        <w:rPr>
          <w:lang w:val="en-US"/>
        </w:rPr>
        <w:t>As the CEO Survey findings underline, the big differentiator is digital transformation, and the breakthrough innovation and boost to growth that stem from it. Get this right and there are opportunities to transform your customer experience and put clear blue water bet</w:t>
      </w:r>
      <w:r>
        <w:rPr>
          <w:lang w:val="en-US"/>
        </w:rPr>
        <w:t xml:space="preserve">ween you and your competitors.” </w:t>
      </w:r>
    </w:p>
    <w:p w14:paraId="7579E718" w14:textId="77777777" w:rsidR="00872909" w:rsidRDefault="00872909" w:rsidP="00872909">
      <w:pPr>
        <w:pStyle w:val="BodyText"/>
        <w:ind w:left="720"/>
        <w:rPr>
          <w:lang w:val="en-US"/>
        </w:rPr>
      </w:pPr>
      <w:r>
        <w:rPr>
          <w:lang w:val="en-US"/>
        </w:rPr>
        <w:t>“However, d</w:t>
      </w:r>
      <w:r w:rsidRPr="007276C5">
        <w:rPr>
          <w:lang w:val="en-US"/>
        </w:rPr>
        <w:t>riving change is proving to be ex</w:t>
      </w:r>
      <w:r>
        <w:rPr>
          <w:lang w:val="en-US"/>
        </w:rPr>
        <w:t>ceptionally challenging</w:t>
      </w:r>
      <w:r w:rsidRPr="007276C5">
        <w:rPr>
          <w:lang w:val="en-US"/>
        </w:rPr>
        <w:t xml:space="preserve">. In our experience, BCM </w:t>
      </w:r>
      <w:proofErr w:type="spellStart"/>
      <w:r w:rsidRPr="007276C5">
        <w:rPr>
          <w:lang w:val="en-US"/>
        </w:rPr>
        <w:t>organisations</w:t>
      </w:r>
      <w:proofErr w:type="spellEnd"/>
      <w:r w:rsidRPr="007276C5">
        <w:rPr>
          <w:lang w:val="en-US"/>
        </w:rPr>
        <w:t xml:space="preserve"> that have tried to bring in technologies such as robotic process automation (RPA), </w:t>
      </w:r>
      <w:proofErr w:type="spellStart"/>
      <w:r w:rsidRPr="007276C5">
        <w:rPr>
          <w:lang w:val="en-US"/>
        </w:rPr>
        <w:t>blockchain</w:t>
      </w:r>
      <w:proofErr w:type="spellEnd"/>
      <w:r w:rsidRPr="007276C5">
        <w:rPr>
          <w:lang w:val="en-US"/>
        </w:rPr>
        <w:t xml:space="preserve"> and artificial intelligence (AI) without at the same time streamlining and </w:t>
      </w:r>
      <w:proofErr w:type="spellStart"/>
      <w:r w:rsidRPr="007276C5">
        <w:rPr>
          <w:lang w:val="en-US"/>
        </w:rPr>
        <w:t>rationalising</w:t>
      </w:r>
      <w:proofErr w:type="spellEnd"/>
      <w:r w:rsidRPr="007276C5">
        <w:rPr>
          <w:lang w:val="en-US"/>
        </w:rPr>
        <w:t xml:space="preserve"> their core processes have quickly come unstuck.</w:t>
      </w:r>
      <w:r w:rsidRPr="000E3034">
        <w:rPr>
          <w:lang w:val="en-US"/>
        </w:rPr>
        <w:t xml:space="preserve"> </w:t>
      </w:r>
      <w:r>
        <w:rPr>
          <w:lang w:val="en-US"/>
        </w:rPr>
        <w:t>T</w:t>
      </w:r>
      <w:r w:rsidRPr="007276C5">
        <w:rPr>
          <w:lang w:val="en-US"/>
        </w:rPr>
        <w:t xml:space="preserve">echnology </w:t>
      </w:r>
      <w:r>
        <w:rPr>
          <w:lang w:val="en-US"/>
        </w:rPr>
        <w:t xml:space="preserve">can’t </w:t>
      </w:r>
      <w:r w:rsidRPr="007276C5">
        <w:rPr>
          <w:lang w:val="en-US"/>
        </w:rPr>
        <w:t>reinvigorate innovation and returns wi</w:t>
      </w:r>
      <w:r>
        <w:rPr>
          <w:lang w:val="en-US"/>
        </w:rPr>
        <w:t>thout new ways of working, like human and machine collaboration,</w:t>
      </w:r>
      <w:r w:rsidRPr="007276C5">
        <w:rPr>
          <w:lang w:val="en-US"/>
        </w:rPr>
        <w:t xml:space="preserve"> and a rethink of how to connect with clients</w:t>
      </w:r>
      <w:r>
        <w:rPr>
          <w:lang w:val="en-US"/>
        </w:rPr>
        <w:t>.”</w:t>
      </w:r>
    </w:p>
    <w:p w14:paraId="6AED9707" w14:textId="77777777" w:rsidR="00A40DB7" w:rsidRPr="00A403DD" w:rsidRDefault="00A40DB7" w:rsidP="00A40DB7">
      <w:pPr>
        <w:pStyle w:val="BodyText"/>
        <w:jc w:val="right"/>
        <w:rPr>
          <w:b/>
        </w:rPr>
      </w:pPr>
      <w:r w:rsidRPr="00A403DD">
        <w:rPr>
          <w:b/>
        </w:rPr>
        <w:t>ENDS</w:t>
      </w:r>
    </w:p>
    <w:p w14:paraId="37C7D9BC" w14:textId="77777777" w:rsidR="00A40DB7" w:rsidRDefault="00A40DB7" w:rsidP="00A40DB7">
      <w:pPr>
        <w:rPr>
          <w:b/>
          <w:lang w:val="en-US"/>
        </w:rPr>
      </w:pPr>
      <w:r>
        <w:rPr>
          <w:b/>
          <w:lang w:val="en-US"/>
        </w:rPr>
        <w:t>Notes to editors:</w:t>
      </w:r>
    </w:p>
    <w:p w14:paraId="08F8D43F" w14:textId="77777777" w:rsidR="00A40DB7" w:rsidRDefault="00A40DB7" w:rsidP="00A40DB7">
      <w:pPr>
        <w:rPr>
          <w:b/>
          <w:lang w:val="en-US"/>
        </w:rPr>
      </w:pPr>
    </w:p>
    <w:p w14:paraId="151CA8BE" w14:textId="67D75435" w:rsidR="00D44681" w:rsidRPr="00330EC2" w:rsidRDefault="00872909" w:rsidP="00330EC2">
      <w:pPr>
        <w:pStyle w:val="BodyText"/>
        <w:rPr>
          <w:lang w:val="en-US"/>
        </w:rPr>
      </w:pPr>
      <w:r>
        <w:rPr>
          <w:lang w:val="en-US"/>
        </w:rPr>
        <w:t>188 Banking &amp; Capital Markets</w:t>
      </w:r>
      <w:r w:rsidR="006A6173">
        <w:rPr>
          <w:lang w:val="en-US"/>
        </w:rPr>
        <w:t xml:space="preserve"> </w:t>
      </w:r>
      <w:r w:rsidR="00330EC2" w:rsidRPr="00B16CD3">
        <w:rPr>
          <w:lang w:val="en-US"/>
        </w:rPr>
        <w:t xml:space="preserve">CEOs were surveyed as part of PwC’s Global CEO Survey. For more information see: </w:t>
      </w:r>
      <w:hyperlink r:id="rId9" w:history="1">
        <w:r w:rsidR="00B23D3C" w:rsidRPr="00B23D3C">
          <w:rPr>
            <w:rStyle w:val="Hyperlink"/>
            <w:color w:val="00B0F0"/>
            <w:u w:val="none"/>
            <w:lang w:val="en-US"/>
          </w:rPr>
          <w:t>www.pwc.com/ceosurvey</w:t>
        </w:r>
      </w:hyperlink>
      <w:r w:rsidR="00330EC2">
        <w:rPr>
          <w:lang w:val="en-US"/>
        </w:rPr>
        <w:t>.</w:t>
      </w:r>
    </w:p>
    <w:p w14:paraId="23DC4C20" w14:textId="44809D3B" w:rsidR="00A40DB7" w:rsidRPr="00CE357E" w:rsidRDefault="00A40DB7" w:rsidP="00A40DB7">
      <w:pPr>
        <w:rPr>
          <w:b/>
          <w:lang w:val="en-US"/>
        </w:rPr>
      </w:pPr>
      <w:r w:rsidRPr="00CE357E">
        <w:rPr>
          <w:b/>
          <w:lang w:val="en-US"/>
        </w:rPr>
        <w:t xml:space="preserve">About PwC </w:t>
      </w:r>
    </w:p>
    <w:p w14:paraId="5561285D" w14:textId="77777777" w:rsidR="00A942F1" w:rsidRDefault="00A942F1" w:rsidP="00A40DB7">
      <w:pPr>
        <w:spacing w:line="240" w:lineRule="auto"/>
        <w:ind w:right="202"/>
        <w:jc w:val="both"/>
        <w:rPr>
          <w:rFonts w:asciiTheme="majorHAnsi" w:hAnsiTheme="majorHAnsi" w:cs="Georgia"/>
          <w:color w:val="000000"/>
          <w:szCs w:val="20"/>
        </w:rPr>
      </w:pPr>
    </w:p>
    <w:p w14:paraId="0B564F3B" w14:textId="45249DED" w:rsidR="00A40DB7" w:rsidRPr="005C1639" w:rsidRDefault="00A40DB7" w:rsidP="005E5B25">
      <w:pPr>
        <w:spacing w:line="240" w:lineRule="auto"/>
        <w:ind w:right="202"/>
        <w:rPr>
          <w:rFonts w:asciiTheme="majorHAnsi" w:hAnsiTheme="majorHAnsi" w:cs="Georgia"/>
          <w:color w:val="000000"/>
          <w:szCs w:val="20"/>
        </w:rPr>
      </w:pPr>
      <w:r w:rsidRPr="005C1639">
        <w:rPr>
          <w:rFonts w:asciiTheme="majorHAnsi" w:hAnsiTheme="majorHAnsi" w:cs="Georgia"/>
          <w:color w:val="000000"/>
          <w:szCs w:val="20"/>
        </w:rPr>
        <w:t>At PwC, our purpose is to build trust in society and solve important problems.</w:t>
      </w:r>
      <w:r w:rsidR="0001160A">
        <w:rPr>
          <w:rFonts w:asciiTheme="majorHAnsi" w:hAnsiTheme="majorHAnsi" w:cs="Georgia"/>
          <w:color w:val="000000"/>
          <w:szCs w:val="20"/>
        </w:rPr>
        <w:t xml:space="preserve"> We’re a network of firms in 158 countries with more than 236</w:t>
      </w:r>
      <w:r w:rsidRPr="005C1639">
        <w:rPr>
          <w:rFonts w:asciiTheme="majorHAnsi" w:hAnsiTheme="majorHAnsi" w:cs="Georgia"/>
          <w:color w:val="000000"/>
          <w:szCs w:val="20"/>
        </w:rPr>
        <w:t xml:space="preserve">,000 people who are committed to delivering quality in assurance, advisory and tax services. Find out more and tell us what matters to you by visiting us at </w:t>
      </w:r>
      <w:hyperlink r:id="rId10" w:history="1">
        <w:r w:rsidRPr="0066766D">
          <w:rPr>
            <w:rStyle w:val="Hyperlink"/>
            <w:rFonts w:asciiTheme="majorHAnsi" w:hAnsiTheme="majorHAnsi" w:cs="Georgia"/>
            <w:color w:val="00B0F0"/>
            <w:szCs w:val="20"/>
            <w:u w:val="none"/>
          </w:rPr>
          <w:t>www.pwc.com</w:t>
        </w:r>
      </w:hyperlink>
      <w:r w:rsidRPr="005C1639">
        <w:rPr>
          <w:rFonts w:asciiTheme="majorHAnsi" w:hAnsiTheme="majorHAnsi" w:cs="Georgia"/>
          <w:color w:val="000000"/>
          <w:szCs w:val="20"/>
        </w:rPr>
        <w:t>.</w:t>
      </w:r>
    </w:p>
    <w:p w14:paraId="092A3CF0" w14:textId="77777777" w:rsidR="00A40DB7" w:rsidRDefault="00A40DB7" w:rsidP="00A40DB7">
      <w:pPr>
        <w:spacing w:line="240" w:lineRule="auto"/>
        <w:ind w:right="202"/>
        <w:jc w:val="both"/>
        <w:rPr>
          <w:rFonts w:asciiTheme="majorHAnsi" w:hAnsiTheme="majorHAnsi" w:cs="Georgia"/>
          <w:color w:val="000000"/>
          <w:szCs w:val="20"/>
        </w:rPr>
      </w:pPr>
    </w:p>
    <w:p w14:paraId="34708700" w14:textId="77777777" w:rsidR="00A40DB7" w:rsidRPr="005C1639" w:rsidRDefault="00A40DB7" w:rsidP="005E5B25">
      <w:pPr>
        <w:spacing w:line="240" w:lineRule="auto"/>
        <w:ind w:right="202"/>
        <w:rPr>
          <w:rFonts w:asciiTheme="majorHAnsi" w:hAnsiTheme="majorHAnsi" w:cs="Georgia"/>
          <w:color w:val="000000"/>
          <w:szCs w:val="20"/>
        </w:rPr>
      </w:pPr>
      <w:r w:rsidRPr="005C1639">
        <w:rPr>
          <w:rFonts w:asciiTheme="majorHAnsi" w:hAnsiTheme="majorHAnsi" w:cs="Georgia"/>
          <w:color w:val="000000"/>
          <w:szCs w:val="20"/>
        </w:rPr>
        <w:t xml:space="preserve">PwC refers to the PwC network and/or one or more of its member firms, each of which is a separate legal entity. Please see </w:t>
      </w:r>
      <w:hyperlink r:id="rId11" w:history="1">
        <w:r w:rsidRPr="0066766D">
          <w:rPr>
            <w:rStyle w:val="Hyperlink"/>
            <w:rFonts w:asciiTheme="majorHAnsi" w:hAnsiTheme="majorHAnsi" w:cs="Georgia"/>
            <w:color w:val="00B0F0"/>
            <w:szCs w:val="20"/>
            <w:u w:val="none"/>
          </w:rPr>
          <w:t>www.pwc.com/structure</w:t>
        </w:r>
      </w:hyperlink>
      <w:r>
        <w:rPr>
          <w:rFonts w:asciiTheme="majorHAnsi" w:hAnsiTheme="majorHAnsi" w:cs="Georgia"/>
          <w:color w:val="000000"/>
          <w:szCs w:val="20"/>
        </w:rPr>
        <w:t xml:space="preserve"> </w:t>
      </w:r>
      <w:r w:rsidRPr="005C1639">
        <w:rPr>
          <w:rFonts w:asciiTheme="majorHAnsi" w:hAnsiTheme="majorHAnsi" w:cs="Georgia"/>
          <w:color w:val="000000"/>
          <w:szCs w:val="20"/>
        </w:rPr>
        <w:t>for further details.</w:t>
      </w:r>
    </w:p>
    <w:p w14:paraId="5BF7CD3C" w14:textId="77777777" w:rsidR="00A40DB7" w:rsidRDefault="00A40DB7" w:rsidP="005E5B25">
      <w:pPr>
        <w:spacing w:line="240" w:lineRule="auto"/>
        <w:rPr>
          <w:rFonts w:asciiTheme="majorHAnsi" w:hAnsiTheme="majorHAnsi" w:cs="Georgia"/>
          <w:color w:val="000000"/>
          <w:szCs w:val="20"/>
        </w:rPr>
      </w:pPr>
    </w:p>
    <w:p w14:paraId="793FA1FD" w14:textId="03F3F98D" w:rsidR="002369EF" w:rsidRPr="00D44681" w:rsidRDefault="00330EC2" w:rsidP="005E5B25">
      <w:pPr>
        <w:spacing w:line="240" w:lineRule="auto"/>
        <w:rPr>
          <w:rFonts w:asciiTheme="majorHAnsi" w:hAnsiTheme="majorHAnsi" w:cs="Georgia"/>
          <w:color w:val="000000"/>
          <w:szCs w:val="20"/>
        </w:rPr>
      </w:pPr>
      <w:r>
        <w:rPr>
          <w:rFonts w:asciiTheme="majorHAnsi" w:hAnsiTheme="majorHAnsi" w:cs="Georgia"/>
          <w:color w:val="000000"/>
          <w:szCs w:val="20"/>
        </w:rPr>
        <w:t>© 2018</w:t>
      </w:r>
      <w:r w:rsidR="00A40DB7" w:rsidRPr="005C1639">
        <w:rPr>
          <w:rFonts w:asciiTheme="majorHAnsi" w:hAnsiTheme="majorHAnsi" w:cs="Georgia"/>
          <w:color w:val="000000"/>
          <w:szCs w:val="20"/>
        </w:rPr>
        <w:t xml:space="preserve"> PwC. All rights reserved</w:t>
      </w:r>
    </w:p>
    <w:sectPr w:rsidR="002369EF" w:rsidRPr="00D44681" w:rsidSect="00E61887">
      <w:headerReference w:type="even" r:id="rId12"/>
      <w:headerReference w:type="default" r:id="rId13"/>
      <w:footerReference w:type="even" r:id="rId14"/>
      <w:footerReference w:type="default" r:id="rId15"/>
      <w:headerReference w:type="first" r:id="rId16"/>
      <w:pgSz w:w="11907" w:h="16839"/>
      <w:pgMar w:top="2160" w:right="1440" w:bottom="1710" w:left="137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B0361" w14:textId="77777777" w:rsidR="00326EBF" w:rsidRDefault="00326EBF">
      <w:pPr>
        <w:spacing w:line="240" w:lineRule="auto"/>
      </w:pPr>
      <w:r>
        <w:separator/>
      </w:r>
    </w:p>
  </w:endnote>
  <w:endnote w:type="continuationSeparator" w:id="0">
    <w:p w14:paraId="30396121" w14:textId="77777777" w:rsidR="00326EBF" w:rsidRDefault="0032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7795" w14:textId="77777777" w:rsidR="00730CD2" w:rsidRDefault="00934826">
    <w:pPr>
      <w:pStyle w:val="Footer"/>
    </w:pPr>
    <w:r>
      <w:fldChar w:fldCharType="begin"/>
    </w:r>
    <w:r>
      <w:instrText xml:space="preserve"> PAGE  \* MERGEFORMAT </w:instrText>
    </w:r>
    <w:r>
      <w:fldChar w:fldCharType="separate"/>
    </w:r>
    <w:r>
      <w:rPr>
        <w:noProof/>
      </w:rPr>
      <w:t>2</w:t>
    </w:r>
    <w:r>
      <w:rPr>
        <w:noProof/>
      </w:rPr>
      <w:fldChar w:fldCharType="end"/>
    </w:r>
    <w:r>
      <w:t xml:space="preserve"> of </w:t>
    </w:r>
    <w:r w:rsidR="00326EBF">
      <w:fldChar w:fldCharType="begin"/>
    </w:r>
    <w:r w:rsidR="00326EBF">
      <w:instrText xml:space="preserve"> NUMPAGES  \* MERGEFORMAT </w:instrText>
    </w:r>
    <w:r w:rsidR="00326EBF">
      <w:fldChar w:fldCharType="separate"/>
    </w:r>
    <w:r w:rsidR="00EC2718">
      <w:rPr>
        <w:noProof/>
      </w:rPr>
      <w:t>4</w:t>
    </w:r>
    <w:r w:rsidR="00326EB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2340" w14:textId="1C1B582F" w:rsidR="00730CD2" w:rsidRDefault="00934826">
    <w:pPr>
      <w:pStyle w:val="Footer"/>
    </w:pPr>
    <w:r>
      <w:fldChar w:fldCharType="begin"/>
    </w:r>
    <w:r>
      <w:instrText xml:space="preserve"> PAGE  \* MERGEFORMAT </w:instrText>
    </w:r>
    <w:r>
      <w:fldChar w:fldCharType="separate"/>
    </w:r>
    <w:r w:rsidR="00E11C3B">
      <w:rPr>
        <w:noProof/>
      </w:rPr>
      <w:t>3</w:t>
    </w:r>
    <w:r>
      <w:rPr>
        <w:noProof/>
      </w:rPr>
      <w:fldChar w:fldCharType="end"/>
    </w:r>
    <w:r>
      <w:t xml:space="preserve"> of </w:t>
    </w:r>
    <w:r w:rsidR="00326EBF">
      <w:fldChar w:fldCharType="begin"/>
    </w:r>
    <w:r w:rsidR="00326EBF">
      <w:instrText xml:space="preserve"> NUMPAGES  \* MERGEFORMAT </w:instrText>
    </w:r>
    <w:r w:rsidR="00326EBF">
      <w:fldChar w:fldCharType="separate"/>
    </w:r>
    <w:r w:rsidR="00E11C3B">
      <w:rPr>
        <w:noProof/>
      </w:rPr>
      <w:t>3</w:t>
    </w:r>
    <w:r w:rsidR="00326E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3CAD1" w14:textId="77777777" w:rsidR="00326EBF" w:rsidRDefault="00326EBF">
      <w:pPr>
        <w:spacing w:line="240" w:lineRule="auto"/>
      </w:pPr>
      <w:r>
        <w:separator/>
      </w:r>
    </w:p>
  </w:footnote>
  <w:footnote w:type="continuationSeparator" w:id="0">
    <w:p w14:paraId="73C1D3A1" w14:textId="77777777" w:rsidR="00326EBF" w:rsidRDefault="0032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E046" w14:textId="77777777" w:rsidR="00730CD2" w:rsidRDefault="00934826">
    <w:pPr>
      <w:pStyle w:val="Header"/>
    </w:pPr>
    <w:r>
      <w:rPr>
        <w:noProof/>
        <w:lang w:val="en-US"/>
      </w:rPr>
      <w:drawing>
        <wp:anchor distT="0" distB="0" distL="114300" distR="114300" simplePos="0" relativeHeight="251661312" behindDoc="0" locked="1" layoutInCell="1" allowOverlap="1" wp14:anchorId="4696324B" wp14:editId="0B144A88">
          <wp:simplePos x="0" y="0"/>
          <wp:positionH relativeFrom="page">
            <wp:posOffset>354965</wp:posOffset>
          </wp:positionH>
          <wp:positionV relativeFrom="page">
            <wp:posOffset>90805</wp:posOffset>
          </wp:positionV>
          <wp:extent cx="1410970" cy="12687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75CA842A" w14:textId="77777777" w:rsidR="00730CD2" w:rsidRDefault="00326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499E" w14:textId="77777777" w:rsidR="00730CD2" w:rsidRDefault="00934826">
    <w:pPr>
      <w:pStyle w:val="Header"/>
    </w:pPr>
    <w:r>
      <w:rPr>
        <w:noProof/>
        <w:lang w:val="en-US"/>
      </w:rPr>
      <w:drawing>
        <wp:anchor distT="0" distB="0" distL="114300" distR="114300" simplePos="0" relativeHeight="251660288" behindDoc="0" locked="1" layoutInCell="1" allowOverlap="1" wp14:anchorId="247BEA5F" wp14:editId="40DB035F">
          <wp:simplePos x="0" y="0"/>
          <wp:positionH relativeFrom="page">
            <wp:posOffset>402590</wp:posOffset>
          </wp:positionH>
          <wp:positionV relativeFrom="page">
            <wp:posOffset>119380</wp:posOffset>
          </wp:positionV>
          <wp:extent cx="1410970" cy="12687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02E20DBD" w14:textId="77777777" w:rsidR="00730CD2" w:rsidRDefault="00326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656F" w14:textId="77777777" w:rsidR="00730CD2" w:rsidRDefault="00934826">
    <w:pPr>
      <w:pStyle w:val="Header"/>
    </w:pPr>
    <w:r>
      <w:rPr>
        <w:noProof/>
        <w:lang w:val="en-US"/>
      </w:rPr>
      <w:drawing>
        <wp:anchor distT="0" distB="0" distL="114300" distR="114300" simplePos="0" relativeHeight="251659264" behindDoc="0" locked="1" layoutInCell="1" allowOverlap="1" wp14:anchorId="2D1D2A94" wp14:editId="52F74C27">
          <wp:simplePos x="0" y="0"/>
          <wp:positionH relativeFrom="page">
            <wp:posOffset>326390</wp:posOffset>
          </wp:positionH>
          <wp:positionV relativeFrom="page">
            <wp:posOffset>157480</wp:posOffset>
          </wp:positionV>
          <wp:extent cx="1410970" cy="1268730"/>
          <wp:effectExtent l="0" t="0" r="0" b="0"/>
          <wp:wrapNone/>
          <wp:docPr id="4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F38"/>
    <w:multiLevelType w:val="hybridMultilevel"/>
    <w:tmpl w:val="194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1C39"/>
    <w:multiLevelType w:val="hybridMultilevel"/>
    <w:tmpl w:val="FE0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4C0A"/>
    <w:multiLevelType w:val="hybridMultilevel"/>
    <w:tmpl w:val="C068FCEE"/>
    <w:lvl w:ilvl="0" w:tplc="9D540A5C">
      <w:start w:val="200"/>
      <w:numFmt w:val="bullet"/>
      <w:lvlText w:val="•"/>
      <w:lvlJc w:val="left"/>
      <w:pPr>
        <w:ind w:left="1080" w:hanging="72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5426"/>
    <w:multiLevelType w:val="hybridMultilevel"/>
    <w:tmpl w:val="D608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0313"/>
    <w:multiLevelType w:val="hybridMultilevel"/>
    <w:tmpl w:val="1512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B7731"/>
    <w:multiLevelType w:val="hybridMultilevel"/>
    <w:tmpl w:val="83AE53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69D7"/>
    <w:multiLevelType w:val="hybridMultilevel"/>
    <w:tmpl w:val="4C5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41AC"/>
    <w:multiLevelType w:val="hybridMultilevel"/>
    <w:tmpl w:val="0EB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3704"/>
    <w:multiLevelType w:val="hybridMultilevel"/>
    <w:tmpl w:val="2D8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737E0"/>
    <w:multiLevelType w:val="hybridMultilevel"/>
    <w:tmpl w:val="A1F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B4066"/>
    <w:multiLevelType w:val="hybridMultilevel"/>
    <w:tmpl w:val="A77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3B9"/>
    <w:multiLevelType w:val="hybridMultilevel"/>
    <w:tmpl w:val="C77E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335D9"/>
    <w:multiLevelType w:val="hybridMultilevel"/>
    <w:tmpl w:val="261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0AE4"/>
    <w:multiLevelType w:val="hybridMultilevel"/>
    <w:tmpl w:val="5EAE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A3341"/>
    <w:multiLevelType w:val="hybridMultilevel"/>
    <w:tmpl w:val="B4EC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4A64A4"/>
    <w:multiLevelType w:val="hybridMultilevel"/>
    <w:tmpl w:val="4FEEEFC6"/>
    <w:lvl w:ilvl="0" w:tplc="9796E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F7B72"/>
    <w:multiLevelType w:val="hybridMultilevel"/>
    <w:tmpl w:val="276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E1D9B"/>
    <w:multiLevelType w:val="hybridMultilevel"/>
    <w:tmpl w:val="0DA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870DF"/>
    <w:multiLevelType w:val="hybridMultilevel"/>
    <w:tmpl w:val="D1D8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2251F"/>
    <w:multiLevelType w:val="hybridMultilevel"/>
    <w:tmpl w:val="3F24BDFE"/>
    <w:lvl w:ilvl="0" w:tplc="58FC2F96">
      <w:start w:val="1"/>
      <w:numFmt w:val="decimal"/>
      <w:lvlText w:val="%1."/>
      <w:lvlJc w:val="left"/>
      <w:pPr>
        <w:ind w:left="1080" w:hanging="72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E2372"/>
    <w:multiLevelType w:val="hybridMultilevel"/>
    <w:tmpl w:val="F20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07BE9"/>
    <w:multiLevelType w:val="hybridMultilevel"/>
    <w:tmpl w:val="FB9C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55A0E"/>
    <w:multiLevelType w:val="hybridMultilevel"/>
    <w:tmpl w:val="433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74C7F"/>
    <w:multiLevelType w:val="hybridMultilevel"/>
    <w:tmpl w:val="B3A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C5A62"/>
    <w:multiLevelType w:val="hybridMultilevel"/>
    <w:tmpl w:val="B978A53E"/>
    <w:lvl w:ilvl="0" w:tplc="68A265DA">
      <w:start w:val="1"/>
      <w:numFmt w:val="decimal"/>
      <w:lvlText w:val="%1."/>
      <w:lvlJc w:val="left"/>
      <w:pPr>
        <w:ind w:left="720" w:hanging="360"/>
      </w:pPr>
      <w:rPr>
        <w:rFonts w:ascii="Georgia" w:hAnsi="Georgi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5"/>
  </w:num>
  <w:num w:numId="5">
    <w:abstractNumId w:val="12"/>
  </w:num>
  <w:num w:numId="6">
    <w:abstractNumId w:val="21"/>
  </w:num>
  <w:num w:numId="7">
    <w:abstractNumId w:val="17"/>
  </w:num>
  <w:num w:numId="8">
    <w:abstractNumId w:val="22"/>
  </w:num>
  <w:num w:numId="9">
    <w:abstractNumId w:val="2"/>
  </w:num>
  <w:num w:numId="10">
    <w:abstractNumId w:val="20"/>
  </w:num>
  <w:num w:numId="11">
    <w:abstractNumId w:val="19"/>
  </w:num>
  <w:num w:numId="12">
    <w:abstractNumId w:val="16"/>
  </w:num>
  <w:num w:numId="13">
    <w:abstractNumId w:val="7"/>
  </w:num>
  <w:num w:numId="14">
    <w:abstractNumId w:val="6"/>
  </w:num>
  <w:num w:numId="15">
    <w:abstractNumId w:val="9"/>
  </w:num>
  <w:num w:numId="16">
    <w:abstractNumId w:val="24"/>
  </w:num>
  <w:num w:numId="17">
    <w:abstractNumId w:val="10"/>
  </w:num>
  <w:num w:numId="18">
    <w:abstractNumId w:val="11"/>
  </w:num>
  <w:num w:numId="19">
    <w:abstractNumId w:val="14"/>
  </w:num>
  <w:num w:numId="20">
    <w:abstractNumId w:val="13"/>
  </w:num>
  <w:num w:numId="21">
    <w:abstractNumId w:val="3"/>
  </w:num>
  <w:num w:numId="22">
    <w:abstractNumId w:val="15"/>
  </w:num>
  <w:num w:numId="23">
    <w:abstractNumId w:val="1"/>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6"/>
    <w:rsid w:val="0000138D"/>
    <w:rsid w:val="000105B8"/>
    <w:rsid w:val="0001160A"/>
    <w:rsid w:val="00012342"/>
    <w:rsid w:val="000152DD"/>
    <w:rsid w:val="00021EF9"/>
    <w:rsid w:val="00023FB5"/>
    <w:rsid w:val="00033625"/>
    <w:rsid w:val="00033F18"/>
    <w:rsid w:val="00042D5A"/>
    <w:rsid w:val="0005731A"/>
    <w:rsid w:val="000A0433"/>
    <w:rsid w:val="000A554F"/>
    <w:rsid w:val="000B3DF3"/>
    <w:rsid w:val="000B3E21"/>
    <w:rsid w:val="000B45F0"/>
    <w:rsid w:val="000B4C42"/>
    <w:rsid w:val="000B55F0"/>
    <w:rsid w:val="000C5CCC"/>
    <w:rsid w:val="000D6481"/>
    <w:rsid w:val="000E0ACA"/>
    <w:rsid w:val="000E16B9"/>
    <w:rsid w:val="00117137"/>
    <w:rsid w:val="001234C3"/>
    <w:rsid w:val="001276EC"/>
    <w:rsid w:val="00132750"/>
    <w:rsid w:val="00134488"/>
    <w:rsid w:val="00151B66"/>
    <w:rsid w:val="00157069"/>
    <w:rsid w:val="00174443"/>
    <w:rsid w:val="00176305"/>
    <w:rsid w:val="001954C2"/>
    <w:rsid w:val="001A3BFD"/>
    <w:rsid w:val="001A42F7"/>
    <w:rsid w:val="001A64C4"/>
    <w:rsid w:val="001B0340"/>
    <w:rsid w:val="001B7182"/>
    <w:rsid w:val="001C1FC0"/>
    <w:rsid w:val="001D688A"/>
    <w:rsid w:val="001E2DAC"/>
    <w:rsid w:val="001E451F"/>
    <w:rsid w:val="001F10AB"/>
    <w:rsid w:val="001F7F9A"/>
    <w:rsid w:val="00214E19"/>
    <w:rsid w:val="00225674"/>
    <w:rsid w:val="0023575F"/>
    <w:rsid w:val="00235898"/>
    <w:rsid w:val="002369EF"/>
    <w:rsid w:val="00241A3E"/>
    <w:rsid w:val="002451E2"/>
    <w:rsid w:val="0026020C"/>
    <w:rsid w:val="00277590"/>
    <w:rsid w:val="002932F3"/>
    <w:rsid w:val="002A1E03"/>
    <w:rsid w:val="002A6E81"/>
    <w:rsid w:val="002D592E"/>
    <w:rsid w:val="002D7006"/>
    <w:rsid w:val="002E67C7"/>
    <w:rsid w:val="002F3597"/>
    <w:rsid w:val="002F48CE"/>
    <w:rsid w:val="00320630"/>
    <w:rsid w:val="00326EBF"/>
    <w:rsid w:val="00330EC2"/>
    <w:rsid w:val="0033779C"/>
    <w:rsid w:val="0037298D"/>
    <w:rsid w:val="00372F7B"/>
    <w:rsid w:val="00383734"/>
    <w:rsid w:val="003850A8"/>
    <w:rsid w:val="003866BD"/>
    <w:rsid w:val="0039030D"/>
    <w:rsid w:val="003C38AD"/>
    <w:rsid w:val="003C7C6B"/>
    <w:rsid w:val="003F5C39"/>
    <w:rsid w:val="003F79B1"/>
    <w:rsid w:val="00412D22"/>
    <w:rsid w:val="00412FB5"/>
    <w:rsid w:val="00414382"/>
    <w:rsid w:val="00416FBD"/>
    <w:rsid w:val="00421A33"/>
    <w:rsid w:val="00422180"/>
    <w:rsid w:val="004274D0"/>
    <w:rsid w:val="004318D0"/>
    <w:rsid w:val="00451370"/>
    <w:rsid w:val="00452578"/>
    <w:rsid w:val="00453296"/>
    <w:rsid w:val="00482A76"/>
    <w:rsid w:val="00482CC1"/>
    <w:rsid w:val="00493E37"/>
    <w:rsid w:val="00493E90"/>
    <w:rsid w:val="004B2ECE"/>
    <w:rsid w:val="004B744F"/>
    <w:rsid w:val="004C2B40"/>
    <w:rsid w:val="004D2A80"/>
    <w:rsid w:val="004D45A2"/>
    <w:rsid w:val="004E3744"/>
    <w:rsid w:val="004F5762"/>
    <w:rsid w:val="004F6B52"/>
    <w:rsid w:val="00502EEA"/>
    <w:rsid w:val="00506874"/>
    <w:rsid w:val="0052042F"/>
    <w:rsid w:val="00525CA0"/>
    <w:rsid w:val="00537718"/>
    <w:rsid w:val="00555F1F"/>
    <w:rsid w:val="00563FEB"/>
    <w:rsid w:val="00581B3D"/>
    <w:rsid w:val="005824EA"/>
    <w:rsid w:val="005838B0"/>
    <w:rsid w:val="005844AF"/>
    <w:rsid w:val="00586B44"/>
    <w:rsid w:val="00591A4C"/>
    <w:rsid w:val="0059590A"/>
    <w:rsid w:val="005A659C"/>
    <w:rsid w:val="005B0BF8"/>
    <w:rsid w:val="005C1639"/>
    <w:rsid w:val="005C2717"/>
    <w:rsid w:val="005C36BE"/>
    <w:rsid w:val="005D3F0A"/>
    <w:rsid w:val="005E5B25"/>
    <w:rsid w:val="005F5420"/>
    <w:rsid w:val="005F5B2E"/>
    <w:rsid w:val="005F7B22"/>
    <w:rsid w:val="006325DB"/>
    <w:rsid w:val="00633A69"/>
    <w:rsid w:val="00636F82"/>
    <w:rsid w:val="00646250"/>
    <w:rsid w:val="0065354F"/>
    <w:rsid w:val="0065427F"/>
    <w:rsid w:val="006555C6"/>
    <w:rsid w:val="0066766D"/>
    <w:rsid w:val="00671EC4"/>
    <w:rsid w:val="00672A1D"/>
    <w:rsid w:val="00672FB3"/>
    <w:rsid w:val="006849F3"/>
    <w:rsid w:val="00695872"/>
    <w:rsid w:val="0069709C"/>
    <w:rsid w:val="006A6173"/>
    <w:rsid w:val="006B0290"/>
    <w:rsid w:val="006C7865"/>
    <w:rsid w:val="006D5C63"/>
    <w:rsid w:val="006F339E"/>
    <w:rsid w:val="00707363"/>
    <w:rsid w:val="00720D56"/>
    <w:rsid w:val="007262DB"/>
    <w:rsid w:val="00732511"/>
    <w:rsid w:val="007331DC"/>
    <w:rsid w:val="00742168"/>
    <w:rsid w:val="00750FD3"/>
    <w:rsid w:val="0076192A"/>
    <w:rsid w:val="00763ACF"/>
    <w:rsid w:val="0077628E"/>
    <w:rsid w:val="00785C47"/>
    <w:rsid w:val="007958ED"/>
    <w:rsid w:val="007B30BC"/>
    <w:rsid w:val="007B380B"/>
    <w:rsid w:val="007B3E4F"/>
    <w:rsid w:val="007B7EF4"/>
    <w:rsid w:val="007D4965"/>
    <w:rsid w:val="007D79EE"/>
    <w:rsid w:val="00801DE4"/>
    <w:rsid w:val="00802BA0"/>
    <w:rsid w:val="0080313E"/>
    <w:rsid w:val="008036F6"/>
    <w:rsid w:val="00810D22"/>
    <w:rsid w:val="00814C53"/>
    <w:rsid w:val="00821AF5"/>
    <w:rsid w:val="00830328"/>
    <w:rsid w:val="00842E91"/>
    <w:rsid w:val="008507E3"/>
    <w:rsid w:val="00853BC3"/>
    <w:rsid w:val="00861335"/>
    <w:rsid w:val="0086401C"/>
    <w:rsid w:val="00872909"/>
    <w:rsid w:val="008750EF"/>
    <w:rsid w:val="00877F70"/>
    <w:rsid w:val="008942E2"/>
    <w:rsid w:val="008A4008"/>
    <w:rsid w:val="008B0E53"/>
    <w:rsid w:val="008B52BF"/>
    <w:rsid w:val="008B6EE5"/>
    <w:rsid w:val="008C1D6D"/>
    <w:rsid w:val="008D04E6"/>
    <w:rsid w:val="008E62E2"/>
    <w:rsid w:val="009032AC"/>
    <w:rsid w:val="00934614"/>
    <w:rsid w:val="00934826"/>
    <w:rsid w:val="0094013D"/>
    <w:rsid w:val="009556B9"/>
    <w:rsid w:val="009569D4"/>
    <w:rsid w:val="00956FC4"/>
    <w:rsid w:val="00963693"/>
    <w:rsid w:val="00975844"/>
    <w:rsid w:val="00980CB5"/>
    <w:rsid w:val="00985CD7"/>
    <w:rsid w:val="009B3FF1"/>
    <w:rsid w:val="009B43F8"/>
    <w:rsid w:val="009B7E6A"/>
    <w:rsid w:val="009C65D1"/>
    <w:rsid w:val="009D3B88"/>
    <w:rsid w:val="009E365F"/>
    <w:rsid w:val="009E4591"/>
    <w:rsid w:val="009F66B8"/>
    <w:rsid w:val="00A006BB"/>
    <w:rsid w:val="00A06EE3"/>
    <w:rsid w:val="00A119E3"/>
    <w:rsid w:val="00A13AB2"/>
    <w:rsid w:val="00A16362"/>
    <w:rsid w:val="00A20925"/>
    <w:rsid w:val="00A30DE9"/>
    <w:rsid w:val="00A370A8"/>
    <w:rsid w:val="00A40DB7"/>
    <w:rsid w:val="00A42B83"/>
    <w:rsid w:val="00A65D85"/>
    <w:rsid w:val="00A80EA3"/>
    <w:rsid w:val="00A9189B"/>
    <w:rsid w:val="00A942F1"/>
    <w:rsid w:val="00AC1045"/>
    <w:rsid w:val="00AE364E"/>
    <w:rsid w:val="00AE6289"/>
    <w:rsid w:val="00AF7705"/>
    <w:rsid w:val="00B0675E"/>
    <w:rsid w:val="00B11379"/>
    <w:rsid w:val="00B22C03"/>
    <w:rsid w:val="00B23D3C"/>
    <w:rsid w:val="00B33BFD"/>
    <w:rsid w:val="00B369F3"/>
    <w:rsid w:val="00B409BB"/>
    <w:rsid w:val="00B43B71"/>
    <w:rsid w:val="00B43B88"/>
    <w:rsid w:val="00B63E06"/>
    <w:rsid w:val="00BB402D"/>
    <w:rsid w:val="00BB497B"/>
    <w:rsid w:val="00BD4335"/>
    <w:rsid w:val="00BE6B1D"/>
    <w:rsid w:val="00C014DB"/>
    <w:rsid w:val="00C05325"/>
    <w:rsid w:val="00C1382B"/>
    <w:rsid w:val="00C14787"/>
    <w:rsid w:val="00C21381"/>
    <w:rsid w:val="00C318E9"/>
    <w:rsid w:val="00C40413"/>
    <w:rsid w:val="00C40B31"/>
    <w:rsid w:val="00C42238"/>
    <w:rsid w:val="00C450E2"/>
    <w:rsid w:val="00C60218"/>
    <w:rsid w:val="00C63675"/>
    <w:rsid w:val="00C653DC"/>
    <w:rsid w:val="00C70DF4"/>
    <w:rsid w:val="00C77A4D"/>
    <w:rsid w:val="00C816BF"/>
    <w:rsid w:val="00C8567A"/>
    <w:rsid w:val="00C85EBD"/>
    <w:rsid w:val="00CB6CD3"/>
    <w:rsid w:val="00CB705F"/>
    <w:rsid w:val="00CD62B0"/>
    <w:rsid w:val="00CD752E"/>
    <w:rsid w:val="00CF3D5E"/>
    <w:rsid w:val="00D043A9"/>
    <w:rsid w:val="00D12216"/>
    <w:rsid w:val="00D16E9A"/>
    <w:rsid w:val="00D26E02"/>
    <w:rsid w:val="00D35E59"/>
    <w:rsid w:val="00D412FD"/>
    <w:rsid w:val="00D44681"/>
    <w:rsid w:val="00D501E2"/>
    <w:rsid w:val="00D50B5F"/>
    <w:rsid w:val="00D53110"/>
    <w:rsid w:val="00D57B1C"/>
    <w:rsid w:val="00D61C8A"/>
    <w:rsid w:val="00D62519"/>
    <w:rsid w:val="00D67FB6"/>
    <w:rsid w:val="00D73213"/>
    <w:rsid w:val="00D80967"/>
    <w:rsid w:val="00D84054"/>
    <w:rsid w:val="00D84A78"/>
    <w:rsid w:val="00DA01F6"/>
    <w:rsid w:val="00DA1BE3"/>
    <w:rsid w:val="00DB1B13"/>
    <w:rsid w:val="00DD2F23"/>
    <w:rsid w:val="00DD752F"/>
    <w:rsid w:val="00DF2E31"/>
    <w:rsid w:val="00DF7387"/>
    <w:rsid w:val="00E01F21"/>
    <w:rsid w:val="00E07430"/>
    <w:rsid w:val="00E11C3B"/>
    <w:rsid w:val="00E2728E"/>
    <w:rsid w:val="00E31094"/>
    <w:rsid w:val="00E50699"/>
    <w:rsid w:val="00E51E31"/>
    <w:rsid w:val="00E61887"/>
    <w:rsid w:val="00E6727B"/>
    <w:rsid w:val="00E7013A"/>
    <w:rsid w:val="00E70E7D"/>
    <w:rsid w:val="00E716F7"/>
    <w:rsid w:val="00E81AA2"/>
    <w:rsid w:val="00E825C5"/>
    <w:rsid w:val="00EC2718"/>
    <w:rsid w:val="00EE043F"/>
    <w:rsid w:val="00EE13F1"/>
    <w:rsid w:val="00EF2C33"/>
    <w:rsid w:val="00F00A04"/>
    <w:rsid w:val="00F04480"/>
    <w:rsid w:val="00F048AE"/>
    <w:rsid w:val="00F13A28"/>
    <w:rsid w:val="00F13E0A"/>
    <w:rsid w:val="00F243C8"/>
    <w:rsid w:val="00F24490"/>
    <w:rsid w:val="00F2652E"/>
    <w:rsid w:val="00F320E0"/>
    <w:rsid w:val="00F43756"/>
    <w:rsid w:val="00F44924"/>
    <w:rsid w:val="00F4662A"/>
    <w:rsid w:val="00F507F8"/>
    <w:rsid w:val="00F62EF9"/>
    <w:rsid w:val="00F66232"/>
    <w:rsid w:val="00F71BD8"/>
    <w:rsid w:val="00F814CD"/>
    <w:rsid w:val="00F84EFC"/>
    <w:rsid w:val="00F91A72"/>
    <w:rsid w:val="00FB6285"/>
    <w:rsid w:val="00FC0251"/>
    <w:rsid w:val="00FC02B2"/>
    <w:rsid w:val="00FC1EAE"/>
    <w:rsid w:val="00FD6C7F"/>
    <w:rsid w:val="00FE5E70"/>
    <w:rsid w:val="00FF0FEC"/>
    <w:rsid w:val="00FF5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D6DC"/>
  <w15:chartTrackingRefBased/>
  <w15:docId w15:val="{0F390A15-2E05-471A-82B0-AB1D425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26"/>
    <w:pPr>
      <w:spacing w:after="0" w:line="240" w:lineRule="atLeast"/>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826"/>
    <w:pPr>
      <w:tabs>
        <w:tab w:val="center" w:pos="4513"/>
        <w:tab w:val="right" w:pos="9026"/>
      </w:tabs>
      <w:spacing w:line="240" w:lineRule="auto"/>
    </w:pPr>
  </w:style>
  <w:style w:type="character" w:customStyle="1" w:styleId="HeaderChar">
    <w:name w:val="Header Char"/>
    <w:basedOn w:val="DefaultParagraphFont"/>
    <w:link w:val="Header"/>
    <w:rsid w:val="00934826"/>
    <w:rPr>
      <w:rFonts w:eastAsia="Calibri" w:cs="Times New Roman"/>
      <w:lang w:val="en-GB"/>
    </w:rPr>
  </w:style>
  <w:style w:type="paragraph" w:styleId="Footer">
    <w:name w:val="footer"/>
    <w:basedOn w:val="Normal"/>
    <w:link w:val="FooterChar"/>
    <w:uiPriority w:val="99"/>
    <w:semiHidden/>
    <w:rsid w:val="0093482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4826"/>
    <w:rPr>
      <w:rFonts w:eastAsia="Calibri" w:cs="Times New Roman"/>
      <w:lang w:val="en-GB"/>
    </w:rPr>
  </w:style>
  <w:style w:type="paragraph" w:styleId="Title">
    <w:name w:val="Title"/>
    <w:basedOn w:val="Normal"/>
    <w:next w:val="Normal"/>
    <w:link w:val="TitleChar"/>
    <w:uiPriority w:val="10"/>
    <w:qFormat/>
    <w:rsid w:val="0093482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934826"/>
    <w:rPr>
      <w:rFonts w:ascii="Cambria" w:eastAsia="Times New Roman" w:hAnsi="Cambria" w:cs="Times New Roman"/>
      <w:b/>
      <w:i/>
      <w:color w:val="000000"/>
      <w:spacing w:val="5"/>
      <w:kern w:val="28"/>
      <w:sz w:val="24"/>
      <w:szCs w:val="52"/>
      <w:lang w:val="en-GB"/>
    </w:rPr>
  </w:style>
  <w:style w:type="paragraph" w:styleId="ListParagraph">
    <w:name w:val="List Paragraph"/>
    <w:basedOn w:val="Normal"/>
    <w:uiPriority w:val="34"/>
    <w:unhideWhenUsed/>
    <w:qFormat/>
    <w:rsid w:val="00934826"/>
    <w:pPr>
      <w:spacing w:after="240"/>
      <w:ind w:left="720"/>
      <w:contextualSpacing/>
    </w:pPr>
    <w:rPr>
      <w:rFonts w:ascii="Calibri" w:eastAsia="Times New Roman" w:hAnsi="Calibri"/>
      <w:color w:val="000000"/>
      <w:sz w:val="21"/>
      <w:szCs w:val="21"/>
      <w:lang w:eastAsia="zh-CN"/>
    </w:rPr>
  </w:style>
  <w:style w:type="character" w:styleId="CommentReference">
    <w:name w:val="annotation reference"/>
    <w:basedOn w:val="DefaultParagraphFont"/>
    <w:uiPriority w:val="99"/>
    <w:semiHidden/>
    <w:unhideWhenUsed/>
    <w:rsid w:val="00934826"/>
    <w:rPr>
      <w:sz w:val="16"/>
      <w:szCs w:val="16"/>
    </w:rPr>
  </w:style>
  <w:style w:type="paragraph" w:styleId="CommentText">
    <w:name w:val="annotation text"/>
    <w:basedOn w:val="Normal"/>
    <w:link w:val="CommentTextChar"/>
    <w:uiPriority w:val="99"/>
    <w:unhideWhenUsed/>
    <w:rsid w:val="00934826"/>
    <w:pPr>
      <w:spacing w:line="240" w:lineRule="auto"/>
    </w:pPr>
    <w:rPr>
      <w:szCs w:val="20"/>
    </w:rPr>
  </w:style>
  <w:style w:type="character" w:customStyle="1" w:styleId="CommentTextChar">
    <w:name w:val="Comment Text Char"/>
    <w:basedOn w:val="DefaultParagraphFont"/>
    <w:link w:val="CommentText"/>
    <w:uiPriority w:val="99"/>
    <w:rsid w:val="00934826"/>
    <w:rPr>
      <w:rFonts w:eastAsia="Calibri" w:cs="Times New Roman"/>
      <w:szCs w:val="20"/>
      <w:lang w:val="en-GB"/>
    </w:rPr>
  </w:style>
  <w:style w:type="paragraph" w:styleId="BalloonText">
    <w:name w:val="Balloon Text"/>
    <w:basedOn w:val="Normal"/>
    <w:link w:val="BalloonTextChar"/>
    <w:uiPriority w:val="99"/>
    <w:semiHidden/>
    <w:unhideWhenUsed/>
    <w:rsid w:val="00F265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2E"/>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2652E"/>
    <w:rPr>
      <w:b/>
      <w:bCs/>
    </w:rPr>
  </w:style>
  <w:style w:type="character" w:customStyle="1" w:styleId="CommentSubjectChar">
    <w:name w:val="Comment Subject Char"/>
    <w:basedOn w:val="CommentTextChar"/>
    <w:link w:val="CommentSubject"/>
    <w:uiPriority w:val="99"/>
    <w:semiHidden/>
    <w:rsid w:val="00F2652E"/>
    <w:rPr>
      <w:rFonts w:eastAsia="Calibri" w:cs="Times New Roman"/>
      <w:b/>
      <w:bCs/>
      <w:szCs w:val="20"/>
      <w:lang w:val="en-GB"/>
    </w:rPr>
  </w:style>
  <w:style w:type="paragraph" w:styleId="Revision">
    <w:name w:val="Revision"/>
    <w:hidden/>
    <w:uiPriority w:val="99"/>
    <w:semiHidden/>
    <w:rsid w:val="005A659C"/>
    <w:pPr>
      <w:spacing w:after="0" w:line="240" w:lineRule="auto"/>
    </w:pPr>
    <w:rPr>
      <w:rFonts w:eastAsia="Calibri" w:cs="Times New Roman"/>
      <w:lang w:val="en-GB"/>
    </w:rPr>
  </w:style>
  <w:style w:type="character" w:styleId="Hyperlink">
    <w:name w:val="Hyperlink"/>
    <w:basedOn w:val="DefaultParagraphFont"/>
    <w:uiPriority w:val="99"/>
    <w:unhideWhenUsed/>
    <w:rsid w:val="00412FB5"/>
    <w:rPr>
      <w:color w:val="0000FF" w:themeColor="hyperlink"/>
      <w:u w:val="single"/>
    </w:rPr>
  </w:style>
  <w:style w:type="character" w:customStyle="1" w:styleId="left">
    <w:name w:val="left"/>
    <w:basedOn w:val="DefaultParagraphFont"/>
    <w:rsid w:val="00453296"/>
  </w:style>
  <w:style w:type="paragraph" w:styleId="NormalWeb">
    <w:name w:val="Normal (Web)"/>
    <w:basedOn w:val="Normal"/>
    <w:uiPriority w:val="99"/>
    <w:unhideWhenUsed/>
    <w:rsid w:val="00AF770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F7705"/>
    <w:rPr>
      <w:b/>
      <w:bCs/>
    </w:rPr>
  </w:style>
  <w:style w:type="character" w:customStyle="1" w:styleId="apple-converted-space">
    <w:name w:val="apple-converted-space"/>
    <w:basedOn w:val="DefaultParagraphFont"/>
    <w:rsid w:val="00AF7705"/>
  </w:style>
  <w:style w:type="character" w:styleId="Emphasis">
    <w:name w:val="Emphasis"/>
    <w:basedOn w:val="DefaultParagraphFont"/>
    <w:uiPriority w:val="20"/>
    <w:qFormat/>
    <w:rsid w:val="009D3B88"/>
    <w:rPr>
      <w:i/>
      <w:iCs/>
    </w:rPr>
  </w:style>
  <w:style w:type="table" w:styleId="TableGrid">
    <w:name w:val="Table Grid"/>
    <w:basedOn w:val="TableNormal"/>
    <w:uiPriority w:val="59"/>
    <w:rsid w:val="002369EF"/>
    <w:pPr>
      <w:spacing w:after="0" w:line="240" w:lineRule="auto"/>
    </w:pPr>
    <w:rPr>
      <w:rFonts w:ascii="Calibri" w:eastAsiaTheme="minorEastAsia" w:hAnsi="Calibri"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D2A80"/>
    <w:rPr>
      <w:i/>
      <w:iCs/>
    </w:rPr>
  </w:style>
  <w:style w:type="paragraph" w:styleId="BodyText">
    <w:name w:val="Body Text"/>
    <w:basedOn w:val="Normal"/>
    <w:link w:val="BodyTextChar"/>
    <w:qFormat/>
    <w:rsid w:val="00A40DB7"/>
    <w:pPr>
      <w:spacing w:after="240"/>
    </w:pPr>
    <w:rPr>
      <w:rFonts w:eastAsiaTheme="minorHAnsi" w:cstheme="minorBidi"/>
      <w:szCs w:val="20"/>
    </w:rPr>
  </w:style>
  <w:style w:type="character" w:customStyle="1" w:styleId="BodyTextChar">
    <w:name w:val="Body Text Char"/>
    <w:basedOn w:val="DefaultParagraphFont"/>
    <w:link w:val="BodyText"/>
    <w:rsid w:val="00A40DB7"/>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329">
      <w:bodyDiv w:val="1"/>
      <w:marLeft w:val="0"/>
      <w:marRight w:val="0"/>
      <w:marTop w:val="0"/>
      <w:marBottom w:val="0"/>
      <w:divBdr>
        <w:top w:val="none" w:sz="0" w:space="0" w:color="auto"/>
        <w:left w:val="none" w:sz="0" w:space="0" w:color="auto"/>
        <w:bottom w:val="none" w:sz="0" w:space="0" w:color="auto"/>
        <w:right w:val="none" w:sz="0" w:space="0" w:color="auto"/>
      </w:divBdr>
    </w:div>
    <w:div w:id="240994614">
      <w:bodyDiv w:val="1"/>
      <w:marLeft w:val="0"/>
      <w:marRight w:val="0"/>
      <w:marTop w:val="0"/>
      <w:marBottom w:val="0"/>
      <w:divBdr>
        <w:top w:val="none" w:sz="0" w:space="0" w:color="auto"/>
        <w:left w:val="none" w:sz="0" w:space="0" w:color="auto"/>
        <w:bottom w:val="none" w:sz="0" w:space="0" w:color="auto"/>
        <w:right w:val="none" w:sz="0" w:space="0" w:color="auto"/>
      </w:divBdr>
    </w:div>
    <w:div w:id="381295868">
      <w:bodyDiv w:val="1"/>
      <w:marLeft w:val="0"/>
      <w:marRight w:val="0"/>
      <w:marTop w:val="0"/>
      <w:marBottom w:val="0"/>
      <w:divBdr>
        <w:top w:val="none" w:sz="0" w:space="0" w:color="auto"/>
        <w:left w:val="none" w:sz="0" w:space="0" w:color="auto"/>
        <w:bottom w:val="none" w:sz="0" w:space="0" w:color="auto"/>
        <w:right w:val="none" w:sz="0" w:space="0" w:color="auto"/>
      </w:divBdr>
      <w:divsChild>
        <w:div w:id="103306954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sChild>
    </w:div>
    <w:div w:id="535393644">
      <w:bodyDiv w:val="1"/>
      <w:marLeft w:val="0"/>
      <w:marRight w:val="0"/>
      <w:marTop w:val="0"/>
      <w:marBottom w:val="0"/>
      <w:divBdr>
        <w:top w:val="none" w:sz="0" w:space="0" w:color="auto"/>
        <w:left w:val="none" w:sz="0" w:space="0" w:color="auto"/>
        <w:bottom w:val="none" w:sz="0" w:space="0" w:color="auto"/>
        <w:right w:val="none" w:sz="0" w:space="0" w:color="auto"/>
      </w:divBdr>
    </w:div>
    <w:div w:id="613290033">
      <w:bodyDiv w:val="1"/>
      <w:marLeft w:val="0"/>
      <w:marRight w:val="0"/>
      <w:marTop w:val="0"/>
      <w:marBottom w:val="0"/>
      <w:divBdr>
        <w:top w:val="none" w:sz="0" w:space="0" w:color="auto"/>
        <w:left w:val="none" w:sz="0" w:space="0" w:color="auto"/>
        <w:bottom w:val="none" w:sz="0" w:space="0" w:color="auto"/>
        <w:right w:val="none" w:sz="0" w:space="0" w:color="auto"/>
      </w:divBdr>
    </w:div>
    <w:div w:id="1105617966">
      <w:bodyDiv w:val="1"/>
      <w:marLeft w:val="0"/>
      <w:marRight w:val="0"/>
      <w:marTop w:val="0"/>
      <w:marBottom w:val="0"/>
      <w:divBdr>
        <w:top w:val="none" w:sz="0" w:space="0" w:color="auto"/>
        <w:left w:val="none" w:sz="0" w:space="0" w:color="auto"/>
        <w:bottom w:val="none" w:sz="0" w:space="0" w:color="auto"/>
        <w:right w:val="none" w:sz="0" w:space="0" w:color="auto"/>
      </w:divBdr>
      <w:divsChild>
        <w:div w:id="1333490681">
          <w:marLeft w:val="0"/>
          <w:marRight w:val="0"/>
          <w:marTop w:val="0"/>
          <w:marBottom w:val="0"/>
          <w:divBdr>
            <w:top w:val="none" w:sz="0" w:space="0" w:color="auto"/>
            <w:left w:val="none" w:sz="0" w:space="0" w:color="auto"/>
            <w:bottom w:val="none" w:sz="0" w:space="0" w:color="auto"/>
            <w:right w:val="none" w:sz="0" w:space="0" w:color="auto"/>
          </w:divBdr>
          <w:divsChild>
            <w:div w:id="738752876">
              <w:marLeft w:val="0"/>
              <w:marRight w:val="0"/>
              <w:marTop w:val="0"/>
              <w:marBottom w:val="0"/>
              <w:divBdr>
                <w:top w:val="none" w:sz="0" w:space="0" w:color="auto"/>
                <w:left w:val="none" w:sz="0" w:space="0" w:color="auto"/>
                <w:bottom w:val="none" w:sz="0" w:space="0" w:color="auto"/>
                <w:right w:val="none" w:sz="0" w:space="0" w:color="auto"/>
              </w:divBdr>
              <w:divsChild>
                <w:div w:id="1019743160">
                  <w:marLeft w:val="0"/>
                  <w:marRight w:val="0"/>
                  <w:marTop w:val="0"/>
                  <w:marBottom w:val="0"/>
                  <w:divBdr>
                    <w:top w:val="none" w:sz="0" w:space="0" w:color="auto"/>
                    <w:left w:val="none" w:sz="0" w:space="0" w:color="auto"/>
                    <w:bottom w:val="none" w:sz="0" w:space="0" w:color="auto"/>
                    <w:right w:val="none" w:sz="0" w:space="0" w:color="auto"/>
                  </w:divBdr>
                  <w:divsChild>
                    <w:div w:id="880480535">
                      <w:marLeft w:val="0"/>
                      <w:marRight w:val="0"/>
                      <w:marTop w:val="0"/>
                      <w:marBottom w:val="0"/>
                      <w:divBdr>
                        <w:top w:val="none" w:sz="0" w:space="0" w:color="auto"/>
                        <w:left w:val="none" w:sz="0" w:space="0" w:color="auto"/>
                        <w:bottom w:val="none" w:sz="0" w:space="0" w:color="auto"/>
                        <w:right w:val="none" w:sz="0" w:space="0" w:color="auto"/>
                      </w:divBdr>
                      <w:divsChild>
                        <w:div w:id="1823810489">
                          <w:marLeft w:val="0"/>
                          <w:marRight w:val="0"/>
                          <w:marTop w:val="0"/>
                          <w:marBottom w:val="0"/>
                          <w:divBdr>
                            <w:top w:val="none" w:sz="0" w:space="0" w:color="auto"/>
                            <w:left w:val="none" w:sz="0" w:space="0" w:color="auto"/>
                            <w:bottom w:val="none" w:sz="0" w:space="0" w:color="auto"/>
                            <w:right w:val="none" w:sz="0" w:space="0" w:color="auto"/>
                          </w:divBdr>
                          <w:divsChild>
                            <w:div w:id="1270158073">
                              <w:marLeft w:val="0"/>
                              <w:marRight w:val="0"/>
                              <w:marTop w:val="0"/>
                              <w:marBottom w:val="0"/>
                              <w:divBdr>
                                <w:top w:val="none" w:sz="0" w:space="0" w:color="auto"/>
                                <w:left w:val="none" w:sz="0" w:space="0" w:color="auto"/>
                                <w:bottom w:val="none" w:sz="0" w:space="0" w:color="auto"/>
                                <w:right w:val="none" w:sz="0" w:space="0" w:color="auto"/>
                              </w:divBdr>
                              <w:divsChild>
                                <w:div w:id="1552963976">
                                  <w:marLeft w:val="0"/>
                                  <w:marRight w:val="0"/>
                                  <w:marTop w:val="0"/>
                                  <w:marBottom w:val="0"/>
                                  <w:divBdr>
                                    <w:top w:val="none" w:sz="0" w:space="0" w:color="auto"/>
                                    <w:left w:val="none" w:sz="0" w:space="0" w:color="auto"/>
                                    <w:bottom w:val="none" w:sz="0" w:space="0" w:color="auto"/>
                                    <w:right w:val="none" w:sz="0" w:space="0" w:color="auto"/>
                                  </w:divBdr>
                                  <w:divsChild>
                                    <w:div w:id="1331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1656">
                          <w:marLeft w:val="0"/>
                          <w:marRight w:val="0"/>
                          <w:marTop w:val="0"/>
                          <w:marBottom w:val="0"/>
                          <w:divBdr>
                            <w:top w:val="none" w:sz="0" w:space="0" w:color="auto"/>
                            <w:left w:val="none" w:sz="0" w:space="0" w:color="auto"/>
                            <w:bottom w:val="none" w:sz="0" w:space="0" w:color="auto"/>
                            <w:right w:val="none" w:sz="0" w:space="0" w:color="auto"/>
                          </w:divBdr>
                          <w:divsChild>
                            <w:div w:id="1801872558">
                              <w:marLeft w:val="0"/>
                              <w:marRight w:val="0"/>
                              <w:marTop w:val="0"/>
                              <w:marBottom w:val="0"/>
                              <w:divBdr>
                                <w:top w:val="none" w:sz="0" w:space="0" w:color="auto"/>
                                <w:left w:val="none" w:sz="0" w:space="0" w:color="auto"/>
                                <w:bottom w:val="none" w:sz="0" w:space="0" w:color="auto"/>
                                <w:right w:val="none" w:sz="0" w:space="0" w:color="auto"/>
                              </w:divBdr>
                              <w:divsChild>
                                <w:div w:id="1579703882">
                                  <w:marLeft w:val="0"/>
                                  <w:marRight w:val="0"/>
                                  <w:marTop w:val="0"/>
                                  <w:marBottom w:val="0"/>
                                  <w:divBdr>
                                    <w:top w:val="none" w:sz="0" w:space="0" w:color="auto"/>
                                    <w:left w:val="none" w:sz="0" w:space="0" w:color="auto"/>
                                    <w:bottom w:val="none" w:sz="0" w:space="0" w:color="auto"/>
                                    <w:right w:val="none" w:sz="0" w:space="0" w:color="auto"/>
                                  </w:divBdr>
                                  <w:divsChild>
                                    <w:div w:id="19867416">
                                      <w:marLeft w:val="0"/>
                                      <w:marRight w:val="0"/>
                                      <w:marTop w:val="0"/>
                                      <w:marBottom w:val="0"/>
                                      <w:divBdr>
                                        <w:top w:val="none" w:sz="0" w:space="0" w:color="auto"/>
                                        <w:left w:val="none" w:sz="0" w:space="0" w:color="auto"/>
                                        <w:bottom w:val="none" w:sz="0" w:space="0" w:color="auto"/>
                                        <w:right w:val="none" w:sz="0" w:space="0" w:color="auto"/>
                                      </w:divBdr>
                                      <w:divsChild>
                                        <w:div w:id="21010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998535">
      <w:bodyDiv w:val="1"/>
      <w:marLeft w:val="0"/>
      <w:marRight w:val="0"/>
      <w:marTop w:val="0"/>
      <w:marBottom w:val="0"/>
      <w:divBdr>
        <w:top w:val="none" w:sz="0" w:space="0" w:color="auto"/>
        <w:left w:val="none" w:sz="0" w:space="0" w:color="auto"/>
        <w:bottom w:val="none" w:sz="0" w:space="0" w:color="auto"/>
        <w:right w:val="none" w:sz="0" w:space="0" w:color="auto"/>
      </w:divBdr>
    </w:div>
    <w:div w:id="1679766479">
      <w:bodyDiv w:val="1"/>
      <w:marLeft w:val="0"/>
      <w:marRight w:val="0"/>
      <w:marTop w:val="0"/>
      <w:marBottom w:val="0"/>
      <w:divBdr>
        <w:top w:val="none" w:sz="0" w:space="0" w:color="auto"/>
        <w:left w:val="none" w:sz="0" w:space="0" w:color="auto"/>
        <w:bottom w:val="none" w:sz="0" w:space="0" w:color="auto"/>
        <w:right w:val="none" w:sz="0" w:space="0" w:color="auto"/>
      </w:divBdr>
    </w:div>
    <w:div w:id="1915816408">
      <w:bodyDiv w:val="1"/>
      <w:marLeft w:val="0"/>
      <w:marRight w:val="0"/>
      <w:marTop w:val="0"/>
      <w:marBottom w:val="0"/>
      <w:divBdr>
        <w:top w:val="none" w:sz="0" w:space="0" w:color="auto"/>
        <w:left w:val="none" w:sz="0" w:space="0" w:color="auto"/>
        <w:bottom w:val="none" w:sz="0" w:space="0" w:color="auto"/>
        <w:right w:val="none" w:sz="0" w:space="0" w:color="auto"/>
      </w:divBdr>
    </w:div>
    <w:div w:id="1930889988">
      <w:bodyDiv w:val="1"/>
      <w:marLeft w:val="0"/>
      <w:marRight w:val="0"/>
      <w:marTop w:val="0"/>
      <w:marBottom w:val="0"/>
      <w:divBdr>
        <w:top w:val="none" w:sz="0" w:space="0" w:color="auto"/>
        <w:left w:val="none" w:sz="0" w:space="0" w:color="auto"/>
        <w:bottom w:val="none" w:sz="0" w:space="0" w:color="auto"/>
        <w:right w:val="none" w:sz="0" w:space="0" w:color="auto"/>
      </w:divBdr>
      <w:divsChild>
        <w:div w:id="389811687">
          <w:marLeft w:val="0"/>
          <w:marRight w:val="0"/>
          <w:marTop w:val="0"/>
          <w:marBottom w:val="0"/>
          <w:divBdr>
            <w:top w:val="none" w:sz="0" w:space="0" w:color="auto"/>
            <w:left w:val="none" w:sz="0" w:space="0" w:color="auto"/>
            <w:bottom w:val="none" w:sz="0" w:space="0" w:color="auto"/>
            <w:right w:val="none" w:sz="0" w:space="0" w:color="auto"/>
          </w:divBdr>
          <w:divsChild>
            <w:div w:id="1397629786">
              <w:marLeft w:val="0"/>
              <w:marRight w:val="0"/>
              <w:marTop w:val="0"/>
              <w:marBottom w:val="0"/>
              <w:divBdr>
                <w:top w:val="none" w:sz="0" w:space="0" w:color="auto"/>
                <w:left w:val="none" w:sz="0" w:space="0" w:color="auto"/>
                <w:bottom w:val="none" w:sz="0" w:space="0" w:color="auto"/>
                <w:right w:val="none" w:sz="0" w:space="0" w:color="auto"/>
              </w:divBdr>
            </w:div>
            <w:div w:id="1321153138">
              <w:marLeft w:val="0"/>
              <w:marRight w:val="0"/>
              <w:marTop w:val="0"/>
              <w:marBottom w:val="0"/>
              <w:divBdr>
                <w:top w:val="none" w:sz="0" w:space="0" w:color="auto"/>
                <w:left w:val="none" w:sz="0" w:space="0" w:color="auto"/>
                <w:bottom w:val="none" w:sz="0" w:space="0" w:color="auto"/>
                <w:right w:val="none" w:sz="0" w:space="0" w:color="auto"/>
              </w:divBdr>
            </w:div>
            <w:div w:id="1133018552">
              <w:marLeft w:val="0"/>
              <w:marRight w:val="0"/>
              <w:marTop w:val="0"/>
              <w:marBottom w:val="0"/>
              <w:divBdr>
                <w:top w:val="none" w:sz="0" w:space="0" w:color="auto"/>
                <w:left w:val="none" w:sz="0" w:space="0" w:color="auto"/>
                <w:bottom w:val="none" w:sz="0" w:space="0" w:color="auto"/>
                <w:right w:val="none" w:sz="0" w:space="0" w:color="auto"/>
              </w:divBdr>
              <w:divsChild>
                <w:div w:id="2056004128">
                  <w:marLeft w:val="0"/>
                  <w:marRight w:val="0"/>
                  <w:marTop w:val="0"/>
                  <w:marBottom w:val="0"/>
                  <w:divBdr>
                    <w:top w:val="none" w:sz="0" w:space="0" w:color="auto"/>
                    <w:left w:val="none" w:sz="0" w:space="0" w:color="auto"/>
                    <w:bottom w:val="none" w:sz="0" w:space="0" w:color="auto"/>
                    <w:right w:val="none" w:sz="0" w:space="0" w:color="auto"/>
                  </w:divBdr>
                  <w:divsChild>
                    <w:div w:id="1954357977">
                      <w:marLeft w:val="0"/>
                      <w:marRight w:val="0"/>
                      <w:marTop w:val="0"/>
                      <w:marBottom w:val="0"/>
                      <w:divBdr>
                        <w:top w:val="none" w:sz="0" w:space="0" w:color="auto"/>
                        <w:left w:val="none" w:sz="0" w:space="0" w:color="auto"/>
                        <w:bottom w:val="none" w:sz="0" w:space="0" w:color="auto"/>
                        <w:right w:val="none" w:sz="0" w:space="0" w:color="auto"/>
                      </w:divBdr>
                      <w:divsChild>
                        <w:div w:id="1928228341">
                          <w:marLeft w:val="0"/>
                          <w:marRight w:val="0"/>
                          <w:marTop w:val="0"/>
                          <w:marBottom w:val="0"/>
                          <w:divBdr>
                            <w:top w:val="none" w:sz="0" w:space="0" w:color="auto"/>
                            <w:left w:val="none" w:sz="0" w:space="0" w:color="auto"/>
                            <w:bottom w:val="none" w:sz="0" w:space="0" w:color="auto"/>
                            <w:right w:val="none" w:sz="0" w:space="0" w:color="auto"/>
                          </w:divBdr>
                          <w:divsChild>
                            <w:div w:id="1410150137">
                              <w:marLeft w:val="0"/>
                              <w:marRight w:val="0"/>
                              <w:marTop w:val="0"/>
                              <w:marBottom w:val="0"/>
                              <w:divBdr>
                                <w:top w:val="none" w:sz="0" w:space="0" w:color="auto"/>
                                <w:left w:val="none" w:sz="0" w:space="0" w:color="auto"/>
                                <w:bottom w:val="none" w:sz="0" w:space="0" w:color="auto"/>
                                <w:right w:val="none" w:sz="0" w:space="0" w:color="auto"/>
                              </w:divBdr>
                            </w:div>
                            <w:div w:id="487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4494">
      <w:bodyDiv w:val="1"/>
      <w:marLeft w:val="0"/>
      <w:marRight w:val="0"/>
      <w:marTop w:val="0"/>
      <w:marBottom w:val="0"/>
      <w:divBdr>
        <w:top w:val="none" w:sz="0" w:space="0" w:color="auto"/>
        <w:left w:val="none" w:sz="0" w:space="0" w:color="auto"/>
        <w:bottom w:val="none" w:sz="0" w:space="0" w:color="auto"/>
        <w:right w:val="none" w:sz="0" w:space="0" w:color="auto"/>
      </w:divBdr>
    </w:div>
    <w:div w:id="2130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ceosurvey"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struct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wc.com" TargetMode="External"/><Relationship Id="rId4" Type="http://schemas.openxmlformats.org/officeDocument/2006/relationships/settings" Target="settings.xml"/><Relationship Id="rId9" Type="http://schemas.openxmlformats.org/officeDocument/2006/relationships/hyperlink" Target="http://www.pwc.com/ceosurve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717F-CF65-420F-98D8-78276AED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PricewaterhouseCoopers</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J Mearley</dc:creator>
  <cp:keywords/>
  <dc:description/>
  <cp:lastModifiedBy>Blankenspoor, Joost</cp:lastModifiedBy>
  <cp:revision>3</cp:revision>
  <cp:lastPrinted>2017-05-08T04:12:00Z</cp:lastPrinted>
  <dcterms:created xsi:type="dcterms:W3CDTF">2018-03-19T08:46:00Z</dcterms:created>
  <dcterms:modified xsi:type="dcterms:W3CDTF">2018-03-20T13:08:00Z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ies>
</file>