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30B9" w14:textId="77777777" w:rsidR="00934826" w:rsidRPr="005C1639" w:rsidRDefault="00F00A04" w:rsidP="00934826">
      <w:pPr>
        <w:pStyle w:val="Title"/>
        <w:spacing w:after="0"/>
        <w:rPr>
          <w:rFonts w:asciiTheme="majorHAnsi" w:hAnsiTheme="majorHAnsi"/>
          <w:szCs w:val="20"/>
        </w:rPr>
      </w:pPr>
      <w:r w:rsidRPr="005C1639">
        <w:rPr>
          <w:rFonts w:asciiTheme="majorHAnsi" w:hAnsiTheme="majorHAnsi"/>
          <w:szCs w:val="20"/>
        </w:rPr>
        <w:br/>
      </w:r>
      <w:r w:rsidR="00934826" w:rsidRPr="005C1639">
        <w:rPr>
          <w:rFonts w:asciiTheme="majorHAnsi" w:hAnsiTheme="majorHAnsi"/>
          <w:szCs w:val="20"/>
        </w:rPr>
        <w:t>News release</w:t>
      </w:r>
    </w:p>
    <w:p w14:paraId="1808E740" w14:textId="77777777" w:rsidR="00934826" w:rsidRPr="005C1639" w:rsidRDefault="008507E3" w:rsidP="00934826">
      <w:pPr>
        <w:rPr>
          <w:rFonts w:asciiTheme="majorHAnsi" w:hAnsiTheme="majorHAnsi"/>
          <w:szCs w:val="20"/>
        </w:rPr>
      </w:pPr>
      <w:r w:rsidRPr="005C1639">
        <w:rPr>
          <w:rFonts w:asciiTheme="majorHAnsi" w:hAnsiTheme="majorHAnsi"/>
          <w:szCs w:val="20"/>
        </w:rPr>
        <w:tab/>
      </w:r>
      <w:r w:rsidRPr="005C1639">
        <w:rPr>
          <w:rFonts w:asciiTheme="majorHAnsi" w:hAnsiTheme="majorHAnsi"/>
          <w:szCs w:val="20"/>
        </w:rPr>
        <w:tab/>
      </w:r>
      <w:r w:rsidRPr="005C1639">
        <w:rPr>
          <w:rFonts w:asciiTheme="majorHAnsi" w:hAnsiTheme="majorHAnsi"/>
          <w:szCs w:val="20"/>
        </w:rPr>
        <w:tab/>
      </w:r>
    </w:p>
    <w:tbl>
      <w:tblPr>
        <w:tblW w:w="14252" w:type="dxa"/>
        <w:tblLayout w:type="fixed"/>
        <w:tblLook w:val="0000" w:firstRow="0" w:lastRow="0" w:firstColumn="0" w:lastColumn="0" w:noHBand="0" w:noVBand="0"/>
      </w:tblPr>
      <w:tblGrid>
        <w:gridCol w:w="2268"/>
        <w:gridCol w:w="6102"/>
        <w:gridCol w:w="5882"/>
      </w:tblGrid>
      <w:tr w:rsidR="00934826" w:rsidRPr="005C1639" w14:paraId="24076F9C" w14:textId="77777777" w:rsidTr="00F00A04">
        <w:trPr>
          <w:gridAfter w:val="1"/>
          <w:wAfter w:w="5882" w:type="dxa"/>
        </w:trPr>
        <w:tc>
          <w:tcPr>
            <w:tcW w:w="2268" w:type="dxa"/>
          </w:tcPr>
          <w:p w14:paraId="289C4503" w14:textId="77777777" w:rsidR="00934826" w:rsidRPr="001A64C4" w:rsidRDefault="00934826" w:rsidP="00F00A04">
            <w:pPr>
              <w:spacing w:line="240" w:lineRule="auto"/>
              <w:ind w:left="-108"/>
              <w:rPr>
                <w:rFonts w:asciiTheme="majorHAnsi" w:hAnsiTheme="majorHAnsi"/>
                <w:i/>
                <w:szCs w:val="20"/>
              </w:rPr>
            </w:pPr>
            <w:r w:rsidRPr="001A64C4">
              <w:rPr>
                <w:rFonts w:asciiTheme="majorHAnsi" w:hAnsiTheme="majorHAnsi"/>
                <w:i/>
                <w:szCs w:val="20"/>
              </w:rPr>
              <w:t>Date</w:t>
            </w:r>
          </w:p>
        </w:tc>
        <w:tc>
          <w:tcPr>
            <w:tcW w:w="6102" w:type="dxa"/>
          </w:tcPr>
          <w:p w14:paraId="0E1057DD" w14:textId="7D27DF12" w:rsidR="00934826" w:rsidRPr="005C1639" w:rsidRDefault="008507E3" w:rsidP="00E55D73">
            <w:pPr>
              <w:spacing w:line="240" w:lineRule="auto"/>
              <w:rPr>
                <w:rFonts w:asciiTheme="majorHAnsi" w:hAnsiTheme="majorHAnsi"/>
                <w:b/>
                <w:sz w:val="22"/>
              </w:rPr>
            </w:pPr>
            <w:r w:rsidRPr="005C1639">
              <w:rPr>
                <w:rFonts w:asciiTheme="majorHAnsi" w:hAnsiTheme="majorHAnsi"/>
                <w:b/>
                <w:sz w:val="22"/>
                <w:szCs w:val="20"/>
              </w:rPr>
              <w:t xml:space="preserve">UNDER EMBARGO: 00:01am </w:t>
            </w:r>
            <w:r w:rsidR="00F814CD">
              <w:rPr>
                <w:rFonts w:asciiTheme="majorHAnsi" w:hAnsiTheme="majorHAnsi"/>
                <w:b/>
                <w:sz w:val="22"/>
                <w:szCs w:val="20"/>
              </w:rPr>
              <w:t>GMT</w:t>
            </w:r>
            <w:r w:rsidR="00D44681">
              <w:rPr>
                <w:rFonts w:asciiTheme="majorHAnsi" w:hAnsiTheme="majorHAnsi"/>
                <w:b/>
                <w:sz w:val="22"/>
                <w:szCs w:val="20"/>
              </w:rPr>
              <w:t xml:space="preserve"> on</w:t>
            </w:r>
            <w:r w:rsidR="00330EC2">
              <w:rPr>
                <w:rFonts w:asciiTheme="majorHAnsi" w:hAnsiTheme="majorHAnsi"/>
                <w:b/>
                <w:sz w:val="22"/>
                <w:szCs w:val="20"/>
              </w:rPr>
              <w:t xml:space="preserve"> Tues</w:t>
            </w:r>
            <w:r w:rsidR="0001160A">
              <w:rPr>
                <w:rFonts w:asciiTheme="majorHAnsi" w:hAnsiTheme="majorHAnsi"/>
                <w:b/>
                <w:sz w:val="22"/>
                <w:szCs w:val="20"/>
              </w:rPr>
              <w:t>day</w:t>
            </w:r>
            <w:r w:rsidR="00D44681">
              <w:rPr>
                <w:rFonts w:asciiTheme="majorHAnsi" w:hAnsiTheme="majorHAnsi"/>
                <w:b/>
                <w:sz w:val="22"/>
                <w:szCs w:val="20"/>
              </w:rPr>
              <w:t xml:space="preserve"> </w:t>
            </w:r>
            <w:r w:rsidR="00E55D73">
              <w:rPr>
                <w:rFonts w:asciiTheme="majorHAnsi" w:hAnsiTheme="majorHAnsi"/>
                <w:b/>
                <w:sz w:val="22"/>
                <w:szCs w:val="20"/>
              </w:rPr>
              <w:t xml:space="preserve">13 </w:t>
            </w:r>
            <w:r w:rsidR="00330EC2">
              <w:rPr>
                <w:rFonts w:asciiTheme="majorHAnsi" w:hAnsiTheme="majorHAnsi"/>
                <w:b/>
                <w:sz w:val="22"/>
                <w:szCs w:val="20"/>
              </w:rPr>
              <w:t>March 2018</w:t>
            </w:r>
          </w:p>
        </w:tc>
      </w:tr>
      <w:tr w:rsidR="00934826" w:rsidRPr="005C1639" w14:paraId="44E68712" w14:textId="77777777" w:rsidTr="00F00A04">
        <w:tc>
          <w:tcPr>
            <w:tcW w:w="2268" w:type="dxa"/>
          </w:tcPr>
          <w:p w14:paraId="4C518199" w14:textId="77777777" w:rsidR="00934826" w:rsidRPr="005C1639" w:rsidRDefault="00934826" w:rsidP="000354F3">
            <w:pPr>
              <w:spacing w:line="240" w:lineRule="auto"/>
              <w:rPr>
                <w:rFonts w:asciiTheme="majorHAnsi" w:hAnsiTheme="majorHAnsi"/>
                <w:i/>
                <w:sz w:val="22"/>
              </w:rPr>
            </w:pPr>
          </w:p>
        </w:tc>
        <w:tc>
          <w:tcPr>
            <w:tcW w:w="6102" w:type="dxa"/>
          </w:tcPr>
          <w:p w14:paraId="6DE5A0D2" w14:textId="77777777" w:rsidR="00934826" w:rsidRPr="005C1639" w:rsidRDefault="00934826" w:rsidP="000354F3">
            <w:pPr>
              <w:rPr>
                <w:rFonts w:asciiTheme="majorHAnsi" w:hAnsiTheme="majorHAnsi"/>
                <w:b/>
                <w:color w:val="000000" w:themeColor="text1"/>
                <w:sz w:val="22"/>
              </w:rPr>
            </w:pPr>
          </w:p>
        </w:tc>
        <w:tc>
          <w:tcPr>
            <w:tcW w:w="5882" w:type="dxa"/>
          </w:tcPr>
          <w:p w14:paraId="1D579B1E" w14:textId="77777777" w:rsidR="00934826" w:rsidRPr="005C1639" w:rsidRDefault="00934826" w:rsidP="000354F3">
            <w:pPr>
              <w:spacing w:line="240" w:lineRule="auto"/>
              <w:rPr>
                <w:rFonts w:asciiTheme="majorHAnsi" w:hAnsiTheme="majorHAnsi"/>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5882"/>
      </w:tblGrid>
      <w:tr w:rsidR="00934826" w:rsidRPr="005C1639" w14:paraId="527B94E7" w14:textId="77777777" w:rsidTr="000354F3">
        <w:trPr>
          <w:trHeight w:val="821"/>
        </w:trPr>
        <w:tc>
          <w:tcPr>
            <w:tcW w:w="2268" w:type="dxa"/>
            <w:shd w:val="clear" w:color="auto" w:fill="auto"/>
          </w:tcPr>
          <w:p w14:paraId="5AD887B7"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Contact</w:t>
            </w:r>
            <w:r w:rsidR="001A64C4">
              <w:rPr>
                <w:rFonts w:asciiTheme="majorHAnsi" w:hAnsiTheme="majorHAnsi"/>
                <w:i/>
                <w:szCs w:val="20"/>
              </w:rPr>
              <w:t>s</w:t>
            </w:r>
          </w:p>
        </w:tc>
        <w:tc>
          <w:tcPr>
            <w:tcW w:w="5882" w:type="dxa"/>
            <w:shd w:val="clear" w:color="auto" w:fill="auto"/>
          </w:tcPr>
          <w:tbl>
            <w:tblPr>
              <w:tblpPr w:leftFromText="180" w:rightFromText="180" w:vertAnchor="text" w:tblpY="1"/>
              <w:tblOverlap w:val="never"/>
              <w:tblW w:w="10440" w:type="dxa"/>
              <w:tblLayout w:type="fixed"/>
              <w:tblLook w:val="0000" w:firstRow="0" w:lastRow="0" w:firstColumn="0" w:lastColumn="0" w:noHBand="0" w:noVBand="0"/>
            </w:tblPr>
            <w:tblGrid>
              <w:gridCol w:w="5220"/>
              <w:gridCol w:w="5220"/>
            </w:tblGrid>
            <w:tr w:rsidR="00F00A04" w:rsidRPr="005C1639" w14:paraId="7B72802D" w14:textId="77777777" w:rsidTr="00F00A04">
              <w:tc>
                <w:tcPr>
                  <w:tcW w:w="5220" w:type="dxa"/>
                </w:tcPr>
                <w:p w14:paraId="3FDB70F1" w14:textId="77777777" w:rsidR="008507E3" w:rsidRPr="005C1639" w:rsidRDefault="008507E3" w:rsidP="00A40DB7">
                  <w:pPr>
                    <w:tabs>
                      <w:tab w:val="left" w:pos="1440"/>
                    </w:tabs>
                    <w:rPr>
                      <w:rFonts w:asciiTheme="majorHAnsi" w:hAnsiTheme="majorHAnsi" w:cs="Arial"/>
                      <w:bCs/>
                      <w:color w:val="000000"/>
                      <w:szCs w:val="20"/>
                      <w:lang w:val="it-IT"/>
                    </w:rPr>
                  </w:pPr>
                  <w:r w:rsidRPr="005C1639">
                    <w:rPr>
                      <w:rFonts w:asciiTheme="majorHAnsi" w:hAnsiTheme="majorHAnsi" w:cs="Arial"/>
                      <w:bCs/>
                      <w:color w:val="000000"/>
                      <w:szCs w:val="20"/>
                      <w:lang w:val="it-IT"/>
                    </w:rPr>
                    <w:t>Joost Blankenspoor, PwC</w:t>
                  </w:r>
                </w:p>
                <w:p w14:paraId="608891E2" w14:textId="77777777" w:rsidR="008507E3"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Tel: +31 88 792 6596</w:t>
                  </w:r>
                </w:p>
                <w:p w14:paraId="72517E1D" w14:textId="77777777" w:rsidR="008507E3" w:rsidRPr="005C1639" w:rsidRDefault="00A40DB7" w:rsidP="00F00A04">
                  <w:pPr>
                    <w:tabs>
                      <w:tab w:val="left" w:pos="1440"/>
                    </w:tabs>
                    <w:ind w:left="1440" w:hanging="1440"/>
                    <w:rPr>
                      <w:rFonts w:asciiTheme="majorHAnsi" w:hAnsiTheme="majorHAnsi" w:cs="Arial"/>
                      <w:bCs/>
                      <w:color w:val="000000"/>
                      <w:szCs w:val="20"/>
                      <w:lang w:val="it-IT"/>
                    </w:rPr>
                  </w:pPr>
                  <w:r>
                    <w:rPr>
                      <w:rFonts w:asciiTheme="majorHAnsi" w:hAnsiTheme="majorHAnsi" w:cs="Arial"/>
                      <w:bCs/>
                      <w:color w:val="000000"/>
                      <w:szCs w:val="20"/>
                      <w:lang w:val="it-IT"/>
                    </w:rPr>
                    <w:t>Email: joost.blankenspoor@</w:t>
                  </w:r>
                  <w:r w:rsidR="008507E3" w:rsidRPr="005C1639">
                    <w:rPr>
                      <w:rFonts w:asciiTheme="majorHAnsi" w:hAnsiTheme="majorHAnsi" w:cs="Arial"/>
                      <w:bCs/>
                      <w:color w:val="000000"/>
                      <w:szCs w:val="20"/>
                      <w:lang w:val="it-IT"/>
                    </w:rPr>
                    <w:t>pwc.com</w:t>
                  </w:r>
                </w:p>
                <w:p w14:paraId="3B6017C5" w14:textId="77777777" w:rsidR="00F00A04" w:rsidRPr="005C1639" w:rsidRDefault="00F00A04" w:rsidP="00F00A04">
                  <w:pPr>
                    <w:pStyle w:val="Header"/>
                    <w:tabs>
                      <w:tab w:val="left" w:pos="1440"/>
                    </w:tabs>
                    <w:rPr>
                      <w:rFonts w:asciiTheme="majorHAnsi" w:hAnsiTheme="majorHAnsi"/>
                      <w:szCs w:val="20"/>
                      <w:lang w:val="it-IT"/>
                    </w:rPr>
                  </w:pPr>
                </w:p>
              </w:tc>
              <w:tc>
                <w:tcPr>
                  <w:tcW w:w="5220" w:type="dxa"/>
                  <w:shd w:val="clear" w:color="auto" w:fill="auto"/>
                </w:tcPr>
                <w:p w14:paraId="707CB682" w14:textId="77777777" w:rsidR="00F00A04" w:rsidRPr="005C1639" w:rsidRDefault="00F00A04" w:rsidP="00F00A04">
                  <w:pPr>
                    <w:rPr>
                      <w:rFonts w:asciiTheme="majorHAnsi" w:hAnsiTheme="majorHAnsi"/>
                      <w:i/>
                      <w:szCs w:val="20"/>
                    </w:rPr>
                  </w:pPr>
                </w:p>
              </w:tc>
            </w:tr>
          </w:tbl>
          <w:p w14:paraId="72AC2E5D" w14:textId="77777777" w:rsidR="00934826" w:rsidRPr="005C1639" w:rsidRDefault="00934826" w:rsidP="000354F3">
            <w:pPr>
              <w:rPr>
                <w:rFonts w:asciiTheme="majorHAnsi" w:hAnsiTheme="majorHAnsi"/>
                <w:lang w:val="pt-PT"/>
              </w:rPr>
            </w:pPr>
          </w:p>
        </w:tc>
      </w:tr>
      <w:tr w:rsidR="00934826" w:rsidRPr="005C1639" w14:paraId="44ACA599" w14:textId="77777777" w:rsidTr="001A64C4">
        <w:trPr>
          <w:trHeight w:val="1070"/>
        </w:trPr>
        <w:tc>
          <w:tcPr>
            <w:tcW w:w="2268" w:type="dxa"/>
            <w:shd w:val="clear" w:color="auto" w:fill="auto"/>
          </w:tcPr>
          <w:p w14:paraId="6A0C4A24" w14:textId="77777777" w:rsidR="008507E3" w:rsidRPr="005C1639" w:rsidRDefault="008507E3" w:rsidP="00F00A04">
            <w:pPr>
              <w:ind w:left="-108"/>
              <w:rPr>
                <w:rFonts w:asciiTheme="majorHAnsi" w:hAnsiTheme="majorHAnsi"/>
                <w:i/>
                <w:szCs w:val="20"/>
              </w:rPr>
            </w:pPr>
          </w:p>
          <w:p w14:paraId="74853A51" w14:textId="77777777" w:rsidR="008507E3" w:rsidRPr="005C1639" w:rsidRDefault="008507E3" w:rsidP="00F00A04">
            <w:pPr>
              <w:ind w:left="-108"/>
              <w:rPr>
                <w:rFonts w:asciiTheme="majorHAnsi" w:hAnsiTheme="majorHAnsi"/>
                <w:i/>
                <w:szCs w:val="20"/>
              </w:rPr>
            </w:pPr>
          </w:p>
          <w:p w14:paraId="361B1D34" w14:textId="77777777" w:rsidR="008507E3" w:rsidRPr="005C1639" w:rsidRDefault="008507E3" w:rsidP="00F00A04">
            <w:pPr>
              <w:ind w:left="-108"/>
              <w:rPr>
                <w:rFonts w:asciiTheme="majorHAnsi" w:hAnsiTheme="majorHAnsi"/>
                <w:i/>
                <w:szCs w:val="20"/>
              </w:rPr>
            </w:pPr>
          </w:p>
          <w:p w14:paraId="493C1D65"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 xml:space="preserve">Pages </w:t>
            </w:r>
          </w:p>
        </w:tc>
        <w:tc>
          <w:tcPr>
            <w:tcW w:w="5882" w:type="dxa"/>
            <w:shd w:val="clear" w:color="auto" w:fill="auto"/>
          </w:tcPr>
          <w:p w14:paraId="22408CCD" w14:textId="241FDA70" w:rsidR="00FD6C7F" w:rsidRPr="005C1639" w:rsidRDefault="00FD6C7F" w:rsidP="00FD6C7F">
            <w:pPr>
              <w:rPr>
                <w:rFonts w:asciiTheme="majorHAnsi" w:hAnsiTheme="majorHAnsi"/>
                <w:color w:val="000000" w:themeColor="text1"/>
                <w:szCs w:val="20"/>
              </w:rPr>
            </w:pPr>
            <w:r w:rsidRPr="005C1639">
              <w:rPr>
                <w:rFonts w:asciiTheme="majorHAnsi" w:hAnsiTheme="majorHAnsi"/>
                <w:color w:val="000000" w:themeColor="text1"/>
                <w:szCs w:val="20"/>
              </w:rPr>
              <w:t xml:space="preserve">More details: </w:t>
            </w:r>
            <w:hyperlink r:id="rId8" w:history="1">
              <w:r w:rsidR="00330EC2" w:rsidRPr="006A6173">
                <w:rPr>
                  <w:rStyle w:val="Hyperlink"/>
                  <w:rFonts w:asciiTheme="majorHAnsi" w:hAnsiTheme="majorHAnsi"/>
                  <w:color w:val="00B0F0"/>
                  <w:szCs w:val="20"/>
                  <w:u w:val="none"/>
                </w:rPr>
                <w:t>www.pwc.com/ceosurvey</w:t>
              </w:r>
            </w:hyperlink>
            <w:r w:rsidR="0066766D" w:rsidRPr="006A6173">
              <w:rPr>
                <w:rFonts w:asciiTheme="majorHAnsi" w:hAnsiTheme="majorHAnsi"/>
                <w:color w:val="00B0F0"/>
                <w:szCs w:val="20"/>
              </w:rPr>
              <w:t xml:space="preserve"> </w:t>
            </w:r>
          </w:p>
          <w:p w14:paraId="21665789" w14:textId="77777777" w:rsidR="00FD6C7F" w:rsidRPr="005C1639" w:rsidRDefault="0066766D" w:rsidP="00FD6C7F">
            <w:pPr>
              <w:ind w:right="-90"/>
              <w:rPr>
                <w:rFonts w:asciiTheme="majorHAnsi" w:hAnsiTheme="majorHAnsi"/>
                <w:color w:val="000000" w:themeColor="text1"/>
                <w:szCs w:val="20"/>
              </w:rPr>
            </w:pPr>
            <w:r>
              <w:rPr>
                <w:rFonts w:asciiTheme="majorHAnsi" w:hAnsiTheme="majorHAnsi"/>
                <w:color w:val="000000" w:themeColor="text1"/>
                <w:szCs w:val="20"/>
              </w:rPr>
              <w:t>Follow/retweet: @PwC</w:t>
            </w:r>
          </w:p>
          <w:p w14:paraId="6E38EC0C" w14:textId="77777777" w:rsidR="00934826" w:rsidRPr="005C1639" w:rsidRDefault="00934826" w:rsidP="0039030D">
            <w:pPr>
              <w:rPr>
                <w:rFonts w:asciiTheme="majorHAnsi" w:hAnsiTheme="majorHAnsi"/>
                <w:szCs w:val="20"/>
              </w:rPr>
            </w:pPr>
          </w:p>
          <w:p w14:paraId="18C47AED" w14:textId="1EB7512C" w:rsidR="008507E3" w:rsidRPr="005C1639" w:rsidRDefault="0001160A" w:rsidP="0039030D">
            <w:pPr>
              <w:rPr>
                <w:rFonts w:asciiTheme="majorHAnsi" w:hAnsiTheme="majorHAnsi"/>
                <w:szCs w:val="20"/>
              </w:rPr>
            </w:pPr>
            <w:r>
              <w:rPr>
                <w:rFonts w:asciiTheme="majorHAnsi" w:hAnsiTheme="majorHAnsi"/>
                <w:szCs w:val="20"/>
              </w:rPr>
              <w:t>3</w:t>
            </w:r>
          </w:p>
        </w:tc>
      </w:tr>
    </w:tbl>
    <w:p w14:paraId="2E59ADB5" w14:textId="77777777" w:rsidR="008507E3" w:rsidRPr="00A40DB7" w:rsidRDefault="00A40DB7" w:rsidP="00A40DB7">
      <w:pPr>
        <w:spacing w:line="240" w:lineRule="auto"/>
        <w:jc w:val="center"/>
        <w:rPr>
          <w:rFonts w:asciiTheme="majorHAnsi" w:hAnsiTheme="majorHAnsi" w:cs="Arial"/>
          <w:szCs w:val="20"/>
          <w:lang w:val="en"/>
        </w:rPr>
      </w:pPr>
      <w:r w:rsidRPr="001A64C4">
        <w:rPr>
          <w:noProof/>
          <w:lang w:val="en-US"/>
        </w:rPr>
        <mc:AlternateContent>
          <mc:Choice Requires="wps">
            <w:drawing>
              <wp:anchor distT="4294967293" distB="4294967293" distL="114300" distR="114300" simplePos="0" relativeHeight="251659264" behindDoc="0" locked="0" layoutInCell="1" allowOverlap="1" wp14:anchorId="19366085" wp14:editId="5621A0A9">
                <wp:simplePos x="0" y="0"/>
                <wp:positionH relativeFrom="margin">
                  <wp:align>center</wp:align>
                </wp:positionH>
                <wp:positionV relativeFrom="page">
                  <wp:posOffset>3788019</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12700">
                          <a:solidFill>
                            <a:schemeClr val="tx2"/>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25F9CE" id="Line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page;mso-height-relative:page" from="0,298.25pt" to="455.0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" strokecolor="#dc6900 [3215]" strokeweight="1pt">
                <w10:wrap anchorx="margin" anchory="page"/>
              </v:line>
            </w:pict>
          </mc:Fallback>
        </mc:AlternateContent>
      </w:r>
      <w:r w:rsidR="00934826" w:rsidRPr="005C1639">
        <w:rPr>
          <w:rFonts w:asciiTheme="majorHAnsi" w:hAnsiTheme="majorHAnsi" w:cs="Arial"/>
          <w:b/>
          <w:i/>
          <w:iCs/>
          <w:szCs w:val="20"/>
        </w:rPr>
        <w:br w:type="textWrapping" w:clear="all"/>
      </w:r>
    </w:p>
    <w:p w14:paraId="4169CB66" w14:textId="77777777" w:rsidR="00A40DB7" w:rsidRDefault="00A40DB7" w:rsidP="00A40DB7">
      <w:pPr>
        <w:jc w:val="center"/>
        <w:rPr>
          <w:b/>
          <w:sz w:val="28"/>
          <w:szCs w:val="28"/>
          <w:lang w:val="en-US"/>
        </w:rPr>
      </w:pPr>
    </w:p>
    <w:p w14:paraId="5D840327" w14:textId="2CA3A6CC" w:rsidR="00330EC2" w:rsidRPr="00330EC2" w:rsidRDefault="00330EC2" w:rsidP="00330EC2">
      <w:pPr>
        <w:pStyle w:val="BodyText"/>
        <w:jc w:val="center"/>
        <w:rPr>
          <w:b/>
          <w:sz w:val="28"/>
          <w:szCs w:val="28"/>
          <w:lang w:val="en-US"/>
        </w:rPr>
      </w:pPr>
      <w:r w:rsidRPr="00330EC2">
        <w:rPr>
          <w:b/>
          <w:sz w:val="28"/>
          <w:szCs w:val="28"/>
          <w:lang w:val="en-US"/>
        </w:rPr>
        <w:t>Asset and Wealth Management CEOs very optimistic about growth</w:t>
      </w:r>
      <w:r>
        <w:rPr>
          <w:b/>
          <w:sz w:val="28"/>
          <w:szCs w:val="28"/>
          <w:lang w:val="en-US"/>
        </w:rPr>
        <w:t xml:space="preserve"> </w:t>
      </w:r>
      <w:r w:rsidRPr="00330EC2">
        <w:rPr>
          <w:b/>
          <w:sz w:val="28"/>
          <w:szCs w:val="28"/>
          <w:lang w:val="en-US"/>
        </w:rPr>
        <w:t>but aware of looming disruption</w:t>
      </w:r>
    </w:p>
    <w:p w14:paraId="2C79C483" w14:textId="59E63768" w:rsidR="00330EC2" w:rsidRDefault="00330EC2" w:rsidP="00330EC2">
      <w:pPr>
        <w:pStyle w:val="BodyText"/>
        <w:rPr>
          <w:lang w:val="en-US"/>
        </w:rPr>
      </w:pPr>
      <w:r>
        <w:rPr>
          <w:lang w:val="en-US"/>
        </w:rPr>
        <w:t xml:space="preserve">Asset and Wealth Management (AWM) CEOs </w:t>
      </w:r>
      <w:r w:rsidRPr="00C76525">
        <w:rPr>
          <w:lang w:val="en-US"/>
        </w:rPr>
        <w:t xml:space="preserve">remain </w:t>
      </w:r>
      <w:r>
        <w:rPr>
          <w:lang w:val="en-US"/>
        </w:rPr>
        <w:t>very confident about their compan</w:t>
      </w:r>
      <w:r w:rsidR="007752D2">
        <w:rPr>
          <w:lang w:val="en-US"/>
        </w:rPr>
        <w:t>ies</w:t>
      </w:r>
      <w:r w:rsidR="002A3B2D">
        <w:rPr>
          <w:lang w:val="en-US"/>
        </w:rPr>
        <w:t>’</w:t>
      </w:r>
      <w:r>
        <w:rPr>
          <w:lang w:val="en-US"/>
        </w:rPr>
        <w:t xml:space="preserve"> growth prospects in 2018</w:t>
      </w:r>
      <w:r w:rsidRPr="00C76525">
        <w:rPr>
          <w:lang w:val="en-US"/>
        </w:rPr>
        <w:t xml:space="preserve">, but </w:t>
      </w:r>
      <w:r>
        <w:rPr>
          <w:lang w:val="en-US"/>
        </w:rPr>
        <w:t xml:space="preserve">they are also aware that </w:t>
      </w:r>
      <w:r w:rsidRPr="00C76525">
        <w:rPr>
          <w:lang w:val="en-US"/>
        </w:rPr>
        <w:t xml:space="preserve">forces of regulation, technology and changing consumer </w:t>
      </w:r>
      <w:proofErr w:type="spellStart"/>
      <w:r w:rsidRPr="00C76525">
        <w:rPr>
          <w:lang w:val="en-US"/>
        </w:rPr>
        <w:t>behaviour</w:t>
      </w:r>
      <w:proofErr w:type="spellEnd"/>
      <w:r w:rsidRPr="00C76525">
        <w:rPr>
          <w:lang w:val="en-US"/>
        </w:rPr>
        <w:t xml:space="preserve"> </w:t>
      </w:r>
      <w:r>
        <w:rPr>
          <w:lang w:val="en-US"/>
        </w:rPr>
        <w:t>are ushering in</w:t>
      </w:r>
      <w:r w:rsidRPr="00C76525">
        <w:rPr>
          <w:lang w:val="en-US"/>
        </w:rPr>
        <w:t xml:space="preserve"> a period of disruption.</w:t>
      </w:r>
    </w:p>
    <w:p w14:paraId="5674AB28" w14:textId="7A1B1C4D" w:rsidR="00330EC2" w:rsidRDefault="00330EC2" w:rsidP="00330EC2">
      <w:pPr>
        <w:pStyle w:val="BodyText"/>
        <w:rPr>
          <w:lang w:val="en-US"/>
        </w:rPr>
      </w:pPr>
      <w:r>
        <w:rPr>
          <w:lang w:val="en-US"/>
        </w:rPr>
        <w:t>That’s the main conclusion</w:t>
      </w:r>
      <w:r w:rsidRPr="007F7EB3">
        <w:rPr>
          <w:lang w:val="en-US"/>
        </w:rPr>
        <w:t xml:space="preserve"> from the report ‘</w:t>
      </w:r>
      <w:r>
        <w:rPr>
          <w:lang w:val="en-US"/>
        </w:rPr>
        <w:t>Optimistic CEOs, bu</w:t>
      </w:r>
      <w:r w:rsidR="004C5214">
        <w:rPr>
          <w:lang w:val="en-US"/>
        </w:rPr>
        <w:t>oyant growth, d</w:t>
      </w:r>
      <w:bookmarkStart w:id="0" w:name="_GoBack"/>
      <w:bookmarkEnd w:id="0"/>
      <w:r>
        <w:rPr>
          <w:lang w:val="en-US"/>
        </w:rPr>
        <w:t>isruption ahead’, which is part of PwC’s 21</w:t>
      </w:r>
      <w:r w:rsidRPr="007F7EB3">
        <w:rPr>
          <w:lang w:val="en-US"/>
        </w:rPr>
        <w:t>th Global Survey</w:t>
      </w:r>
      <w:r>
        <w:rPr>
          <w:lang w:val="en-US"/>
        </w:rPr>
        <w:t xml:space="preserve"> and questions</w:t>
      </w:r>
      <w:r w:rsidRPr="00EF4E40">
        <w:rPr>
          <w:lang w:val="en-US"/>
        </w:rPr>
        <w:t xml:space="preserve"> 126 </w:t>
      </w:r>
      <w:r>
        <w:rPr>
          <w:lang w:val="en-US"/>
        </w:rPr>
        <w:t xml:space="preserve">of the AWM </w:t>
      </w:r>
      <w:r w:rsidRPr="00EF4E40">
        <w:rPr>
          <w:lang w:val="en-US"/>
        </w:rPr>
        <w:t>sector’s CEOs</w:t>
      </w:r>
      <w:r>
        <w:rPr>
          <w:lang w:val="en-US"/>
        </w:rPr>
        <w:t xml:space="preserve"> about </w:t>
      </w:r>
      <w:r w:rsidRPr="007F7EB3">
        <w:rPr>
          <w:lang w:val="en-US"/>
        </w:rPr>
        <w:t>the threats and opportuni</w:t>
      </w:r>
      <w:r>
        <w:rPr>
          <w:lang w:val="en-US"/>
        </w:rPr>
        <w:t>ties facing their companies</w:t>
      </w:r>
      <w:r w:rsidRPr="007F7EB3">
        <w:rPr>
          <w:lang w:val="en-US"/>
        </w:rPr>
        <w:t>.</w:t>
      </w:r>
    </w:p>
    <w:p w14:paraId="54D70801" w14:textId="77777777" w:rsidR="00330EC2" w:rsidRPr="007F7EB3" w:rsidRDefault="00330EC2" w:rsidP="00330EC2">
      <w:pPr>
        <w:pStyle w:val="BodyText"/>
        <w:rPr>
          <w:b/>
          <w:lang w:val="en-US"/>
        </w:rPr>
      </w:pPr>
      <w:r w:rsidRPr="007F7EB3">
        <w:rPr>
          <w:b/>
          <w:lang w:val="en-US"/>
        </w:rPr>
        <w:t>Key findings</w:t>
      </w:r>
    </w:p>
    <w:p w14:paraId="585AEC79" w14:textId="77777777" w:rsidR="00330EC2" w:rsidRDefault="00330EC2" w:rsidP="00330EC2">
      <w:pPr>
        <w:pStyle w:val="BodyText"/>
        <w:numPr>
          <w:ilvl w:val="0"/>
          <w:numId w:val="23"/>
        </w:numPr>
        <w:rPr>
          <w:lang w:val="en-US"/>
        </w:rPr>
      </w:pPr>
      <w:r w:rsidRPr="00B16CD3">
        <w:rPr>
          <w:lang w:val="en-US"/>
        </w:rPr>
        <w:t xml:space="preserve">87% of </w:t>
      </w:r>
      <w:r>
        <w:rPr>
          <w:lang w:val="en-US"/>
        </w:rPr>
        <w:t xml:space="preserve">AWM </w:t>
      </w:r>
      <w:r w:rsidRPr="00B16CD3">
        <w:rPr>
          <w:lang w:val="en-US"/>
        </w:rPr>
        <w:t xml:space="preserve">CEOs </w:t>
      </w:r>
      <w:r>
        <w:rPr>
          <w:lang w:val="en-US"/>
        </w:rPr>
        <w:t xml:space="preserve">are confident about </w:t>
      </w:r>
      <w:r w:rsidRPr="00B16CD3">
        <w:rPr>
          <w:lang w:val="en-US"/>
        </w:rPr>
        <w:t xml:space="preserve">revenue </w:t>
      </w:r>
      <w:r>
        <w:rPr>
          <w:lang w:val="en-US"/>
        </w:rPr>
        <w:t>growth in</w:t>
      </w:r>
      <w:r w:rsidRPr="00B16CD3">
        <w:rPr>
          <w:lang w:val="en-US"/>
        </w:rPr>
        <w:t xml:space="preserve"> 2018 – slightly lower than in 2017 when 92% were this optimistic</w:t>
      </w:r>
    </w:p>
    <w:p w14:paraId="332EBD31" w14:textId="22485988" w:rsidR="00330EC2" w:rsidRDefault="00C93DDC" w:rsidP="00330EC2">
      <w:pPr>
        <w:pStyle w:val="BodyText"/>
        <w:numPr>
          <w:ilvl w:val="0"/>
          <w:numId w:val="23"/>
        </w:numPr>
        <w:rPr>
          <w:lang w:val="en-US"/>
        </w:rPr>
      </w:pPr>
      <w:r>
        <w:rPr>
          <w:lang w:val="en-US"/>
        </w:rPr>
        <w:t>79</w:t>
      </w:r>
      <w:r w:rsidR="00330EC2" w:rsidRPr="00B16CD3">
        <w:rPr>
          <w:lang w:val="en-US"/>
        </w:rPr>
        <w:t xml:space="preserve">% </w:t>
      </w:r>
      <w:r w:rsidR="00330EC2">
        <w:rPr>
          <w:lang w:val="en-US"/>
        </w:rPr>
        <w:t xml:space="preserve">of AWM CEOs </w:t>
      </w:r>
      <w:r w:rsidR="00330EC2" w:rsidRPr="00B16CD3">
        <w:rPr>
          <w:lang w:val="en-US"/>
        </w:rPr>
        <w:t>are gearing up for organic growth in the year ahead</w:t>
      </w:r>
      <w:r w:rsidR="00330EC2">
        <w:rPr>
          <w:lang w:val="en-US"/>
        </w:rPr>
        <w:t xml:space="preserve">, compared with 76% in 2017. </w:t>
      </w:r>
      <w:r w:rsidR="00330EC2" w:rsidRPr="00B16CD3">
        <w:rPr>
          <w:lang w:val="en-US"/>
        </w:rPr>
        <w:t>To prepare for this</w:t>
      </w:r>
      <w:r w:rsidR="00330EC2">
        <w:rPr>
          <w:lang w:val="en-US"/>
        </w:rPr>
        <w:t>, 57% intend to increase headcount</w:t>
      </w:r>
    </w:p>
    <w:p w14:paraId="231CD579" w14:textId="58FD66AE" w:rsidR="00330EC2" w:rsidRDefault="00330EC2" w:rsidP="00330EC2">
      <w:pPr>
        <w:pStyle w:val="BodyText"/>
        <w:numPr>
          <w:ilvl w:val="0"/>
          <w:numId w:val="23"/>
        </w:numPr>
        <w:rPr>
          <w:lang w:val="en-US"/>
        </w:rPr>
      </w:pPr>
      <w:r>
        <w:rPr>
          <w:lang w:val="en-US"/>
        </w:rPr>
        <w:t xml:space="preserve">AWM </w:t>
      </w:r>
      <w:r w:rsidRPr="006B6047">
        <w:rPr>
          <w:lang w:val="en-US"/>
        </w:rPr>
        <w:t>CEOs</w:t>
      </w:r>
      <w:r>
        <w:rPr>
          <w:lang w:val="en-US"/>
        </w:rPr>
        <w:t xml:space="preserve"> 3</w:t>
      </w:r>
      <w:r w:rsidRPr="006B6047">
        <w:rPr>
          <w:lang w:val="en-US"/>
        </w:rPr>
        <w:t xml:space="preserve"> biggest concerns</w:t>
      </w:r>
      <w:r>
        <w:rPr>
          <w:lang w:val="en-US"/>
        </w:rPr>
        <w:t xml:space="preserve"> are </w:t>
      </w:r>
      <w:r w:rsidR="00A36D88">
        <w:rPr>
          <w:lang w:val="en-US"/>
        </w:rPr>
        <w:t>over-</w:t>
      </w:r>
      <w:r>
        <w:rPr>
          <w:lang w:val="en-US"/>
        </w:rPr>
        <w:t xml:space="preserve">regulation (83%), </w:t>
      </w:r>
      <w:r w:rsidR="00A36D88" w:rsidRPr="00CE75BA">
        <w:rPr>
          <w:lang w:val="en-US"/>
        </w:rPr>
        <w:t>geopolitical uncertainty</w:t>
      </w:r>
      <w:r w:rsidR="00A36D88">
        <w:rPr>
          <w:lang w:val="en-US"/>
        </w:rPr>
        <w:t xml:space="preserve"> (80%) and tax changes (77%)</w:t>
      </w:r>
    </w:p>
    <w:p w14:paraId="2436402D" w14:textId="7FE41A2C" w:rsidR="00330EC2" w:rsidRDefault="00330EC2" w:rsidP="00330EC2">
      <w:pPr>
        <w:pStyle w:val="BodyText"/>
        <w:numPr>
          <w:ilvl w:val="0"/>
          <w:numId w:val="23"/>
        </w:numPr>
        <w:rPr>
          <w:lang w:val="en-US"/>
        </w:rPr>
      </w:pPr>
      <w:r w:rsidRPr="007F7EB3">
        <w:rPr>
          <w:lang w:val="en-US"/>
        </w:rPr>
        <w:t>With fees under intense pressure in the largest markets of the US and Europe especially,</w:t>
      </w:r>
      <w:r>
        <w:rPr>
          <w:lang w:val="en-US"/>
        </w:rPr>
        <w:t xml:space="preserve"> </w:t>
      </w:r>
      <w:r w:rsidR="00C93DDC">
        <w:rPr>
          <w:lang w:val="en-US"/>
        </w:rPr>
        <w:t>39</w:t>
      </w:r>
      <w:r>
        <w:rPr>
          <w:lang w:val="en-US"/>
        </w:rPr>
        <w:t>% of AWM CEOs intend to cut costs</w:t>
      </w:r>
    </w:p>
    <w:p w14:paraId="5048C12F" w14:textId="77777777" w:rsidR="00330EC2" w:rsidRDefault="00330EC2" w:rsidP="00330EC2">
      <w:pPr>
        <w:pStyle w:val="BodyText"/>
        <w:numPr>
          <w:ilvl w:val="0"/>
          <w:numId w:val="23"/>
        </w:numPr>
        <w:rPr>
          <w:lang w:val="en-US"/>
        </w:rPr>
      </w:pPr>
      <w:r w:rsidRPr="00D714FA">
        <w:rPr>
          <w:lang w:val="en-US"/>
        </w:rPr>
        <w:t xml:space="preserve">Almost three quarters (73%) </w:t>
      </w:r>
      <w:r>
        <w:rPr>
          <w:lang w:val="en-US"/>
        </w:rPr>
        <w:t xml:space="preserve">of AWM CEOs </w:t>
      </w:r>
      <w:r w:rsidRPr="00D714FA">
        <w:rPr>
          <w:lang w:val="en-US"/>
        </w:rPr>
        <w:t>are ‘somewhat or extremely concerne</w:t>
      </w:r>
      <w:r>
        <w:rPr>
          <w:lang w:val="en-US"/>
        </w:rPr>
        <w:t>d’ about cyber security threats</w:t>
      </w:r>
    </w:p>
    <w:p w14:paraId="122802D1" w14:textId="77777777" w:rsidR="00330EC2" w:rsidRPr="00B16CD3" w:rsidRDefault="00330EC2" w:rsidP="00330EC2">
      <w:pPr>
        <w:pStyle w:val="BodyText"/>
        <w:numPr>
          <w:ilvl w:val="0"/>
          <w:numId w:val="23"/>
        </w:numPr>
        <w:rPr>
          <w:lang w:val="en-US"/>
        </w:rPr>
      </w:pPr>
      <w:r>
        <w:rPr>
          <w:lang w:val="en-US"/>
        </w:rPr>
        <w:t xml:space="preserve">While </w:t>
      </w:r>
      <w:r w:rsidRPr="0066141D">
        <w:rPr>
          <w:lang w:val="en-US"/>
        </w:rPr>
        <w:t xml:space="preserve">70% of </w:t>
      </w:r>
      <w:r>
        <w:rPr>
          <w:lang w:val="en-US"/>
        </w:rPr>
        <w:t xml:space="preserve">AWM CEOs believe </w:t>
      </w:r>
      <w:r w:rsidRPr="0066141D">
        <w:rPr>
          <w:lang w:val="en-US"/>
        </w:rPr>
        <w:t>changes in core technologies will prove ‘disruptive or very disrup</w:t>
      </w:r>
      <w:r>
        <w:rPr>
          <w:lang w:val="en-US"/>
        </w:rPr>
        <w:t>tive’ over the next 5 years, j</w:t>
      </w:r>
      <w:r w:rsidRPr="00CE75BA">
        <w:rPr>
          <w:lang w:val="en-US"/>
        </w:rPr>
        <w:t xml:space="preserve">ust 38% believe that robotics and </w:t>
      </w:r>
      <w:r>
        <w:rPr>
          <w:lang w:val="en-US"/>
        </w:rPr>
        <w:t>AI</w:t>
      </w:r>
      <w:r w:rsidRPr="00CE75BA">
        <w:rPr>
          <w:lang w:val="en-US"/>
        </w:rPr>
        <w:t xml:space="preserve"> can </w:t>
      </w:r>
      <w:r>
        <w:rPr>
          <w:lang w:val="en-US"/>
        </w:rPr>
        <w:t>improve the consumer experience</w:t>
      </w:r>
    </w:p>
    <w:p w14:paraId="2400BE21" w14:textId="4E96C4D4" w:rsidR="00330EC2" w:rsidRDefault="00330EC2" w:rsidP="00330EC2">
      <w:pPr>
        <w:pStyle w:val="BodyText"/>
        <w:rPr>
          <w:lang w:val="en-US"/>
        </w:rPr>
      </w:pPr>
      <w:r>
        <w:rPr>
          <w:lang w:val="en-US"/>
        </w:rPr>
        <w:t xml:space="preserve">Although </w:t>
      </w:r>
      <w:r w:rsidRPr="00C76525">
        <w:rPr>
          <w:lang w:val="en-US"/>
        </w:rPr>
        <w:t>A</w:t>
      </w:r>
      <w:r>
        <w:rPr>
          <w:lang w:val="en-US"/>
        </w:rPr>
        <w:t xml:space="preserve">ssets </w:t>
      </w:r>
      <w:r w:rsidRPr="00C76525">
        <w:rPr>
          <w:lang w:val="en-US"/>
        </w:rPr>
        <w:t>u</w:t>
      </w:r>
      <w:r>
        <w:rPr>
          <w:lang w:val="en-US"/>
        </w:rPr>
        <w:t xml:space="preserve">nder </w:t>
      </w:r>
      <w:r w:rsidRPr="00C76525">
        <w:rPr>
          <w:lang w:val="en-US"/>
        </w:rPr>
        <w:t>M</w:t>
      </w:r>
      <w:r>
        <w:rPr>
          <w:lang w:val="en-US"/>
        </w:rPr>
        <w:t>anagement (</w:t>
      </w:r>
      <w:proofErr w:type="spellStart"/>
      <w:r>
        <w:rPr>
          <w:lang w:val="en-US"/>
        </w:rPr>
        <w:t>AuM</w:t>
      </w:r>
      <w:proofErr w:type="spellEnd"/>
      <w:r>
        <w:rPr>
          <w:lang w:val="en-US"/>
        </w:rPr>
        <w:t>)</w:t>
      </w:r>
      <w:r w:rsidRPr="00C76525">
        <w:rPr>
          <w:lang w:val="en-US"/>
        </w:rPr>
        <w:t xml:space="preserve"> will be buoyed by rising asset prices</w:t>
      </w:r>
      <w:r>
        <w:rPr>
          <w:lang w:val="en-US"/>
        </w:rPr>
        <w:t xml:space="preserve"> and PwC estimates</w:t>
      </w:r>
      <w:r w:rsidRPr="00EF4E40">
        <w:rPr>
          <w:lang w:val="en-US"/>
        </w:rPr>
        <w:t xml:space="preserve"> that by 2025 glob</w:t>
      </w:r>
      <w:r>
        <w:rPr>
          <w:lang w:val="en-US"/>
        </w:rPr>
        <w:t xml:space="preserve">al </w:t>
      </w:r>
      <w:proofErr w:type="spellStart"/>
      <w:r>
        <w:rPr>
          <w:lang w:val="en-US"/>
        </w:rPr>
        <w:t>AuM</w:t>
      </w:r>
      <w:proofErr w:type="spellEnd"/>
      <w:r w:rsidRPr="00EF4E40">
        <w:rPr>
          <w:lang w:val="en-US"/>
        </w:rPr>
        <w:t xml:space="preserve"> will have almost doubled – rising from US$84.9 trillion in 20</w:t>
      </w:r>
      <w:r>
        <w:rPr>
          <w:lang w:val="en-US"/>
        </w:rPr>
        <w:t>16 to US$145.4 trillion in 2025 –</w:t>
      </w:r>
      <w:r w:rsidRPr="00BC019F">
        <w:rPr>
          <w:lang w:val="en-US"/>
        </w:rPr>
        <w:t xml:space="preserve"> major changes to fees, products, distribution, regulation, technology and people skills</w:t>
      </w:r>
      <w:r>
        <w:rPr>
          <w:lang w:val="en-US"/>
        </w:rPr>
        <w:t>,</w:t>
      </w:r>
      <w:r w:rsidRPr="00BC019F">
        <w:rPr>
          <w:lang w:val="en-US"/>
        </w:rPr>
        <w:t xml:space="preserve"> </w:t>
      </w:r>
      <w:r>
        <w:rPr>
          <w:lang w:val="en-US"/>
        </w:rPr>
        <w:t>mean it won’t be</w:t>
      </w:r>
      <w:r w:rsidRPr="007F7EB3">
        <w:rPr>
          <w:lang w:val="en-US"/>
        </w:rPr>
        <w:t xml:space="preserve"> business as usual</w:t>
      </w:r>
      <w:r w:rsidR="00A36D88">
        <w:rPr>
          <w:lang w:val="en-US"/>
        </w:rPr>
        <w:t xml:space="preserve"> in the years to come.</w:t>
      </w:r>
    </w:p>
    <w:p w14:paraId="4B8AC64A" w14:textId="77777777" w:rsidR="00330EC2" w:rsidRPr="00CA41ED" w:rsidRDefault="00330EC2" w:rsidP="00330EC2">
      <w:pPr>
        <w:pStyle w:val="BodyText"/>
        <w:rPr>
          <w:b/>
          <w:lang w:val="en-US"/>
        </w:rPr>
      </w:pPr>
      <w:r w:rsidRPr="00CA41ED">
        <w:rPr>
          <w:b/>
          <w:lang w:val="en-US"/>
        </w:rPr>
        <w:lastRenderedPageBreak/>
        <w:t>More organic growth, further consolidation</w:t>
      </w:r>
    </w:p>
    <w:p w14:paraId="25E5D79B" w14:textId="63B54646" w:rsidR="00330EC2" w:rsidRDefault="00330EC2" w:rsidP="00330EC2">
      <w:pPr>
        <w:pStyle w:val="BodyText"/>
        <w:rPr>
          <w:lang w:val="en-US"/>
        </w:rPr>
      </w:pPr>
      <w:r>
        <w:rPr>
          <w:lang w:val="en-US"/>
        </w:rPr>
        <w:t>M</w:t>
      </w:r>
      <w:r w:rsidRPr="004D42CD">
        <w:rPr>
          <w:lang w:val="en-US"/>
        </w:rPr>
        <w:t>ore CEOs are gearing up for organic growth in the yea</w:t>
      </w:r>
      <w:r>
        <w:rPr>
          <w:lang w:val="en-US"/>
        </w:rPr>
        <w:t xml:space="preserve">r ahead. </w:t>
      </w:r>
      <w:r w:rsidR="00643DAD">
        <w:rPr>
          <w:lang w:val="en-US"/>
        </w:rPr>
        <w:t>79</w:t>
      </w:r>
      <w:r w:rsidRPr="004D42CD">
        <w:rPr>
          <w:lang w:val="en-US"/>
        </w:rPr>
        <w:t xml:space="preserve">% of them are </w:t>
      </w:r>
      <w:r>
        <w:rPr>
          <w:lang w:val="en-US"/>
        </w:rPr>
        <w:t xml:space="preserve">planning for this, compared to 76% in 2017. </w:t>
      </w:r>
      <w:r w:rsidRPr="004D42CD">
        <w:rPr>
          <w:lang w:val="en-US"/>
        </w:rPr>
        <w:t xml:space="preserve">To prepare </w:t>
      </w:r>
      <w:r>
        <w:rPr>
          <w:lang w:val="en-US"/>
        </w:rPr>
        <w:t>for this</w:t>
      </w:r>
      <w:r w:rsidRPr="004D42CD">
        <w:rPr>
          <w:lang w:val="en-US"/>
        </w:rPr>
        <w:t>, they’re staffing up, with 57% intending to increase headcount</w:t>
      </w:r>
      <w:r>
        <w:rPr>
          <w:lang w:val="en-US"/>
        </w:rPr>
        <w:t>. Yet m</w:t>
      </w:r>
      <w:r w:rsidRPr="004D42CD">
        <w:rPr>
          <w:lang w:val="en-US"/>
        </w:rPr>
        <w:t xml:space="preserve">ore than </w:t>
      </w:r>
      <w:r w:rsidR="00643DAD">
        <w:rPr>
          <w:lang w:val="en-US"/>
        </w:rPr>
        <w:t>a third</w:t>
      </w:r>
      <w:r w:rsidR="00643DAD" w:rsidRPr="004D42CD">
        <w:rPr>
          <w:lang w:val="en-US"/>
        </w:rPr>
        <w:t xml:space="preserve"> </w:t>
      </w:r>
      <w:r w:rsidRPr="004D42CD">
        <w:rPr>
          <w:lang w:val="en-US"/>
        </w:rPr>
        <w:t>(</w:t>
      </w:r>
      <w:r w:rsidR="00643DAD">
        <w:rPr>
          <w:lang w:val="en-US"/>
        </w:rPr>
        <w:t>39</w:t>
      </w:r>
      <w:r w:rsidRPr="004D42CD">
        <w:rPr>
          <w:lang w:val="en-US"/>
        </w:rPr>
        <w:t>%) also intend to cut costs. With fees under intense pressure in the largest markets of the U</w:t>
      </w:r>
      <w:r>
        <w:rPr>
          <w:lang w:val="en-US"/>
        </w:rPr>
        <w:t>S and Europe especially, they seem to have</w:t>
      </w:r>
      <w:r w:rsidRPr="004D42CD">
        <w:rPr>
          <w:lang w:val="en-US"/>
        </w:rPr>
        <w:t xml:space="preserve"> little choice.</w:t>
      </w:r>
    </w:p>
    <w:p w14:paraId="7D8D1D29" w14:textId="29DD3A99" w:rsidR="00330EC2" w:rsidRDefault="00330EC2" w:rsidP="00330EC2">
      <w:pPr>
        <w:pStyle w:val="BodyText"/>
        <w:rPr>
          <w:lang w:val="en-US"/>
        </w:rPr>
      </w:pPr>
      <w:r w:rsidRPr="004D42CD">
        <w:rPr>
          <w:lang w:val="en-US"/>
        </w:rPr>
        <w:t>CEOs answers reveal that there’ll be further consolidation. More than a third (</w:t>
      </w:r>
      <w:r w:rsidR="0009720F">
        <w:rPr>
          <w:lang w:val="en-US"/>
        </w:rPr>
        <w:t>43</w:t>
      </w:r>
      <w:r w:rsidRPr="004D42CD">
        <w:rPr>
          <w:lang w:val="en-US"/>
        </w:rPr>
        <w:t>%) are planning mergers and acquisitions (M&amp;A) in 2018, while 4</w:t>
      </w:r>
      <w:r w:rsidR="0009720F">
        <w:rPr>
          <w:lang w:val="en-US"/>
        </w:rPr>
        <w:t>8</w:t>
      </w:r>
      <w:r w:rsidRPr="004D42CD">
        <w:rPr>
          <w:lang w:val="en-US"/>
        </w:rPr>
        <w:t xml:space="preserve">% intend to expand capabilities through either strategic alliances or joint ventures. This follows 2017 when M&amp;A in asset management reportedly </w:t>
      </w:r>
      <w:r>
        <w:rPr>
          <w:lang w:val="en-US"/>
        </w:rPr>
        <w:t xml:space="preserve">climbed to an eight-year high. </w:t>
      </w:r>
      <w:r w:rsidRPr="004D42CD">
        <w:rPr>
          <w:lang w:val="en-US"/>
        </w:rPr>
        <w:t>CEOs report varying motivations for M&amp;A, including economies of scale and synergies, entering new markets and the need to offer a more diverse range of products.</w:t>
      </w:r>
    </w:p>
    <w:p w14:paraId="29A4B584" w14:textId="77777777" w:rsidR="00330EC2" w:rsidRDefault="00330EC2" w:rsidP="00330EC2">
      <w:pPr>
        <w:pStyle w:val="BodyText"/>
        <w:rPr>
          <w:lang w:val="en-US"/>
        </w:rPr>
      </w:pPr>
      <w:r w:rsidRPr="004D42CD">
        <w:rPr>
          <w:lang w:val="en-US"/>
        </w:rPr>
        <w:t>Whether through M&amp;A, joint ventures or straightforward expansion, CEOs remain eager to access markets outside their home base. As North America remains the world’s wealthiest region, it’s no surprise that 48% of CEOs regard the US as the most impo</w:t>
      </w:r>
      <w:r>
        <w:rPr>
          <w:lang w:val="en-US"/>
        </w:rPr>
        <w:t xml:space="preserve">rtant market outside their own. </w:t>
      </w:r>
      <w:r w:rsidRPr="004D42CD">
        <w:rPr>
          <w:lang w:val="en-US"/>
        </w:rPr>
        <w:t>But almost as many, 40%, are looking to China.</w:t>
      </w:r>
    </w:p>
    <w:p w14:paraId="2ED45A1A" w14:textId="77777777" w:rsidR="00330EC2" w:rsidRPr="00CA41ED" w:rsidRDefault="00330EC2" w:rsidP="00330EC2">
      <w:pPr>
        <w:pStyle w:val="BodyText"/>
        <w:rPr>
          <w:b/>
          <w:lang w:val="en-US"/>
        </w:rPr>
      </w:pPr>
      <w:r w:rsidRPr="00CA41ED">
        <w:rPr>
          <w:b/>
          <w:lang w:val="en-US"/>
        </w:rPr>
        <w:t>Top threats</w:t>
      </w:r>
    </w:p>
    <w:p w14:paraId="2391666C" w14:textId="77777777" w:rsidR="00330EC2" w:rsidRDefault="00330EC2" w:rsidP="00330EC2">
      <w:pPr>
        <w:pStyle w:val="BodyText"/>
        <w:rPr>
          <w:lang w:val="en-US"/>
        </w:rPr>
      </w:pPr>
      <w:r w:rsidRPr="004D42CD">
        <w:rPr>
          <w:lang w:val="en-US"/>
        </w:rPr>
        <w:t>CEOs are rightly anxious about the many threats they face. Regulation is their greatest worry, with 83% stating that they’re ‘somewhat or extremely concerned’.</w:t>
      </w:r>
      <w:r w:rsidRPr="004D42CD">
        <w:t xml:space="preserve"> </w:t>
      </w:r>
      <w:r w:rsidRPr="004D42CD">
        <w:rPr>
          <w:lang w:val="en-US"/>
        </w:rPr>
        <w:t>In Europe and the US, the Markets in Financial Instruments Directive II (MiFID II) and Department of Labor Fiduciary Rule respectively are set to squeeze margins. These regulations are putting further pressure on asset management fees and demanding greater transparency</w:t>
      </w:r>
      <w:r>
        <w:rPr>
          <w:lang w:val="en-US"/>
        </w:rPr>
        <w:t>.</w:t>
      </w:r>
    </w:p>
    <w:p w14:paraId="1C1301F2" w14:textId="47B5F828" w:rsidR="00330EC2" w:rsidRDefault="00330EC2" w:rsidP="00330EC2">
      <w:pPr>
        <w:pStyle w:val="BodyText"/>
        <w:rPr>
          <w:lang w:val="en-US"/>
        </w:rPr>
      </w:pPr>
      <w:r w:rsidRPr="004D42CD">
        <w:rPr>
          <w:lang w:val="en-US"/>
        </w:rPr>
        <w:t>Similarly, tax changes are a big issue, with 77% stating that they’re ‘somewhat or extremely concerned’. For some managers, new tax rules are challenging historic tax structures. More generally, the Foreign Account Tax Compliance Act (FATCA) and Common Reporting Standard (CRS) rules for sharing of tax information about individuals between countries places the burden of reporting on financial institutions. Additionally, the United States recently enacted the most comprehensive tax reform in more than 30 years and the implications for operating models in the AWM sector could be significant.</w:t>
      </w:r>
    </w:p>
    <w:p w14:paraId="203E6A0C" w14:textId="77777777" w:rsidR="00330EC2" w:rsidRPr="000B7539" w:rsidRDefault="00330EC2" w:rsidP="00330EC2">
      <w:pPr>
        <w:pStyle w:val="BodyText"/>
        <w:rPr>
          <w:lang w:val="en-US"/>
        </w:rPr>
      </w:pPr>
      <w:r w:rsidRPr="000B7539">
        <w:rPr>
          <w:lang w:val="en-US"/>
        </w:rPr>
        <w:t>Olwyn Alexander</w:t>
      </w:r>
      <w:r>
        <w:rPr>
          <w:lang w:val="en-US"/>
        </w:rPr>
        <w:t xml:space="preserve">, PwC’s </w:t>
      </w:r>
      <w:r w:rsidRPr="000B7539">
        <w:rPr>
          <w:lang w:val="en-US"/>
        </w:rPr>
        <w:t>Global Asset &amp; Wealth Management Leader</w:t>
      </w:r>
      <w:r>
        <w:rPr>
          <w:lang w:val="en-US"/>
        </w:rPr>
        <w:t>, says:</w:t>
      </w:r>
    </w:p>
    <w:p w14:paraId="15770CA1" w14:textId="695ADB01" w:rsidR="00330EC2" w:rsidRDefault="00330EC2" w:rsidP="00330EC2">
      <w:pPr>
        <w:pStyle w:val="BodyText"/>
        <w:ind w:left="720"/>
        <w:rPr>
          <w:lang w:val="en-US"/>
        </w:rPr>
      </w:pPr>
      <w:r>
        <w:rPr>
          <w:lang w:val="en-US"/>
        </w:rPr>
        <w:t>“</w:t>
      </w:r>
      <w:r w:rsidRPr="000B7539">
        <w:rPr>
          <w:lang w:val="en-US"/>
        </w:rPr>
        <w:t>For the sector’s CEOs, this is a time of contrasts: optimism, growth and looming disruption</w:t>
      </w:r>
      <w:r w:rsidR="002A3B2D">
        <w:rPr>
          <w:lang w:val="en-US"/>
        </w:rPr>
        <w:t xml:space="preserve"> which of course can bring opportu</w:t>
      </w:r>
      <w:r w:rsidR="00C33659">
        <w:rPr>
          <w:lang w:val="en-US"/>
        </w:rPr>
        <w:t>n</w:t>
      </w:r>
      <w:r w:rsidR="002A3B2D">
        <w:rPr>
          <w:lang w:val="en-US"/>
        </w:rPr>
        <w:t>ities</w:t>
      </w:r>
      <w:r w:rsidRPr="000B7539">
        <w:rPr>
          <w:lang w:val="en-US"/>
        </w:rPr>
        <w:t xml:space="preserve">. Although optimism among CEOs is a strong characteristic of the Asset and Wealth Management sector, CEOs do </w:t>
      </w:r>
      <w:proofErr w:type="spellStart"/>
      <w:r w:rsidRPr="000B7539">
        <w:rPr>
          <w:lang w:val="en-US"/>
        </w:rPr>
        <w:t>realise</w:t>
      </w:r>
      <w:proofErr w:type="spellEnd"/>
      <w:r w:rsidRPr="000B7539">
        <w:rPr>
          <w:lang w:val="en-US"/>
        </w:rPr>
        <w:t xml:space="preserve"> that fast-emerging disrupti</w:t>
      </w:r>
      <w:r w:rsidR="002A3B2D">
        <w:rPr>
          <w:lang w:val="en-US"/>
        </w:rPr>
        <w:t>ons</w:t>
      </w:r>
      <w:r w:rsidRPr="000B7539">
        <w:rPr>
          <w:lang w:val="en-US"/>
        </w:rPr>
        <w:t xml:space="preserve"> mean the sector must urgently learn new ways to differentiate their offerings, reach the market and gain scale. With barriers to global businesses likely to rise, digital technology is </w:t>
      </w:r>
      <w:r>
        <w:rPr>
          <w:lang w:val="en-US"/>
        </w:rPr>
        <w:t>an important part of the answer. While a</w:t>
      </w:r>
      <w:r w:rsidRPr="00A91138">
        <w:rPr>
          <w:lang w:val="en-US"/>
        </w:rPr>
        <w:t xml:space="preserve">rguably, the sector </w:t>
      </w:r>
      <w:r w:rsidR="002A3B2D">
        <w:rPr>
          <w:lang w:val="en-US"/>
        </w:rPr>
        <w:t>may be disrupted by</w:t>
      </w:r>
      <w:r w:rsidRPr="00A91138">
        <w:rPr>
          <w:lang w:val="en-US"/>
        </w:rPr>
        <w:t xml:space="preserve"> competition from technology companies should it emerge, as it’s beginning to in banking.</w:t>
      </w:r>
      <w:r>
        <w:rPr>
          <w:lang w:val="en-US"/>
        </w:rPr>
        <w:t>”</w:t>
      </w:r>
    </w:p>
    <w:p w14:paraId="132C2DCB" w14:textId="77777777" w:rsidR="00330EC2" w:rsidRDefault="00330EC2" w:rsidP="00330EC2">
      <w:pPr>
        <w:pStyle w:val="BodyText"/>
        <w:rPr>
          <w:lang w:val="en-US"/>
        </w:rPr>
      </w:pPr>
      <w:r>
        <w:rPr>
          <w:lang w:val="en-US"/>
        </w:rPr>
        <w:t>Unsurprisingly, t</w:t>
      </w:r>
      <w:r w:rsidRPr="004D42CD">
        <w:rPr>
          <w:lang w:val="en-US"/>
        </w:rPr>
        <w:t>echnology and the speed that it may change the se</w:t>
      </w:r>
      <w:r>
        <w:rPr>
          <w:lang w:val="en-US"/>
        </w:rPr>
        <w:t>ctor is perhaps what makes AWM CEOs</w:t>
      </w:r>
      <w:r w:rsidRPr="004D42CD">
        <w:rPr>
          <w:lang w:val="en-US"/>
        </w:rPr>
        <w:t xml:space="preserve"> lose most sleep. Some 70% of CEOs believe that changes in core technologies will prove ‘disruptive or very disrup</w:t>
      </w:r>
      <w:r>
        <w:rPr>
          <w:lang w:val="en-US"/>
        </w:rPr>
        <w:t>tive’ over the next five years. As a consequence, m</w:t>
      </w:r>
      <w:r w:rsidRPr="004D42CD">
        <w:rPr>
          <w:lang w:val="en-US"/>
        </w:rPr>
        <w:t>any CEOs are also worried abou</w:t>
      </w:r>
      <w:r>
        <w:rPr>
          <w:lang w:val="en-US"/>
        </w:rPr>
        <w:t>t the availability of digital talent</w:t>
      </w:r>
      <w:r w:rsidRPr="004D42CD">
        <w:rPr>
          <w:lang w:val="en-US"/>
        </w:rPr>
        <w:t xml:space="preserve">. </w:t>
      </w:r>
      <w:r w:rsidRPr="00C76525">
        <w:rPr>
          <w:lang w:val="en-US"/>
        </w:rPr>
        <w:t>Some 63% confess to being ‘somewhat or extremely concerned’ about the lack of digital skills in senior leadership. A sim</w:t>
      </w:r>
      <w:r>
        <w:rPr>
          <w:lang w:val="en-US"/>
        </w:rPr>
        <w:t xml:space="preserve">ilar number, 67%, are concerned </w:t>
      </w:r>
      <w:r w:rsidRPr="00C76525">
        <w:rPr>
          <w:lang w:val="en-US"/>
        </w:rPr>
        <w:t>about a lack of digital skills throughout their businesses.</w:t>
      </w:r>
    </w:p>
    <w:p w14:paraId="20E58C28" w14:textId="77E316DB" w:rsidR="00330EC2" w:rsidRDefault="00330EC2" w:rsidP="00330EC2">
      <w:pPr>
        <w:pStyle w:val="BodyText"/>
        <w:rPr>
          <w:lang w:val="en-US"/>
        </w:rPr>
      </w:pPr>
      <w:r>
        <w:rPr>
          <w:lang w:val="en-US"/>
        </w:rPr>
        <w:t xml:space="preserve">At the same time, AWM CEOs are </w:t>
      </w:r>
      <w:r w:rsidRPr="00A91138">
        <w:rPr>
          <w:lang w:val="en-US"/>
        </w:rPr>
        <w:t xml:space="preserve">struggling </w:t>
      </w:r>
      <w:r>
        <w:rPr>
          <w:lang w:val="en-US"/>
        </w:rPr>
        <w:t xml:space="preserve">to come to grips </w:t>
      </w:r>
      <w:r w:rsidRPr="00A91138">
        <w:rPr>
          <w:lang w:val="en-US"/>
        </w:rPr>
        <w:t xml:space="preserve">with </w:t>
      </w:r>
      <w:r>
        <w:rPr>
          <w:lang w:val="en-US"/>
        </w:rPr>
        <w:t xml:space="preserve">how technology is </w:t>
      </w:r>
      <w:r w:rsidRPr="00A91138">
        <w:rPr>
          <w:lang w:val="en-US"/>
        </w:rPr>
        <w:t xml:space="preserve">changing consumer </w:t>
      </w:r>
      <w:proofErr w:type="spellStart"/>
      <w:r w:rsidRPr="00A91138">
        <w:rPr>
          <w:lang w:val="en-US"/>
        </w:rPr>
        <w:t>behaviour</w:t>
      </w:r>
      <w:proofErr w:type="spellEnd"/>
      <w:r w:rsidRPr="00A91138">
        <w:rPr>
          <w:lang w:val="en-US"/>
        </w:rPr>
        <w:t>. Simply speaking, customers want better produc</w:t>
      </w:r>
      <w:r>
        <w:rPr>
          <w:lang w:val="en-US"/>
        </w:rPr>
        <w:t>ts and services</w:t>
      </w:r>
      <w:r w:rsidR="002A3B2D">
        <w:rPr>
          <w:lang w:val="en-US"/>
        </w:rPr>
        <w:t>, more quickly and</w:t>
      </w:r>
      <w:r>
        <w:rPr>
          <w:lang w:val="en-US"/>
        </w:rPr>
        <w:t xml:space="preserve"> at a lower cost</w:t>
      </w:r>
      <w:r w:rsidR="002A3B2D">
        <w:rPr>
          <w:lang w:val="en-US"/>
        </w:rPr>
        <w:t xml:space="preserve"> (better, faster, cheaper). However</w:t>
      </w:r>
      <w:r>
        <w:rPr>
          <w:lang w:val="en-US"/>
        </w:rPr>
        <w:t xml:space="preserve"> j</w:t>
      </w:r>
      <w:r w:rsidRPr="00C76525">
        <w:rPr>
          <w:lang w:val="en-US"/>
        </w:rPr>
        <w:t xml:space="preserve">ust 38% </w:t>
      </w:r>
      <w:r>
        <w:rPr>
          <w:lang w:val="en-US"/>
        </w:rPr>
        <w:t>of the interviewed CEOs believe</w:t>
      </w:r>
      <w:r w:rsidRPr="00C76525">
        <w:rPr>
          <w:lang w:val="en-US"/>
        </w:rPr>
        <w:t xml:space="preserve"> that robotics and alternative intelligence </w:t>
      </w:r>
      <w:r>
        <w:rPr>
          <w:lang w:val="en-US"/>
        </w:rPr>
        <w:t xml:space="preserve">(AI) </w:t>
      </w:r>
      <w:r w:rsidRPr="00C76525">
        <w:rPr>
          <w:lang w:val="en-US"/>
        </w:rPr>
        <w:t xml:space="preserve">can improve the consumer experience. This seems a very low </w:t>
      </w:r>
      <w:r w:rsidRPr="00C76525">
        <w:rPr>
          <w:lang w:val="en-US"/>
        </w:rPr>
        <w:lastRenderedPageBreak/>
        <w:t>number</w:t>
      </w:r>
      <w:r w:rsidRPr="00A91138">
        <w:rPr>
          <w:lang w:val="en-US"/>
        </w:rPr>
        <w:t xml:space="preserve"> </w:t>
      </w:r>
      <w:r>
        <w:rPr>
          <w:lang w:val="en-US"/>
        </w:rPr>
        <w:t xml:space="preserve">and hard to </w:t>
      </w:r>
      <w:r w:rsidRPr="004D42CD">
        <w:rPr>
          <w:lang w:val="en-US"/>
        </w:rPr>
        <w:t xml:space="preserve">reconcile with the possibility that </w:t>
      </w:r>
      <w:r>
        <w:rPr>
          <w:lang w:val="en-US"/>
        </w:rPr>
        <w:t>AI</w:t>
      </w:r>
      <w:r w:rsidRPr="004D42CD">
        <w:rPr>
          <w:lang w:val="en-US"/>
        </w:rPr>
        <w:t xml:space="preserve"> may come to reduce or eliminate completely the use of the investment analyst</w:t>
      </w:r>
      <w:r>
        <w:rPr>
          <w:lang w:val="en-US"/>
        </w:rPr>
        <w:t>.</w:t>
      </w:r>
    </w:p>
    <w:p w14:paraId="213E91FB" w14:textId="77777777" w:rsidR="00330EC2" w:rsidRDefault="00330EC2" w:rsidP="00330EC2">
      <w:pPr>
        <w:pStyle w:val="BodyText"/>
        <w:rPr>
          <w:lang w:val="en-US"/>
        </w:rPr>
      </w:pPr>
      <w:r>
        <w:rPr>
          <w:lang w:val="en-US"/>
        </w:rPr>
        <w:t>Olwyn Alexander says:</w:t>
      </w:r>
    </w:p>
    <w:p w14:paraId="75A6728C" w14:textId="14772F60" w:rsidR="00330EC2" w:rsidRPr="00A36D88" w:rsidRDefault="00835A8B" w:rsidP="00A36D88">
      <w:pPr>
        <w:pStyle w:val="m-5238584975277305189gmail-msobodytext"/>
        <w:shd w:val="clear" w:color="auto" w:fill="FFFFFF"/>
        <w:spacing w:before="0" w:beforeAutospacing="0" w:after="240" w:afterAutospacing="0" w:line="240" w:lineRule="atLeast"/>
        <w:ind w:left="720"/>
        <w:rPr>
          <w:rFonts w:ascii="Georgia" w:hAnsi="Georgia" w:cs="Arial"/>
          <w:color w:val="222222"/>
          <w:sz w:val="20"/>
          <w:szCs w:val="20"/>
        </w:rPr>
      </w:pPr>
      <w:r>
        <w:rPr>
          <w:rFonts w:ascii="Georgia" w:hAnsi="Georgia" w:cs="Arial"/>
          <w:color w:val="222222"/>
          <w:sz w:val="20"/>
          <w:szCs w:val="20"/>
        </w:rPr>
        <w:t xml:space="preserve">“CEOs are aware of the challenges they face and know what needs to be done. To take advantage of the industry's growth opportunities, firms need a clear strategy that highlights their differentiating capabilities and allocates budgets accordingly. Technology will play a key role, as artificial intelligence, robotics, big data and </w:t>
      </w:r>
      <w:proofErr w:type="spellStart"/>
      <w:r>
        <w:rPr>
          <w:rFonts w:ascii="Georgia" w:hAnsi="Georgia" w:cs="Arial"/>
          <w:color w:val="222222"/>
          <w:sz w:val="20"/>
          <w:szCs w:val="20"/>
        </w:rPr>
        <w:t>blockchain</w:t>
      </w:r>
      <w:proofErr w:type="spellEnd"/>
      <w:r>
        <w:rPr>
          <w:rFonts w:ascii="Georgia" w:hAnsi="Georgia" w:cs="Arial"/>
          <w:color w:val="222222"/>
          <w:sz w:val="20"/>
          <w:szCs w:val="20"/>
        </w:rPr>
        <w:t xml:space="preserve"> are all transforming the way asset and wealth managers work. The human factor cannot be underestimated though, as new employment models to hire and retain the best will be crucial for success.' </w:t>
      </w:r>
    </w:p>
    <w:p w14:paraId="6AED9707" w14:textId="77777777" w:rsidR="00A40DB7" w:rsidRPr="00A403DD" w:rsidRDefault="00A40DB7" w:rsidP="00A40DB7">
      <w:pPr>
        <w:pStyle w:val="BodyText"/>
        <w:jc w:val="right"/>
        <w:rPr>
          <w:b/>
        </w:rPr>
      </w:pPr>
      <w:r w:rsidRPr="00A403DD">
        <w:rPr>
          <w:b/>
        </w:rPr>
        <w:t>ENDS</w:t>
      </w:r>
    </w:p>
    <w:p w14:paraId="37C7D9BC" w14:textId="77777777" w:rsidR="00A40DB7" w:rsidRDefault="00A40DB7" w:rsidP="00A40DB7">
      <w:pPr>
        <w:rPr>
          <w:b/>
          <w:lang w:val="en-US"/>
        </w:rPr>
      </w:pPr>
      <w:r>
        <w:rPr>
          <w:b/>
          <w:lang w:val="en-US"/>
        </w:rPr>
        <w:t>Notes to editors:</w:t>
      </w:r>
    </w:p>
    <w:p w14:paraId="08F8D43F" w14:textId="77777777" w:rsidR="00A40DB7" w:rsidRDefault="00A40DB7" w:rsidP="00A40DB7">
      <w:pPr>
        <w:rPr>
          <w:b/>
          <w:lang w:val="en-US"/>
        </w:rPr>
      </w:pPr>
    </w:p>
    <w:p w14:paraId="151CA8BE" w14:textId="6F8FD3CC" w:rsidR="00D44681" w:rsidRPr="00330EC2" w:rsidRDefault="00330EC2" w:rsidP="00330EC2">
      <w:pPr>
        <w:pStyle w:val="BodyText"/>
        <w:rPr>
          <w:lang w:val="en-US"/>
        </w:rPr>
      </w:pPr>
      <w:r w:rsidRPr="00B16CD3">
        <w:rPr>
          <w:lang w:val="en-US"/>
        </w:rPr>
        <w:t>1</w:t>
      </w:r>
      <w:r>
        <w:rPr>
          <w:lang w:val="en-US"/>
        </w:rPr>
        <w:t>26</w:t>
      </w:r>
      <w:r w:rsidRPr="00B16CD3">
        <w:rPr>
          <w:lang w:val="en-US"/>
        </w:rPr>
        <w:t xml:space="preserve"> </w:t>
      </w:r>
      <w:r w:rsidR="006A6173">
        <w:rPr>
          <w:lang w:val="en-US"/>
        </w:rPr>
        <w:t xml:space="preserve">Asset and Wealth Management </w:t>
      </w:r>
      <w:r w:rsidRPr="00B16CD3">
        <w:rPr>
          <w:lang w:val="en-US"/>
        </w:rPr>
        <w:t xml:space="preserve">CEOs were surveyed as part of PwC’s Global CEO Survey. For more information see: </w:t>
      </w:r>
      <w:hyperlink r:id="rId9" w:history="1">
        <w:r w:rsidR="00A36D88" w:rsidRPr="00A36D88">
          <w:rPr>
            <w:rStyle w:val="Hyperlink"/>
            <w:color w:val="00B0F0"/>
            <w:u w:val="none"/>
            <w:lang w:val="en-US"/>
          </w:rPr>
          <w:t>www.pwc.com/ceosurvey</w:t>
        </w:r>
      </w:hyperlink>
      <w:r>
        <w:rPr>
          <w:lang w:val="en-US"/>
        </w:rPr>
        <w:t>.</w:t>
      </w:r>
    </w:p>
    <w:p w14:paraId="23DC4C20" w14:textId="44809D3B" w:rsidR="00A40DB7" w:rsidRPr="00CE357E" w:rsidRDefault="00A40DB7" w:rsidP="00A40DB7">
      <w:pPr>
        <w:rPr>
          <w:b/>
          <w:lang w:val="en-US"/>
        </w:rPr>
      </w:pPr>
      <w:r w:rsidRPr="00CE357E">
        <w:rPr>
          <w:b/>
          <w:lang w:val="en-US"/>
        </w:rPr>
        <w:t xml:space="preserve">About PwC </w:t>
      </w:r>
    </w:p>
    <w:p w14:paraId="5561285D" w14:textId="77777777" w:rsidR="00A942F1" w:rsidRDefault="00A942F1" w:rsidP="00A40DB7">
      <w:pPr>
        <w:spacing w:line="240" w:lineRule="auto"/>
        <w:ind w:right="202"/>
        <w:jc w:val="both"/>
        <w:rPr>
          <w:rFonts w:asciiTheme="majorHAnsi" w:hAnsiTheme="majorHAnsi" w:cs="Georgia"/>
          <w:color w:val="000000"/>
          <w:szCs w:val="20"/>
        </w:rPr>
      </w:pPr>
    </w:p>
    <w:p w14:paraId="0B564F3B" w14:textId="45249DED" w:rsidR="00A40DB7" w:rsidRPr="005C1639" w:rsidRDefault="00A40DB7" w:rsidP="005E5B25">
      <w:pPr>
        <w:spacing w:line="240" w:lineRule="auto"/>
        <w:ind w:right="202"/>
        <w:rPr>
          <w:rFonts w:asciiTheme="majorHAnsi" w:hAnsiTheme="majorHAnsi" w:cs="Georgia"/>
          <w:color w:val="000000"/>
          <w:szCs w:val="20"/>
        </w:rPr>
      </w:pPr>
      <w:r w:rsidRPr="005C1639">
        <w:rPr>
          <w:rFonts w:asciiTheme="majorHAnsi" w:hAnsiTheme="majorHAnsi" w:cs="Georgia"/>
          <w:color w:val="000000"/>
          <w:szCs w:val="20"/>
        </w:rPr>
        <w:t>At PwC, our purpose is to build trust in society and solve important problems.</w:t>
      </w:r>
      <w:r w:rsidR="0001160A">
        <w:rPr>
          <w:rFonts w:asciiTheme="majorHAnsi" w:hAnsiTheme="majorHAnsi" w:cs="Georgia"/>
          <w:color w:val="000000"/>
          <w:szCs w:val="20"/>
        </w:rPr>
        <w:t xml:space="preserve"> We’re a network of firms in 158 countries with more than 236</w:t>
      </w:r>
      <w:r w:rsidRPr="005C1639">
        <w:rPr>
          <w:rFonts w:asciiTheme="majorHAnsi" w:hAnsiTheme="majorHAnsi" w:cs="Georgia"/>
          <w:color w:val="000000"/>
          <w:szCs w:val="20"/>
        </w:rPr>
        <w:t xml:space="preserve">,000 people who are committed to delivering quality in assurance, advisory and tax services. Find out more and tell us what matters to you by visiting us at </w:t>
      </w:r>
      <w:hyperlink r:id="rId10" w:history="1">
        <w:r w:rsidRPr="0066766D">
          <w:rPr>
            <w:rStyle w:val="Hyperlink"/>
            <w:rFonts w:asciiTheme="majorHAnsi" w:hAnsiTheme="majorHAnsi" w:cs="Georgia"/>
            <w:color w:val="00B0F0"/>
            <w:szCs w:val="20"/>
            <w:u w:val="none"/>
          </w:rPr>
          <w:t>www.pwc.com</w:t>
        </w:r>
      </w:hyperlink>
      <w:r w:rsidRPr="005C1639">
        <w:rPr>
          <w:rFonts w:asciiTheme="majorHAnsi" w:hAnsiTheme="majorHAnsi" w:cs="Georgia"/>
          <w:color w:val="000000"/>
          <w:szCs w:val="20"/>
        </w:rPr>
        <w:t>.</w:t>
      </w:r>
    </w:p>
    <w:p w14:paraId="092A3CF0" w14:textId="77777777" w:rsidR="00A40DB7" w:rsidRDefault="00A40DB7" w:rsidP="00A40DB7">
      <w:pPr>
        <w:spacing w:line="240" w:lineRule="auto"/>
        <w:ind w:right="202"/>
        <w:jc w:val="both"/>
        <w:rPr>
          <w:rFonts w:asciiTheme="majorHAnsi" w:hAnsiTheme="majorHAnsi" w:cs="Georgia"/>
          <w:color w:val="000000"/>
          <w:szCs w:val="20"/>
        </w:rPr>
      </w:pPr>
    </w:p>
    <w:p w14:paraId="34708700" w14:textId="77777777" w:rsidR="00A40DB7" w:rsidRPr="005C1639" w:rsidRDefault="00A40DB7" w:rsidP="005E5B25">
      <w:pPr>
        <w:spacing w:line="240" w:lineRule="auto"/>
        <w:ind w:right="202"/>
        <w:rPr>
          <w:rFonts w:asciiTheme="majorHAnsi" w:hAnsiTheme="majorHAnsi" w:cs="Georgia"/>
          <w:color w:val="000000"/>
          <w:szCs w:val="20"/>
        </w:rPr>
      </w:pPr>
      <w:r w:rsidRPr="005C1639">
        <w:rPr>
          <w:rFonts w:asciiTheme="majorHAnsi" w:hAnsiTheme="majorHAnsi" w:cs="Georgia"/>
          <w:color w:val="000000"/>
          <w:szCs w:val="20"/>
        </w:rPr>
        <w:t xml:space="preserve">PwC refers to the PwC network and/or one or more of its member firms, each of which is a separate legal entity. Please see </w:t>
      </w:r>
      <w:hyperlink r:id="rId11" w:history="1">
        <w:r w:rsidRPr="0066766D">
          <w:rPr>
            <w:rStyle w:val="Hyperlink"/>
            <w:rFonts w:asciiTheme="majorHAnsi" w:hAnsiTheme="majorHAnsi" w:cs="Georgia"/>
            <w:color w:val="00B0F0"/>
            <w:szCs w:val="20"/>
            <w:u w:val="none"/>
          </w:rPr>
          <w:t>www.pwc.com/structure</w:t>
        </w:r>
      </w:hyperlink>
      <w:r>
        <w:rPr>
          <w:rFonts w:asciiTheme="majorHAnsi" w:hAnsiTheme="majorHAnsi" w:cs="Georgia"/>
          <w:color w:val="000000"/>
          <w:szCs w:val="20"/>
        </w:rPr>
        <w:t xml:space="preserve"> </w:t>
      </w:r>
      <w:r w:rsidRPr="005C1639">
        <w:rPr>
          <w:rFonts w:asciiTheme="majorHAnsi" w:hAnsiTheme="majorHAnsi" w:cs="Georgia"/>
          <w:color w:val="000000"/>
          <w:szCs w:val="20"/>
        </w:rPr>
        <w:t>for further details.</w:t>
      </w:r>
    </w:p>
    <w:p w14:paraId="5BF7CD3C" w14:textId="77777777" w:rsidR="00A40DB7" w:rsidRDefault="00A40DB7" w:rsidP="005E5B25">
      <w:pPr>
        <w:spacing w:line="240" w:lineRule="auto"/>
        <w:rPr>
          <w:rFonts w:asciiTheme="majorHAnsi" w:hAnsiTheme="majorHAnsi" w:cs="Georgia"/>
          <w:color w:val="000000"/>
          <w:szCs w:val="20"/>
        </w:rPr>
      </w:pPr>
    </w:p>
    <w:p w14:paraId="793FA1FD" w14:textId="03F3F98D" w:rsidR="002369EF" w:rsidRPr="00D44681" w:rsidRDefault="00330EC2" w:rsidP="005E5B25">
      <w:pPr>
        <w:spacing w:line="240" w:lineRule="auto"/>
        <w:rPr>
          <w:rFonts w:asciiTheme="majorHAnsi" w:hAnsiTheme="majorHAnsi" w:cs="Georgia"/>
          <w:color w:val="000000"/>
          <w:szCs w:val="20"/>
        </w:rPr>
      </w:pPr>
      <w:r>
        <w:rPr>
          <w:rFonts w:asciiTheme="majorHAnsi" w:hAnsiTheme="majorHAnsi" w:cs="Georgia"/>
          <w:color w:val="000000"/>
          <w:szCs w:val="20"/>
        </w:rPr>
        <w:t>© 2018</w:t>
      </w:r>
      <w:r w:rsidR="00A40DB7" w:rsidRPr="005C1639">
        <w:rPr>
          <w:rFonts w:asciiTheme="majorHAnsi" w:hAnsiTheme="majorHAnsi" w:cs="Georgia"/>
          <w:color w:val="000000"/>
          <w:szCs w:val="20"/>
        </w:rPr>
        <w:t xml:space="preserve"> PwC. All rights reserved</w:t>
      </w:r>
    </w:p>
    <w:sectPr w:rsidR="002369EF" w:rsidRPr="00D44681" w:rsidSect="00E61887">
      <w:headerReference w:type="even" r:id="rId12"/>
      <w:headerReference w:type="default" r:id="rId13"/>
      <w:footerReference w:type="even" r:id="rId14"/>
      <w:footerReference w:type="default" r:id="rId15"/>
      <w:headerReference w:type="first" r:id="rId16"/>
      <w:pgSz w:w="11907" w:h="16839"/>
      <w:pgMar w:top="2160" w:right="1440" w:bottom="1710" w:left="137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93C6" w14:textId="77777777" w:rsidR="00EB6985" w:rsidRDefault="00EB6985">
      <w:pPr>
        <w:spacing w:line="240" w:lineRule="auto"/>
      </w:pPr>
      <w:r>
        <w:separator/>
      </w:r>
    </w:p>
  </w:endnote>
  <w:endnote w:type="continuationSeparator" w:id="0">
    <w:p w14:paraId="22DCD201" w14:textId="77777777" w:rsidR="00EB6985" w:rsidRDefault="00EB6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7795" w14:textId="77777777" w:rsidR="00730CD2" w:rsidRDefault="00934826">
    <w:pPr>
      <w:pStyle w:val="Footer"/>
    </w:pP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EC2718">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2340" w14:textId="656C1B2A" w:rsidR="00730CD2" w:rsidRDefault="00934826">
    <w:pPr>
      <w:pStyle w:val="Footer"/>
    </w:pPr>
    <w:r>
      <w:fldChar w:fldCharType="begin"/>
    </w:r>
    <w:r>
      <w:instrText xml:space="preserve"> PAGE  \* MERGEFORMAT </w:instrText>
    </w:r>
    <w:r>
      <w:fldChar w:fldCharType="separate"/>
    </w:r>
    <w:r w:rsidR="004C5214">
      <w:rPr>
        <w:noProof/>
      </w:rPr>
      <w:t>3</w:t>
    </w:r>
    <w:r>
      <w:rPr>
        <w:noProof/>
      </w:rPr>
      <w:fldChar w:fldCharType="end"/>
    </w:r>
    <w:r>
      <w:t xml:space="preserve"> of </w:t>
    </w:r>
    <w:fldSimple w:instr=" NUMPAGES  \* MERGEFORMAT ">
      <w:r w:rsidR="004C521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86A61" w14:textId="77777777" w:rsidR="00EB6985" w:rsidRDefault="00EB6985">
      <w:pPr>
        <w:spacing w:line="240" w:lineRule="auto"/>
      </w:pPr>
      <w:r>
        <w:separator/>
      </w:r>
    </w:p>
  </w:footnote>
  <w:footnote w:type="continuationSeparator" w:id="0">
    <w:p w14:paraId="702A0410" w14:textId="77777777" w:rsidR="00EB6985" w:rsidRDefault="00EB69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E046" w14:textId="77777777" w:rsidR="00730CD2" w:rsidRDefault="00934826">
    <w:pPr>
      <w:pStyle w:val="Header"/>
    </w:pPr>
    <w:r>
      <w:rPr>
        <w:noProof/>
        <w:lang w:val="en-US"/>
      </w:rPr>
      <w:drawing>
        <wp:anchor distT="0" distB="0" distL="114300" distR="114300" simplePos="0" relativeHeight="251661312" behindDoc="0" locked="1" layoutInCell="1" allowOverlap="1" wp14:anchorId="4696324B" wp14:editId="0B144A88">
          <wp:simplePos x="0" y="0"/>
          <wp:positionH relativeFrom="page">
            <wp:posOffset>354965</wp:posOffset>
          </wp:positionH>
          <wp:positionV relativeFrom="page">
            <wp:posOffset>90805</wp:posOffset>
          </wp:positionV>
          <wp:extent cx="1410970" cy="12687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75CA842A" w14:textId="77777777" w:rsidR="00730CD2" w:rsidRDefault="00EB6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499E" w14:textId="77777777" w:rsidR="00730CD2" w:rsidRDefault="00934826">
    <w:pPr>
      <w:pStyle w:val="Header"/>
    </w:pPr>
    <w:r>
      <w:rPr>
        <w:noProof/>
        <w:lang w:val="en-US"/>
      </w:rPr>
      <w:drawing>
        <wp:anchor distT="0" distB="0" distL="114300" distR="114300" simplePos="0" relativeHeight="251660288" behindDoc="0" locked="1" layoutInCell="1" allowOverlap="1" wp14:anchorId="247BEA5F" wp14:editId="40DB035F">
          <wp:simplePos x="0" y="0"/>
          <wp:positionH relativeFrom="page">
            <wp:posOffset>402590</wp:posOffset>
          </wp:positionH>
          <wp:positionV relativeFrom="page">
            <wp:posOffset>119380</wp:posOffset>
          </wp:positionV>
          <wp:extent cx="1410970" cy="12687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02E20DBD" w14:textId="77777777" w:rsidR="00730CD2" w:rsidRDefault="00EB6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656F" w14:textId="77777777" w:rsidR="00730CD2" w:rsidRDefault="00934826">
    <w:pPr>
      <w:pStyle w:val="Header"/>
    </w:pPr>
    <w:r>
      <w:rPr>
        <w:noProof/>
        <w:lang w:val="en-US"/>
      </w:rPr>
      <w:drawing>
        <wp:anchor distT="0" distB="0" distL="114300" distR="114300" simplePos="0" relativeHeight="251659264" behindDoc="0" locked="1" layoutInCell="1" allowOverlap="1" wp14:anchorId="2D1D2A94" wp14:editId="52F74C27">
          <wp:simplePos x="0" y="0"/>
          <wp:positionH relativeFrom="page">
            <wp:posOffset>326390</wp:posOffset>
          </wp:positionH>
          <wp:positionV relativeFrom="page">
            <wp:posOffset>157480</wp:posOffset>
          </wp:positionV>
          <wp:extent cx="1410970" cy="1268730"/>
          <wp:effectExtent l="0" t="0" r="0" b="0"/>
          <wp:wrapNone/>
          <wp:docPr id="4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F38"/>
    <w:multiLevelType w:val="hybridMultilevel"/>
    <w:tmpl w:val="194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1C39"/>
    <w:multiLevelType w:val="hybridMultilevel"/>
    <w:tmpl w:val="FE0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C0A"/>
    <w:multiLevelType w:val="hybridMultilevel"/>
    <w:tmpl w:val="C068FCEE"/>
    <w:lvl w:ilvl="0" w:tplc="9D540A5C">
      <w:start w:val="200"/>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5426"/>
    <w:multiLevelType w:val="hybridMultilevel"/>
    <w:tmpl w:val="D60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B7731"/>
    <w:multiLevelType w:val="hybridMultilevel"/>
    <w:tmpl w:val="83AE53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69D7"/>
    <w:multiLevelType w:val="hybridMultilevel"/>
    <w:tmpl w:val="4C5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41AC"/>
    <w:multiLevelType w:val="hybridMultilevel"/>
    <w:tmpl w:val="0EB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43704"/>
    <w:multiLevelType w:val="hybridMultilevel"/>
    <w:tmpl w:val="2D8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737E0"/>
    <w:multiLevelType w:val="hybridMultilevel"/>
    <w:tmpl w:val="A1F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B4066"/>
    <w:multiLevelType w:val="hybridMultilevel"/>
    <w:tmpl w:val="A77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3B9"/>
    <w:multiLevelType w:val="hybridMultilevel"/>
    <w:tmpl w:val="C77E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335D9"/>
    <w:multiLevelType w:val="hybridMultilevel"/>
    <w:tmpl w:val="261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A0AE4"/>
    <w:multiLevelType w:val="hybridMultilevel"/>
    <w:tmpl w:val="5EAE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A3341"/>
    <w:multiLevelType w:val="hybridMultilevel"/>
    <w:tmpl w:val="B4EC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A64A4"/>
    <w:multiLevelType w:val="hybridMultilevel"/>
    <w:tmpl w:val="4FEEEFC6"/>
    <w:lvl w:ilvl="0" w:tplc="9796E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F7B72"/>
    <w:multiLevelType w:val="hybridMultilevel"/>
    <w:tmpl w:val="276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E1D9B"/>
    <w:multiLevelType w:val="hybridMultilevel"/>
    <w:tmpl w:val="0D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870DF"/>
    <w:multiLevelType w:val="hybridMultilevel"/>
    <w:tmpl w:val="D1D8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2251F"/>
    <w:multiLevelType w:val="hybridMultilevel"/>
    <w:tmpl w:val="3F24BDFE"/>
    <w:lvl w:ilvl="0" w:tplc="58FC2F96">
      <w:start w:val="1"/>
      <w:numFmt w:val="decimal"/>
      <w:lvlText w:val="%1."/>
      <w:lvlJc w:val="left"/>
      <w:pPr>
        <w:ind w:left="1080" w:hanging="72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E2372"/>
    <w:multiLevelType w:val="hybridMultilevel"/>
    <w:tmpl w:val="F20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07BE9"/>
    <w:multiLevelType w:val="hybridMultilevel"/>
    <w:tmpl w:val="FB9C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55A0E"/>
    <w:multiLevelType w:val="hybridMultilevel"/>
    <w:tmpl w:val="433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C5A62"/>
    <w:multiLevelType w:val="hybridMultilevel"/>
    <w:tmpl w:val="B978A53E"/>
    <w:lvl w:ilvl="0" w:tplc="68A265DA">
      <w:start w:val="1"/>
      <w:numFmt w:val="decimal"/>
      <w:lvlText w:val="%1."/>
      <w:lvlJc w:val="left"/>
      <w:pPr>
        <w:ind w:left="720" w:hanging="360"/>
      </w:pPr>
      <w:rPr>
        <w:rFonts w:ascii="Georgia" w:hAnsi="Georgi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4"/>
  </w:num>
  <w:num w:numId="5">
    <w:abstractNumId w:val="11"/>
  </w:num>
  <w:num w:numId="6">
    <w:abstractNumId w:val="20"/>
  </w:num>
  <w:num w:numId="7">
    <w:abstractNumId w:val="16"/>
  </w:num>
  <w:num w:numId="8">
    <w:abstractNumId w:val="21"/>
  </w:num>
  <w:num w:numId="9">
    <w:abstractNumId w:val="2"/>
  </w:num>
  <w:num w:numId="10">
    <w:abstractNumId w:val="19"/>
  </w:num>
  <w:num w:numId="11">
    <w:abstractNumId w:val="18"/>
  </w:num>
  <w:num w:numId="12">
    <w:abstractNumId w:val="15"/>
  </w:num>
  <w:num w:numId="13">
    <w:abstractNumId w:val="6"/>
  </w:num>
  <w:num w:numId="14">
    <w:abstractNumId w:val="5"/>
  </w:num>
  <w:num w:numId="15">
    <w:abstractNumId w:val="8"/>
  </w:num>
  <w:num w:numId="16">
    <w:abstractNumId w:val="22"/>
  </w:num>
  <w:num w:numId="17">
    <w:abstractNumId w:val="9"/>
  </w:num>
  <w:num w:numId="18">
    <w:abstractNumId w:val="10"/>
  </w:num>
  <w:num w:numId="19">
    <w:abstractNumId w:val="13"/>
  </w:num>
  <w:num w:numId="20">
    <w:abstractNumId w:val="12"/>
  </w:num>
  <w:num w:numId="21">
    <w:abstractNumId w:val="3"/>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6"/>
    <w:rsid w:val="0000138D"/>
    <w:rsid w:val="0001160A"/>
    <w:rsid w:val="00012342"/>
    <w:rsid w:val="000152DD"/>
    <w:rsid w:val="00021EF9"/>
    <w:rsid w:val="00023FB5"/>
    <w:rsid w:val="00033625"/>
    <w:rsid w:val="00033F18"/>
    <w:rsid w:val="00042D5A"/>
    <w:rsid w:val="0005731A"/>
    <w:rsid w:val="0009720F"/>
    <w:rsid w:val="000A554F"/>
    <w:rsid w:val="000B3DF3"/>
    <w:rsid w:val="000B3E21"/>
    <w:rsid w:val="000B45F0"/>
    <w:rsid w:val="000B4C42"/>
    <w:rsid w:val="000B55F0"/>
    <w:rsid w:val="000C5CCC"/>
    <w:rsid w:val="000D6481"/>
    <w:rsid w:val="000E0ACA"/>
    <w:rsid w:val="000E16B9"/>
    <w:rsid w:val="00117137"/>
    <w:rsid w:val="001234C3"/>
    <w:rsid w:val="001276EC"/>
    <w:rsid w:val="00132750"/>
    <w:rsid w:val="00134488"/>
    <w:rsid w:val="00151B66"/>
    <w:rsid w:val="00157069"/>
    <w:rsid w:val="00174443"/>
    <w:rsid w:val="00176305"/>
    <w:rsid w:val="001954C2"/>
    <w:rsid w:val="001A3BFD"/>
    <w:rsid w:val="001A42F7"/>
    <w:rsid w:val="001A64C4"/>
    <w:rsid w:val="001B0340"/>
    <w:rsid w:val="001B7182"/>
    <w:rsid w:val="001C1FC0"/>
    <w:rsid w:val="001D688A"/>
    <w:rsid w:val="001E2DAC"/>
    <w:rsid w:val="001F10AB"/>
    <w:rsid w:val="00214E19"/>
    <w:rsid w:val="00225674"/>
    <w:rsid w:val="0023575F"/>
    <w:rsid w:val="00235898"/>
    <w:rsid w:val="002369EF"/>
    <w:rsid w:val="00241A3E"/>
    <w:rsid w:val="00277590"/>
    <w:rsid w:val="002932F3"/>
    <w:rsid w:val="002A1E03"/>
    <w:rsid w:val="002A3B2D"/>
    <w:rsid w:val="002A6E81"/>
    <w:rsid w:val="002D592E"/>
    <w:rsid w:val="002D7006"/>
    <w:rsid w:val="002E67C7"/>
    <w:rsid w:val="002F3597"/>
    <w:rsid w:val="002F48CE"/>
    <w:rsid w:val="00320630"/>
    <w:rsid w:val="00330EC2"/>
    <w:rsid w:val="0033779C"/>
    <w:rsid w:val="0037298D"/>
    <w:rsid w:val="00372F7B"/>
    <w:rsid w:val="00383734"/>
    <w:rsid w:val="003850A8"/>
    <w:rsid w:val="003866BD"/>
    <w:rsid w:val="0039030D"/>
    <w:rsid w:val="003976C9"/>
    <w:rsid w:val="003C38AD"/>
    <w:rsid w:val="003C7C6B"/>
    <w:rsid w:val="003D2C15"/>
    <w:rsid w:val="003F5C39"/>
    <w:rsid w:val="003F79B1"/>
    <w:rsid w:val="00411646"/>
    <w:rsid w:val="00412D22"/>
    <w:rsid w:val="00412FB5"/>
    <w:rsid w:val="00414382"/>
    <w:rsid w:val="00416FBD"/>
    <w:rsid w:val="00421A33"/>
    <w:rsid w:val="00422180"/>
    <w:rsid w:val="004274D0"/>
    <w:rsid w:val="004318D0"/>
    <w:rsid w:val="00451370"/>
    <w:rsid w:val="00452578"/>
    <w:rsid w:val="00453296"/>
    <w:rsid w:val="00482A76"/>
    <w:rsid w:val="00482CC1"/>
    <w:rsid w:val="00493E37"/>
    <w:rsid w:val="00493E90"/>
    <w:rsid w:val="004B2ECE"/>
    <w:rsid w:val="004B744F"/>
    <w:rsid w:val="004C2B40"/>
    <w:rsid w:val="004C5214"/>
    <w:rsid w:val="004D2A80"/>
    <w:rsid w:val="004E3744"/>
    <w:rsid w:val="004F5762"/>
    <w:rsid w:val="004F6B52"/>
    <w:rsid w:val="00506874"/>
    <w:rsid w:val="0052042F"/>
    <w:rsid w:val="00525CA0"/>
    <w:rsid w:val="00537718"/>
    <w:rsid w:val="00563FEB"/>
    <w:rsid w:val="00581B3D"/>
    <w:rsid w:val="005824EA"/>
    <w:rsid w:val="005838B0"/>
    <w:rsid w:val="005844AF"/>
    <w:rsid w:val="00586B44"/>
    <w:rsid w:val="00591A4C"/>
    <w:rsid w:val="0059590A"/>
    <w:rsid w:val="005A659C"/>
    <w:rsid w:val="005B0BF8"/>
    <w:rsid w:val="005C1639"/>
    <w:rsid w:val="005C2717"/>
    <w:rsid w:val="005C36BE"/>
    <w:rsid w:val="005D3F0A"/>
    <w:rsid w:val="005D79F6"/>
    <w:rsid w:val="005E5B25"/>
    <w:rsid w:val="005F5420"/>
    <w:rsid w:val="005F5B2E"/>
    <w:rsid w:val="005F7B22"/>
    <w:rsid w:val="00601E64"/>
    <w:rsid w:val="006325DB"/>
    <w:rsid w:val="00636F82"/>
    <w:rsid w:val="00643DAD"/>
    <w:rsid w:val="00646250"/>
    <w:rsid w:val="0065354F"/>
    <w:rsid w:val="0065427F"/>
    <w:rsid w:val="006555C6"/>
    <w:rsid w:val="0066766D"/>
    <w:rsid w:val="00671EC4"/>
    <w:rsid w:val="00672FB3"/>
    <w:rsid w:val="006849F3"/>
    <w:rsid w:val="00695872"/>
    <w:rsid w:val="0069709C"/>
    <w:rsid w:val="006A6173"/>
    <w:rsid w:val="006B0290"/>
    <w:rsid w:val="006C7865"/>
    <w:rsid w:val="006D5C63"/>
    <w:rsid w:val="006F339E"/>
    <w:rsid w:val="00707363"/>
    <w:rsid w:val="00720D56"/>
    <w:rsid w:val="007262DB"/>
    <w:rsid w:val="007331DC"/>
    <w:rsid w:val="00742168"/>
    <w:rsid w:val="0076192A"/>
    <w:rsid w:val="00763ACF"/>
    <w:rsid w:val="007752D2"/>
    <w:rsid w:val="0077628E"/>
    <w:rsid w:val="00785C47"/>
    <w:rsid w:val="007958ED"/>
    <w:rsid w:val="007B30BC"/>
    <w:rsid w:val="007B380B"/>
    <w:rsid w:val="007B3E4F"/>
    <w:rsid w:val="007B7EF4"/>
    <w:rsid w:val="007D4965"/>
    <w:rsid w:val="007D79EE"/>
    <w:rsid w:val="00801DE4"/>
    <w:rsid w:val="00802BA0"/>
    <w:rsid w:val="0080313E"/>
    <w:rsid w:val="00810D22"/>
    <w:rsid w:val="00814C53"/>
    <w:rsid w:val="00821AF5"/>
    <w:rsid w:val="00830328"/>
    <w:rsid w:val="00835A8B"/>
    <w:rsid w:val="00842E91"/>
    <w:rsid w:val="008507E3"/>
    <w:rsid w:val="00853BC3"/>
    <w:rsid w:val="00861335"/>
    <w:rsid w:val="0086401C"/>
    <w:rsid w:val="008750EF"/>
    <w:rsid w:val="00877F70"/>
    <w:rsid w:val="008942E2"/>
    <w:rsid w:val="008A4008"/>
    <w:rsid w:val="008B0E53"/>
    <w:rsid w:val="008B52BF"/>
    <w:rsid w:val="008B6EE5"/>
    <w:rsid w:val="008C1D6D"/>
    <w:rsid w:val="008D04E6"/>
    <w:rsid w:val="008E62E2"/>
    <w:rsid w:val="009032AC"/>
    <w:rsid w:val="00934614"/>
    <w:rsid w:val="00934826"/>
    <w:rsid w:val="0094013D"/>
    <w:rsid w:val="009556B9"/>
    <w:rsid w:val="009569D4"/>
    <w:rsid w:val="00956FC4"/>
    <w:rsid w:val="00963693"/>
    <w:rsid w:val="00975844"/>
    <w:rsid w:val="00980CB5"/>
    <w:rsid w:val="009B3FF1"/>
    <w:rsid w:val="009B43F8"/>
    <w:rsid w:val="009B7E6A"/>
    <w:rsid w:val="009C65D1"/>
    <w:rsid w:val="009D3B88"/>
    <w:rsid w:val="009E365F"/>
    <w:rsid w:val="009E4591"/>
    <w:rsid w:val="009F66B8"/>
    <w:rsid w:val="00A006BB"/>
    <w:rsid w:val="00A06EE3"/>
    <w:rsid w:val="00A119E3"/>
    <w:rsid w:val="00A13AB2"/>
    <w:rsid w:val="00A16362"/>
    <w:rsid w:val="00A20925"/>
    <w:rsid w:val="00A30DE9"/>
    <w:rsid w:val="00A36D88"/>
    <w:rsid w:val="00A370A8"/>
    <w:rsid w:val="00A40DB7"/>
    <w:rsid w:val="00A42B83"/>
    <w:rsid w:val="00A65D85"/>
    <w:rsid w:val="00A80EA3"/>
    <w:rsid w:val="00A9189B"/>
    <w:rsid w:val="00A942F1"/>
    <w:rsid w:val="00AC1045"/>
    <w:rsid w:val="00AE364E"/>
    <w:rsid w:val="00AE6289"/>
    <w:rsid w:val="00AF3349"/>
    <w:rsid w:val="00AF7705"/>
    <w:rsid w:val="00B0675E"/>
    <w:rsid w:val="00B325CE"/>
    <w:rsid w:val="00B33BFD"/>
    <w:rsid w:val="00B369F3"/>
    <w:rsid w:val="00B409BB"/>
    <w:rsid w:val="00B43B71"/>
    <w:rsid w:val="00B43B88"/>
    <w:rsid w:val="00B63E06"/>
    <w:rsid w:val="00B741FD"/>
    <w:rsid w:val="00BB402D"/>
    <w:rsid w:val="00BD4335"/>
    <w:rsid w:val="00BE6B1D"/>
    <w:rsid w:val="00C014DB"/>
    <w:rsid w:val="00C05325"/>
    <w:rsid w:val="00C1382B"/>
    <w:rsid w:val="00C14787"/>
    <w:rsid w:val="00C21381"/>
    <w:rsid w:val="00C33659"/>
    <w:rsid w:val="00C40413"/>
    <w:rsid w:val="00C40B31"/>
    <w:rsid w:val="00C42238"/>
    <w:rsid w:val="00C450E2"/>
    <w:rsid w:val="00C60218"/>
    <w:rsid w:val="00C63675"/>
    <w:rsid w:val="00C653DC"/>
    <w:rsid w:val="00C70DF4"/>
    <w:rsid w:val="00C77A4D"/>
    <w:rsid w:val="00C816BF"/>
    <w:rsid w:val="00C8567A"/>
    <w:rsid w:val="00C93DDC"/>
    <w:rsid w:val="00CB6CD3"/>
    <w:rsid w:val="00CB705F"/>
    <w:rsid w:val="00CD62B0"/>
    <w:rsid w:val="00CD752E"/>
    <w:rsid w:val="00CF3D5E"/>
    <w:rsid w:val="00D12216"/>
    <w:rsid w:val="00D16E9A"/>
    <w:rsid w:val="00D26E02"/>
    <w:rsid w:val="00D35E59"/>
    <w:rsid w:val="00D412FD"/>
    <w:rsid w:val="00D44681"/>
    <w:rsid w:val="00D501E2"/>
    <w:rsid w:val="00D50B5F"/>
    <w:rsid w:val="00D53110"/>
    <w:rsid w:val="00D57B1C"/>
    <w:rsid w:val="00D61C8A"/>
    <w:rsid w:val="00D62519"/>
    <w:rsid w:val="00D67FB6"/>
    <w:rsid w:val="00D73213"/>
    <w:rsid w:val="00D80967"/>
    <w:rsid w:val="00D84A78"/>
    <w:rsid w:val="00DA1BE3"/>
    <w:rsid w:val="00DB1B13"/>
    <w:rsid w:val="00DD2F23"/>
    <w:rsid w:val="00DD752F"/>
    <w:rsid w:val="00DF2E31"/>
    <w:rsid w:val="00E01F21"/>
    <w:rsid w:val="00E07430"/>
    <w:rsid w:val="00E2728E"/>
    <w:rsid w:val="00E31094"/>
    <w:rsid w:val="00E50699"/>
    <w:rsid w:val="00E51E31"/>
    <w:rsid w:val="00E55D73"/>
    <w:rsid w:val="00E61887"/>
    <w:rsid w:val="00E6727B"/>
    <w:rsid w:val="00E7013A"/>
    <w:rsid w:val="00E70E7D"/>
    <w:rsid w:val="00E716F7"/>
    <w:rsid w:val="00E81AA2"/>
    <w:rsid w:val="00EB6985"/>
    <w:rsid w:val="00EC2718"/>
    <w:rsid w:val="00ED3D21"/>
    <w:rsid w:val="00EE043F"/>
    <w:rsid w:val="00EE13F1"/>
    <w:rsid w:val="00EF2C33"/>
    <w:rsid w:val="00EF3B49"/>
    <w:rsid w:val="00F00A04"/>
    <w:rsid w:val="00F04480"/>
    <w:rsid w:val="00F048AE"/>
    <w:rsid w:val="00F13A28"/>
    <w:rsid w:val="00F13E0A"/>
    <w:rsid w:val="00F243C8"/>
    <w:rsid w:val="00F24490"/>
    <w:rsid w:val="00F2652E"/>
    <w:rsid w:val="00F320E0"/>
    <w:rsid w:val="00F44924"/>
    <w:rsid w:val="00F4662A"/>
    <w:rsid w:val="00F507F8"/>
    <w:rsid w:val="00F62EF9"/>
    <w:rsid w:val="00F66232"/>
    <w:rsid w:val="00F71BD8"/>
    <w:rsid w:val="00F814CD"/>
    <w:rsid w:val="00F84EFC"/>
    <w:rsid w:val="00F91A72"/>
    <w:rsid w:val="00FB6285"/>
    <w:rsid w:val="00FC0251"/>
    <w:rsid w:val="00FC02B2"/>
    <w:rsid w:val="00FC1EAE"/>
    <w:rsid w:val="00FD6C7F"/>
    <w:rsid w:val="00FE5E70"/>
    <w:rsid w:val="00FF0FEC"/>
    <w:rsid w:val="00FF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D6DC"/>
  <w15:chartTrackingRefBased/>
  <w15:docId w15:val="{0F390A15-2E05-471A-82B0-AB1D425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6"/>
    <w:pPr>
      <w:spacing w:after="0" w:line="240" w:lineRule="atLeast"/>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826"/>
    <w:pPr>
      <w:tabs>
        <w:tab w:val="center" w:pos="4513"/>
        <w:tab w:val="right" w:pos="9026"/>
      </w:tabs>
      <w:spacing w:line="240" w:lineRule="auto"/>
    </w:pPr>
  </w:style>
  <w:style w:type="character" w:customStyle="1" w:styleId="HeaderChar">
    <w:name w:val="Header Char"/>
    <w:basedOn w:val="DefaultParagraphFont"/>
    <w:link w:val="Header"/>
    <w:rsid w:val="00934826"/>
    <w:rPr>
      <w:rFonts w:eastAsia="Calibri" w:cs="Times New Roman"/>
      <w:lang w:val="en-GB"/>
    </w:rPr>
  </w:style>
  <w:style w:type="paragraph" w:styleId="Footer">
    <w:name w:val="footer"/>
    <w:basedOn w:val="Normal"/>
    <w:link w:val="FooterChar"/>
    <w:uiPriority w:val="99"/>
    <w:semiHidden/>
    <w:rsid w:val="0093482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4826"/>
    <w:rPr>
      <w:rFonts w:eastAsia="Calibri" w:cs="Times New Roman"/>
      <w:lang w:val="en-GB"/>
    </w:rPr>
  </w:style>
  <w:style w:type="paragraph" w:styleId="Title">
    <w:name w:val="Title"/>
    <w:basedOn w:val="Normal"/>
    <w:next w:val="Normal"/>
    <w:link w:val="TitleChar"/>
    <w:uiPriority w:val="10"/>
    <w:qFormat/>
    <w:rsid w:val="0093482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934826"/>
    <w:rPr>
      <w:rFonts w:ascii="Cambria" w:eastAsia="Times New Roman" w:hAnsi="Cambria" w:cs="Times New Roman"/>
      <w:b/>
      <w:i/>
      <w:color w:val="000000"/>
      <w:spacing w:val="5"/>
      <w:kern w:val="28"/>
      <w:sz w:val="24"/>
      <w:szCs w:val="52"/>
      <w:lang w:val="en-GB"/>
    </w:rPr>
  </w:style>
  <w:style w:type="paragraph" w:styleId="ListParagraph">
    <w:name w:val="List Paragraph"/>
    <w:basedOn w:val="Normal"/>
    <w:uiPriority w:val="34"/>
    <w:unhideWhenUsed/>
    <w:qFormat/>
    <w:rsid w:val="00934826"/>
    <w:pPr>
      <w:spacing w:after="240"/>
      <w:ind w:left="720"/>
      <w:contextualSpacing/>
    </w:pPr>
    <w:rPr>
      <w:rFonts w:ascii="Calibri" w:eastAsia="Times New Roman" w:hAnsi="Calibri"/>
      <w:color w:val="000000"/>
      <w:sz w:val="21"/>
      <w:szCs w:val="21"/>
      <w:lang w:eastAsia="zh-CN"/>
    </w:rPr>
  </w:style>
  <w:style w:type="character" w:styleId="CommentReference">
    <w:name w:val="annotation reference"/>
    <w:basedOn w:val="DefaultParagraphFont"/>
    <w:uiPriority w:val="99"/>
    <w:semiHidden/>
    <w:unhideWhenUsed/>
    <w:rsid w:val="00934826"/>
    <w:rPr>
      <w:sz w:val="16"/>
      <w:szCs w:val="16"/>
    </w:rPr>
  </w:style>
  <w:style w:type="paragraph" w:styleId="CommentText">
    <w:name w:val="annotation text"/>
    <w:basedOn w:val="Normal"/>
    <w:link w:val="CommentTextChar"/>
    <w:uiPriority w:val="99"/>
    <w:unhideWhenUsed/>
    <w:rsid w:val="00934826"/>
    <w:pPr>
      <w:spacing w:line="240" w:lineRule="auto"/>
    </w:pPr>
    <w:rPr>
      <w:szCs w:val="20"/>
    </w:rPr>
  </w:style>
  <w:style w:type="character" w:customStyle="1" w:styleId="CommentTextChar">
    <w:name w:val="Comment Text Char"/>
    <w:basedOn w:val="DefaultParagraphFont"/>
    <w:link w:val="CommentText"/>
    <w:uiPriority w:val="99"/>
    <w:rsid w:val="00934826"/>
    <w:rPr>
      <w:rFonts w:eastAsia="Calibri" w:cs="Times New Roman"/>
      <w:szCs w:val="20"/>
      <w:lang w:val="en-GB"/>
    </w:rPr>
  </w:style>
  <w:style w:type="paragraph" w:styleId="BalloonText">
    <w:name w:val="Balloon Text"/>
    <w:basedOn w:val="Normal"/>
    <w:link w:val="BalloonTextChar"/>
    <w:uiPriority w:val="99"/>
    <w:semiHidden/>
    <w:unhideWhenUsed/>
    <w:rsid w:val="00F265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2E"/>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652E"/>
    <w:rPr>
      <w:b/>
      <w:bCs/>
    </w:rPr>
  </w:style>
  <w:style w:type="character" w:customStyle="1" w:styleId="CommentSubjectChar">
    <w:name w:val="Comment Subject Char"/>
    <w:basedOn w:val="CommentTextChar"/>
    <w:link w:val="CommentSubject"/>
    <w:uiPriority w:val="99"/>
    <w:semiHidden/>
    <w:rsid w:val="00F2652E"/>
    <w:rPr>
      <w:rFonts w:eastAsia="Calibri" w:cs="Times New Roman"/>
      <w:b/>
      <w:bCs/>
      <w:szCs w:val="20"/>
      <w:lang w:val="en-GB"/>
    </w:rPr>
  </w:style>
  <w:style w:type="paragraph" w:styleId="Revision">
    <w:name w:val="Revision"/>
    <w:hidden/>
    <w:uiPriority w:val="99"/>
    <w:semiHidden/>
    <w:rsid w:val="005A659C"/>
    <w:pPr>
      <w:spacing w:after="0" w:line="240" w:lineRule="auto"/>
    </w:pPr>
    <w:rPr>
      <w:rFonts w:eastAsia="Calibri" w:cs="Times New Roman"/>
      <w:lang w:val="en-GB"/>
    </w:rPr>
  </w:style>
  <w:style w:type="character" w:styleId="Hyperlink">
    <w:name w:val="Hyperlink"/>
    <w:basedOn w:val="DefaultParagraphFont"/>
    <w:uiPriority w:val="99"/>
    <w:unhideWhenUsed/>
    <w:rsid w:val="00412FB5"/>
    <w:rPr>
      <w:color w:val="0000FF" w:themeColor="hyperlink"/>
      <w:u w:val="single"/>
    </w:rPr>
  </w:style>
  <w:style w:type="character" w:customStyle="1" w:styleId="left">
    <w:name w:val="left"/>
    <w:basedOn w:val="DefaultParagraphFont"/>
    <w:rsid w:val="00453296"/>
  </w:style>
  <w:style w:type="paragraph" w:styleId="NormalWeb">
    <w:name w:val="Normal (Web)"/>
    <w:basedOn w:val="Normal"/>
    <w:uiPriority w:val="99"/>
    <w:unhideWhenUsed/>
    <w:rsid w:val="00AF770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F7705"/>
    <w:rPr>
      <w:b/>
      <w:bCs/>
    </w:rPr>
  </w:style>
  <w:style w:type="character" w:customStyle="1" w:styleId="apple-converted-space">
    <w:name w:val="apple-converted-space"/>
    <w:basedOn w:val="DefaultParagraphFont"/>
    <w:rsid w:val="00AF7705"/>
  </w:style>
  <w:style w:type="character" w:styleId="Emphasis">
    <w:name w:val="Emphasis"/>
    <w:basedOn w:val="DefaultParagraphFont"/>
    <w:uiPriority w:val="20"/>
    <w:qFormat/>
    <w:rsid w:val="009D3B88"/>
    <w:rPr>
      <w:i/>
      <w:iCs/>
    </w:rPr>
  </w:style>
  <w:style w:type="table" w:styleId="TableGrid">
    <w:name w:val="Table Grid"/>
    <w:basedOn w:val="TableNormal"/>
    <w:uiPriority w:val="59"/>
    <w:rsid w:val="002369EF"/>
    <w:pPr>
      <w:spacing w:after="0" w:line="240" w:lineRule="auto"/>
    </w:pPr>
    <w:rPr>
      <w:rFonts w:ascii="Calibri" w:eastAsiaTheme="minorEastAsia" w:hAnsi="Calibri"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D2A80"/>
    <w:rPr>
      <w:i/>
      <w:iCs/>
    </w:rPr>
  </w:style>
  <w:style w:type="paragraph" w:styleId="BodyText">
    <w:name w:val="Body Text"/>
    <w:basedOn w:val="Normal"/>
    <w:link w:val="BodyTextChar"/>
    <w:qFormat/>
    <w:rsid w:val="00A40DB7"/>
    <w:pPr>
      <w:spacing w:after="240"/>
    </w:pPr>
    <w:rPr>
      <w:rFonts w:eastAsiaTheme="minorHAnsi" w:cstheme="minorBidi"/>
      <w:szCs w:val="20"/>
    </w:rPr>
  </w:style>
  <w:style w:type="character" w:customStyle="1" w:styleId="BodyTextChar">
    <w:name w:val="Body Text Char"/>
    <w:basedOn w:val="DefaultParagraphFont"/>
    <w:link w:val="BodyText"/>
    <w:rsid w:val="00A40DB7"/>
    <w:rPr>
      <w:szCs w:val="20"/>
      <w:lang w:val="en-GB"/>
    </w:rPr>
  </w:style>
  <w:style w:type="paragraph" w:customStyle="1" w:styleId="m-5238584975277305189gmail-msobodytext">
    <w:name w:val="m_-5238584975277305189gmail-msobodytext"/>
    <w:basedOn w:val="Normal"/>
    <w:rsid w:val="00835A8B"/>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329">
      <w:bodyDiv w:val="1"/>
      <w:marLeft w:val="0"/>
      <w:marRight w:val="0"/>
      <w:marTop w:val="0"/>
      <w:marBottom w:val="0"/>
      <w:divBdr>
        <w:top w:val="none" w:sz="0" w:space="0" w:color="auto"/>
        <w:left w:val="none" w:sz="0" w:space="0" w:color="auto"/>
        <w:bottom w:val="none" w:sz="0" w:space="0" w:color="auto"/>
        <w:right w:val="none" w:sz="0" w:space="0" w:color="auto"/>
      </w:divBdr>
    </w:div>
    <w:div w:id="240994614">
      <w:bodyDiv w:val="1"/>
      <w:marLeft w:val="0"/>
      <w:marRight w:val="0"/>
      <w:marTop w:val="0"/>
      <w:marBottom w:val="0"/>
      <w:divBdr>
        <w:top w:val="none" w:sz="0" w:space="0" w:color="auto"/>
        <w:left w:val="none" w:sz="0" w:space="0" w:color="auto"/>
        <w:bottom w:val="none" w:sz="0" w:space="0" w:color="auto"/>
        <w:right w:val="none" w:sz="0" w:space="0" w:color="auto"/>
      </w:divBdr>
    </w:div>
    <w:div w:id="381295868">
      <w:bodyDiv w:val="1"/>
      <w:marLeft w:val="0"/>
      <w:marRight w:val="0"/>
      <w:marTop w:val="0"/>
      <w:marBottom w:val="0"/>
      <w:divBdr>
        <w:top w:val="none" w:sz="0" w:space="0" w:color="auto"/>
        <w:left w:val="none" w:sz="0" w:space="0" w:color="auto"/>
        <w:bottom w:val="none" w:sz="0" w:space="0" w:color="auto"/>
        <w:right w:val="none" w:sz="0" w:space="0" w:color="auto"/>
      </w:divBdr>
      <w:divsChild>
        <w:div w:id="103306954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sChild>
    </w:div>
    <w:div w:id="535393644">
      <w:bodyDiv w:val="1"/>
      <w:marLeft w:val="0"/>
      <w:marRight w:val="0"/>
      <w:marTop w:val="0"/>
      <w:marBottom w:val="0"/>
      <w:divBdr>
        <w:top w:val="none" w:sz="0" w:space="0" w:color="auto"/>
        <w:left w:val="none" w:sz="0" w:space="0" w:color="auto"/>
        <w:bottom w:val="none" w:sz="0" w:space="0" w:color="auto"/>
        <w:right w:val="none" w:sz="0" w:space="0" w:color="auto"/>
      </w:divBdr>
    </w:div>
    <w:div w:id="613290033">
      <w:bodyDiv w:val="1"/>
      <w:marLeft w:val="0"/>
      <w:marRight w:val="0"/>
      <w:marTop w:val="0"/>
      <w:marBottom w:val="0"/>
      <w:divBdr>
        <w:top w:val="none" w:sz="0" w:space="0" w:color="auto"/>
        <w:left w:val="none" w:sz="0" w:space="0" w:color="auto"/>
        <w:bottom w:val="none" w:sz="0" w:space="0" w:color="auto"/>
        <w:right w:val="none" w:sz="0" w:space="0" w:color="auto"/>
      </w:divBdr>
    </w:div>
    <w:div w:id="1105617966">
      <w:bodyDiv w:val="1"/>
      <w:marLeft w:val="0"/>
      <w:marRight w:val="0"/>
      <w:marTop w:val="0"/>
      <w:marBottom w:val="0"/>
      <w:divBdr>
        <w:top w:val="none" w:sz="0" w:space="0" w:color="auto"/>
        <w:left w:val="none" w:sz="0" w:space="0" w:color="auto"/>
        <w:bottom w:val="none" w:sz="0" w:space="0" w:color="auto"/>
        <w:right w:val="none" w:sz="0" w:space="0" w:color="auto"/>
      </w:divBdr>
      <w:divsChild>
        <w:div w:id="1333490681">
          <w:marLeft w:val="0"/>
          <w:marRight w:val="0"/>
          <w:marTop w:val="0"/>
          <w:marBottom w:val="0"/>
          <w:divBdr>
            <w:top w:val="none" w:sz="0" w:space="0" w:color="auto"/>
            <w:left w:val="none" w:sz="0" w:space="0" w:color="auto"/>
            <w:bottom w:val="none" w:sz="0" w:space="0" w:color="auto"/>
            <w:right w:val="none" w:sz="0" w:space="0" w:color="auto"/>
          </w:divBdr>
          <w:divsChild>
            <w:div w:id="738752876">
              <w:marLeft w:val="0"/>
              <w:marRight w:val="0"/>
              <w:marTop w:val="0"/>
              <w:marBottom w:val="0"/>
              <w:divBdr>
                <w:top w:val="none" w:sz="0" w:space="0" w:color="auto"/>
                <w:left w:val="none" w:sz="0" w:space="0" w:color="auto"/>
                <w:bottom w:val="none" w:sz="0" w:space="0" w:color="auto"/>
                <w:right w:val="none" w:sz="0" w:space="0" w:color="auto"/>
              </w:divBdr>
              <w:divsChild>
                <w:div w:id="1019743160">
                  <w:marLeft w:val="0"/>
                  <w:marRight w:val="0"/>
                  <w:marTop w:val="0"/>
                  <w:marBottom w:val="0"/>
                  <w:divBdr>
                    <w:top w:val="none" w:sz="0" w:space="0" w:color="auto"/>
                    <w:left w:val="none" w:sz="0" w:space="0" w:color="auto"/>
                    <w:bottom w:val="none" w:sz="0" w:space="0" w:color="auto"/>
                    <w:right w:val="none" w:sz="0" w:space="0" w:color="auto"/>
                  </w:divBdr>
                  <w:divsChild>
                    <w:div w:id="880480535">
                      <w:marLeft w:val="0"/>
                      <w:marRight w:val="0"/>
                      <w:marTop w:val="0"/>
                      <w:marBottom w:val="0"/>
                      <w:divBdr>
                        <w:top w:val="none" w:sz="0" w:space="0" w:color="auto"/>
                        <w:left w:val="none" w:sz="0" w:space="0" w:color="auto"/>
                        <w:bottom w:val="none" w:sz="0" w:space="0" w:color="auto"/>
                        <w:right w:val="none" w:sz="0" w:space="0" w:color="auto"/>
                      </w:divBdr>
                      <w:divsChild>
                        <w:div w:id="1823810489">
                          <w:marLeft w:val="0"/>
                          <w:marRight w:val="0"/>
                          <w:marTop w:val="0"/>
                          <w:marBottom w:val="0"/>
                          <w:divBdr>
                            <w:top w:val="none" w:sz="0" w:space="0" w:color="auto"/>
                            <w:left w:val="none" w:sz="0" w:space="0" w:color="auto"/>
                            <w:bottom w:val="none" w:sz="0" w:space="0" w:color="auto"/>
                            <w:right w:val="none" w:sz="0" w:space="0" w:color="auto"/>
                          </w:divBdr>
                          <w:divsChild>
                            <w:div w:id="1270158073">
                              <w:marLeft w:val="0"/>
                              <w:marRight w:val="0"/>
                              <w:marTop w:val="0"/>
                              <w:marBottom w:val="0"/>
                              <w:divBdr>
                                <w:top w:val="none" w:sz="0" w:space="0" w:color="auto"/>
                                <w:left w:val="none" w:sz="0" w:space="0" w:color="auto"/>
                                <w:bottom w:val="none" w:sz="0" w:space="0" w:color="auto"/>
                                <w:right w:val="none" w:sz="0" w:space="0" w:color="auto"/>
                              </w:divBdr>
                              <w:divsChild>
                                <w:div w:id="1552963976">
                                  <w:marLeft w:val="0"/>
                                  <w:marRight w:val="0"/>
                                  <w:marTop w:val="0"/>
                                  <w:marBottom w:val="0"/>
                                  <w:divBdr>
                                    <w:top w:val="none" w:sz="0" w:space="0" w:color="auto"/>
                                    <w:left w:val="none" w:sz="0" w:space="0" w:color="auto"/>
                                    <w:bottom w:val="none" w:sz="0" w:space="0" w:color="auto"/>
                                    <w:right w:val="none" w:sz="0" w:space="0" w:color="auto"/>
                                  </w:divBdr>
                                  <w:divsChild>
                                    <w:div w:id="1331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1656">
                          <w:marLeft w:val="0"/>
                          <w:marRight w:val="0"/>
                          <w:marTop w:val="0"/>
                          <w:marBottom w:val="0"/>
                          <w:divBdr>
                            <w:top w:val="none" w:sz="0" w:space="0" w:color="auto"/>
                            <w:left w:val="none" w:sz="0" w:space="0" w:color="auto"/>
                            <w:bottom w:val="none" w:sz="0" w:space="0" w:color="auto"/>
                            <w:right w:val="none" w:sz="0" w:space="0" w:color="auto"/>
                          </w:divBdr>
                          <w:divsChild>
                            <w:div w:id="1801872558">
                              <w:marLeft w:val="0"/>
                              <w:marRight w:val="0"/>
                              <w:marTop w:val="0"/>
                              <w:marBottom w:val="0"/>
                              <w:divBdr>
                                <w:top w:val="none" w:sz="0" w:space="0" w:color="auto"/>
                                <w:left w:val="none" w:sz="0" w:space="0" w:color="auto"/>
                                <w:bottom w:val="none" w:sz="0" w:space="0" w:color="auto"/>
                                <w:right w:val="none" w:sz="0" w:space="0" w:color="auto"/>
                              </w:divBdr>
                              <w:divsChild>
                                <w:div w:id="1579703882">
                                  <w:marLeft w:val="0"/>
                                  <w:marRight w:val="0"/>
                                  <w:marTop w:val="0"/>
                                  <w:marBottom w:val="0"/>
                                  <w:divBdr>
                                    <w:top w:val="none" w:sz="0" w:space="0" w:color="auto"/>
                                    <w:left w:val="none" w:sz="0" w:space="0" w:color="auto"/>
                                    <w:bottom w:val="none" w:sz="0" w:space="0" w:color="auto"/>
                                    <w:right w:val="none" w:sz="0" w:space="0" w:color="auto"/>
                                  </w:divBdr>
                                  <w:divsChild>
                                    <w:div w:id="19867416">
                                      <w:marLeft w:val="0"/>
                                      <w:marRight w:val="0"/>
                                      <w:marTop w:val="0"/>
                                      <w:marBottom w:val="0"/>
                                      <w:divBdr>
                                        <w:top w:val="none" w:sz="0" w:space="0" w:color="auto"/>
                                        <w:left w:val="none" w:sz="0" w:space="0" w:color="auto"/>
                                        <w:bottom w:val="none" w:sz="0" w:space="0" w:color="auto"/>
                                        <w:right w:val="none" w:sz="0" w:space="0" w:color="auto"/>
                                      </w:divBdr>
                                      <w:divsChild>
                                        <w:div w:id="21010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98535">
      <w:bodyDiv w:val="1"/>
      <w:marLeft w:val="0"/>
      <w:marRight w:val="0"/>
      <w:marTop w:val="0"/>
      <w:marBottom w:val="0"/>
      <w:divBdr>
        <w:top w:val="none" w:sz="0" w:space="0" w:color="auto"/>
        <w:left w:val="none" w:sz="0" w:space="0" w:color="auto"/>
        <w:bottom w:val="none" w:sz="0" w:space="0" w:color="auto"/>
        <w:right w:val="none" w:sz="0" w:space="0" w:color="auto"/>
      </w:divBdr>
    </w:div>
    <w:div w:id="1599481375">
      <w:bodyDiv w:val="1"/>
      <w:marLeft w:val="0"/>
      <w:marRight w:val="0"/>
      <w:marTop w:val="0"/>
      <w:marBottom w:val="0"/>
      <w:divBdr>
        <w:top w:val="none" w:sz="0" w:space="0" w:color="auto"/>
        <w:left w:val="none" w:sz="0" w:space="0" w:color="auto"/>
        <w:bottom w:val="none" w:sz="0" w:space="0" w:color="auto"/>
        <w:right w:val="none" w:sz="0" w:space="0" w:color="auto"/>
      </w:divBdr>
      <w:divsChild>
        <w:div w:id="787043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83930">
              <w:marLeft w:val="0"/>
              <w:marRight w:val="0"/>
              <w:marTop w:val="0"/>
              <w:marBottom w:val="0"/>
              <w:divBdr>
                <w:top w:val="none" w:sz="0" w:space="0" w:color="auto"/>
                <w:left w:val="none" w:sz="0" w:space="0" w:color="auto"/>
                <w:bottom w:val="none" w:sz="0" w:space="0" w:color="auto"/>
                <w:right w:val="none" w:sz="0" w:space="0" w:color="auto"/>
              </w:divBdr>
              <w:divsChild>
                <w:div w:id="2447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6479">
      <w:bodyDiv w:val="1"/>
      <w:marLeft w:val="0"/>
      <w:marRight w:val="0"/>
      <w:marTop w:val="0"/>
      <w:marBottom w:val="0"/>
      <w:divBdr>
        <w:top w:val="none" w:sz="0" w:space="0" w:color="auto"/>
        <w:left w:val="none" w:sz="0" w:space="0" w:color="auto"/>
        <w:bottom w:val="none" w:sz="0" w:space="0" w:color="auto"/>
        <w:right w:val="none" w:sz="0" w:space="0" w:color="auto"/>
      </w:divBdr>
    </w:div>
    <w:div w:id="1915816408">
      <w:bodyDiv w:val="1"/>
      <w:marLeft w:val="0"/>
      <w:marRight w:val="0"/>
      <w:marTop w:val="0"/>
      <w:marBottom w:val="0"/>
      <w:divBdr>
        <w:top w:val="none" w:sz="0" w:space="0" w:color="auto"/>
        <w:left w:val="none" w:sz="0" w:space="0" w:color="auto"/>
        <w:bottom w:val="none" w:sz="0" w:space="0" w:color="auto"/>
        <w:right w:val="none" w:sz="0" w:space="0" w:color="auto"/>
      </w:divBdr>
    </w:div>
    <w:div w:id="1930889988">
      <w:bodyDiv w:val="1"/>
      <w:marLeft w:val="0"/>
      <w:marRight w:val="0"/>
      <w:marTop w:val="0"/>
      <w:marBottom w:val="0"/>
      <w:divBdr>
        <w:top w:val="none" w:sz="0" w:space="0" w:color="auto"/>
        <w:left w:val="none" w:sz="0" w:space="0" w:color="auto"/>
        <w:bottom w:val="none" w:sz="0" w:space="0" w:color="auto"/>
        <w:right w:val="none" w:sz="0" w:space="0" w:color="auto"/>
      </w:divBdr>
      <w:divsChild>
        <w:div w:id="389811687">
          <w:marLeft w:val="0"/>
          <w:marRight w:val="0"/>
          <w:marTop w:val="0"/>
          <w:marBottom w:val="0"/>
          <w:divBdr>
            <w:top w:val="none" w:sz="0" w:space="0" w:color="auto"/>
            <w:left w:val="none" w:sz="0" w:space="0" w:color="auto"/>
            <w:bottom w:val="none" w:sz="0" w:space="0" w:color="auto"/>
            <w:right w:val="none" w:sz="0" w:space="0" w:color="auto"/>
          </w:divBdr>
          <w:divsChild>
            <w:div w:id="1397629786">
              <w:marLeft w:val="0"/>
              <w:marRight w:val="0"/>
              <w:marTop w:val="0"/>
              <w:marBottom w:val="0"/>
              <w:divBdr>
                <w:top w:val="none" w:sz="0" w:space="0" w:color="auto"/>
                <w:left w:val="none" w:sz="0" w:space="0" w:color="auto"/>
                <w:bottom w:val="none" w:sz="0" w:space="0" w:color="auto"/>
                <w:right w:val="none" w:sz="0" w:space="0" w:color="auto"/>
              </w:divBdr>
            </w:div>
            <w:div w:id="1321153138">
              <w:marLeft w:val="0"/>
              <w:marRight w:val="0"/>
              <w:marTop w:val="0"/>
              <w:marBottom w:val="0"/>
              <w:divBdr>
                <w:top w:val="none" w:sz="0" w:space="0" w:color="auto"/>
                <w:left w:val="none" w:sz="0" w:space="0" w:color="auto"/>
                <w:bottom w:val="none" w:sz="0" w:space="0" w:color="auto"/>
                <w:right w:val="none" w:sz="0" w:space="0" w:color="auto"/>
              </w:divBdr>
            </w:div>
            <w:div w:id="1133018552">
              <w:marLeft w:val="0"/>
              <w:marRight w:val="0"/>
              <w:marTop w:val="0"/>
              <w:marBottom w:val="0"/>
              <w:divBdr>
                <w:top w:val="none" w:sz="0" w:space="0" w:color="auto"/>
                <w:left w:val="none" w:sz="0" w:space="0" w:color="auto"/>
                <w:bottom w:val="none" w:sz="0" w:space="0" w:color="auto"/>
                <w:right w:val="none" w:sz="0" w:space="0" w:color="auto"/>
              </w:divBdr>
              <w:divsChild>
                <w:div w:id="2056004128">
                  <w:marLeft w:val="0"/>
                  <w:marRight w:val="0"/>
                  <w:marTop w:val="0"/>
                  <w:marBottom w:val="0"/>
                  <w:divBdr>
                    <w:top w:val="none" w:sz="0" w:space="0" w:color="auto"/>
                    <w:left w:val="none" w:sz="0" w:space="0" w:color="auto"/>
                    <w:bottom w:val="none" w:sz="0" w:space="0" w:color="auto"/>
                    <w:right w:val="none" w:sz="0" w:space="0" w:color="auto"/>
                  </w:divBdr>
                  <w:divsChild>
                    <w:div w:id="1954357977">
                      <w:marLeft w:val="0"/>
                      <w:marRight w:val="0"/>
                      <w:marTop w:val="0"/>
                      <w:marBottom w:val="0"/>
                      <w:divBdr>
                        <w:top w:val="none" w:sz="0" w:space="0" w:color="auto"/>
                        <w:left w:val="none" w:sz="0" w:space="0" w:color="auto"/>
                        <w:bottom w:val="none" w:sz="0" w:space="0" w:color="auto"/>
                        <w:right w:val="none" w:sz="0" w:space="0" w:color="auto"/>
                      </w:divBdr>
                      <w:divsChild>
                        <w:div w:id="1928228341">
                          <w:marLeft w:val="0"/>
                          <w:marRight w:val="0"/>
                          <w:marTop w:val="0"/>
                          <w:marBottom w:val="0"/>
                          <w:divBdr>
                            <w:top w:val="none" w:sz="0" w:space="0" w:color="auto"/>
                            <w:left w:val="none" w:sz="0" w:space="0" w:color="auto"/>
                            <w:bottom w:val="none" w:sz="0" w:space="0" w:color="auto"/>
                            <w:right w:val="none" w:sz="0" w:space="0" w:color="auto"/>
                          </w:divBdr>
                          <w:divsChild>
                            <w:div w:id="1410150137">
                              <w:marLeft w:val="0"/>
                              <w:marRight w:val="0"/>
                              <w:marTop w:val="0"/>
                              <w:marBottom w:val="0"/>
                              <w:divBdr>
                                <w:top w:val="none" w:sz="0" w:space="0" w:color="auto"/>
                                <w:left w:val="none" w:sz="0" w:space="0" w:color="auto"/>
                                <w:bottom w:val="none" w:sz="0" w:space="0" w:color="auto"/>
                                <w:right w:val="none" w:sz="0" w:space="0" w:color="auto"/>
                              </w:divBdr>
                            </w:div>
                            <w:div w:id="48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4494">
      <w:bodyDiv w:val="1"/>
      <w:marLeft w:val="0"/>
      <w:marRight w:val="0"/>
      <w:marTop w:val="0"/>
      <w:marBottom w:val="0"/>
      <w:divBdr>
        <w:top w:val="none" w:sz="0" w:space="0" w:color="auto"/>
        <w:left w:val="none" w:sz="0" w:space="0" w:color="auto"/>
        <w:bottom w:val="none" w:sz="0" w:space="0" w:color="auto"/>
        <w:right w:val="none" w:sz="0" w:space="0" w:color="auto"/>
      </w:divBdr>
    </w:div>
    <w:div w:id="2130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ceosurve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struct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com" TargetMode="External"/><Relationship Id="rId4" Type="http://schemas.openxmlformats.org/officeDocument/2006/relationships/settings" Target="settings.xml"/><Relationship Id="rId9" Type="http://schemas.openxmlformats.org/officeDocument/2006/relationships/hyperlink" Target="http://www.pwc.com/ceosurve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9261-2D3B-455F-B2EC-B4C975C7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J Mearley</dc:creator>
  <cp:keywords/>
  <dc:description/>
  <cp:lastModifiedBy>Blankenspoor, Joost</cp:lastModifiedBy>
  <cp:revision>4</cp:revision>
  <cp:lastPrinted>2017-05-08T04:12:00Z</cp:lastPrinted>
  <dcterms:created xsi:type="dcterms:W3CDTF">2018-03-08T13:40:00Z</dcterms:created>
  <dcterms:modified xsi:type="dcterms:W3CDTF">2018-03-09T07:56:00Z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