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30B9" w14:textId="77777777" w:rsidR="00934826" w:rsidRPr="005C1639" w:rsidRDefault="00F00A04" w:rsidP="00934826">
      <w:pPr>
        <w:pStyle w:val="Title"/>
        <w:spacing w:after="0"/>
        <w:rPr>
          <w:rFonts w:asciiTheme="majorHAnsi" w:hAnsiTheme="majorHAnsi"/>
          <w:szCs w:val="20"/>
        </w:rPr>
      </w:pPr>
      <w:r w:rsidRPr="005C1639">
        <w:rPr>
          <w:rFonts w:asciiTheme="majorHAnsi" w:hAnsiTheme="majorHAnsi"/>
          <w:szCs w:val="20"/>
        </w:rPr>
        <w:br/>
      </w:r>
      <w:r w:rsidR="00934826" w:rsidRPr="005C1639">
        <w:rPr>
          <w:rFonts w:asciiTheme="majorHAnsi" w:hAnsiTheme="majorHAnsi"/>
          <w:szCs w:val="20"/>
        </w:rPr>
        <w:t>News release</w:t>
      </w:r>
    </w:p>
    <w:p w14:paraId="1808E740" w14:textId="77777777" w:rsidR="00934826" w:rsidRPr="005C1639" w:rsidRDefault="008507E3" w:rsidP="00934826">
      <w:pPr>
        <w:rPr>
          <w:rFonts w:asciiTheme="majorHAnsi" w:hAnsiTheme="majorHAnsi"/>
          <w:szCs w:val="20"/>
        </w:rPr>
      </w:pPr>
      <w:r w:rsidRPr="005C1639">
        <w:rPr>
          <w:rFonts w:asciiTheme="majorHAnsi" w:hAnsiTheme="majorHAnsi"/>
          <w:szCs w:val="20"/>
        </w:rPr>
        <w:tab/>
      </w:r>
      <w:r w:rsidRPr="005C1639">
        <w:rPr>
          <w:rFonts w:asciiTheme="majorHAnsi" w:hAnsiTheme="majorHAnsi"/>
          <w:szCs w:val="20"/>
        </w:rPr>
        <w:tab/>
      </w:r>
      <w:r w:rsidRPr="005C1639">
        <w:rPr>
          <w:rFonts w:asciiTheme="majorHAnsi" w:hAnsiTheme="majorHAnsi"/>
          <w:szCs w:val="20"/>
        </w:rPr>
        <w:tab/>
      </w:r>
    </w:p>
    <w:tbl>
      <w:tblPr>
        <w:tblW w:w="14252" w:type="dxa"/>
        <w:tblLayout w:type="fixed"/>
        <w:tblLook w:val="0000" w:firstRow="0" w:lastRow="0" w:firstColumn="0" w:lastColumn="0" w:noHBand="0" w:noVBand="0"/>
      </w:tblPr>
      <w:tblGrid>
        <w:gridCol w:w="2268"/>
        <w:gridCol w:w="6102"/>
        <w:gridCol w:w="5882"/>
      </w:tblGrid>
      <w:tr w:rsidR="00934826" w:rsidRPr="005C1639" w14:paraId="24076F9C" w14:textId="77777777" w:rsidTr="00F00A04">
        <w:trPr>
          <w:gridAfter w:val="1"/>
          <w:wAfter w:w="5882" w:type="dxa"/>
        </w:trPr>
        <w:tc>
          <w:tcPr>
            <w:tcW w:w="2268" w:type="dxa"/>
          </w:tcPr>
          <w:p w14:paraId="289C4503" w14:textId="77777777" w:rsidR="00934826" w:rsidRPr="001A64C4" w:rsidRDefault="00934826" w:rsidP="00F00A04">
            <w:pPr>
              <w:spacing w:line="240" w:lineRule="auto"/>
              <w:ind w:left="-108"/>
              <w:rPr>
                <w:rFonts w:asciiTheme="majorHAnsi" w:hAnsiTheme="majorHAnsi"/>
                <w:i/>
                <w:szCs w:val="20"/>
              </w:rPr>
            </w:pPr>
            <w:r w:rsidRPr="001A64C4">
              <w:rPr>
                <w:rFonts w:asciiTheme="majorHAnsi" w:hAnsiTheme="majorHAnsi"/>
                <w:i/>
                <w:szCs w:val="20"/>
              </w:rPr>
              <w:t>Date</w:t>
            </w:r>
          </w:p>
        </w:tc>
        <w:tc>
          <w:tcPr>
            <w:tcW w:w="6102" w:type="dxa"/>
          </w:tcPr>
          <w:p w14:paraId="0E1057DD" w14:textId="4DF559A4" w:rsidR="00934826" w:rsidRPr="005C1639" w:rsidRDefault="008507E3" w:rsidP="0001160A">
            <w:pPr>
              <w:spacing w:line="240" w:lineRule="auto"/>
              <w:rPr>
                <w:rFonts w:asciiTheme="majorHAnsi" w:hAnsiTheme="majorHAnsi"/>
                <w:b/>
                <w:sz w:val="22"/>
              </w:rPr>
            </w:pPr>
            <w:r w:rsidRPr="005C1639">
              <w:rPr>
                <w:rFonts w:asciiTheme="majorHAnsi" w:hAnsiTheme="majorHAnsi"/>
                <w:b/>
                <w:sz w:val="22"/>
                <w:szCs w:val="20"/>
              </w:rPr>
              <w:t xml:space="preserve">UNDER EMBARGO: 00:01am </w:t>
            </w:r>
            <w:r w:rsidR="00F814CD">
              <w:rPr>
                <w:rFonts w:asciiTheme="majorHAnsi" w:hAnsiTheme="majorHAnsi"/>
                <w:b/>
                <w:sz w:val="22"/>
                <w:szCs w:val="20"/>
              </w:rPr>
              <w:t>GMT</w:t>
            </w:r>
            <w:r w:rsidR="00D44681">
              <w:rPr>
                <w:rFonts w:asciiTheme="majorHAnsi" w:hAnsiTheme="majorHAnsi"/>
                <w:b/>
                <w:sz w:val="22"/>
                <w:szCs w:val="20"/>
              </w:rPr>
              <w:t xml:space="preserve"> on</w:t>
            </w:r>
            <w:r w:rsidR="0001160A">
              <w:rPr>
                <w:rFonts w:asciiTheme="majorHAnsi" w:hAnsiTheme="majorHAnsi"/>
                <w:b/>
                <w:sz w:val="22"/>
                <w:szCs w:val="20"/>
              </w:rPr>
              <w:t xml:space="preserve"> Monday</w:t>
            </w:r>
            <w:r w:rsidR="00D44681">
              <w:rPr>
                <w:rFonts w:asciiTheme="majorHAnsi" w:hAnsiTheme="majorHAnsi"/>
                <w:b/>
                <w:sz w:val="22"/>
                <w:szCs w:val="20"/>
              </w:rPr>
              <w:t xml:space="preserve"> </w:t>
            </w:r>
            <w:r w:rsidR="000B4C42">
              <w:rPr>
                <w:rFonts w:asciiTheme="majorHAnsi" w:hAnsiTheme="majorHAnsi"/>
                <w:b/>
                <w:sz w:val="22"/>
                <w:szCs w:val="20"/>
              </w:rPr>
              <w:t>23</w:t>
            </w:r>
            <w:r w:rsidRPr="005C1639">
              <w:rPr>
                <w:rFonts w:asciiTheme="majorHAnsi" w:hAnsiTheme="majorHAnsi"/>
                <w:b/>
                <w:sz w:val="22"/>
                <w:szCs w:val="20"/>
              </w:rPr>
              <w:t xml:space="preserve"> </w:t>
            </w:r>
            <w:r w:rsidR="0001160A">
              <w:rPr>
                <w:rFonts w:asciiTheme="majorHAnsi" w:hAnsiTheme="majorHAnsi"/>
                <w:b/>
                <w:sz w:val="22"/>
                <w:szCs w:val="20"/>
              </w:rPr>
              <w:t>October</w:t>
            </w:r>
            <w:r w:rsidRPr="005C1639">
              <w:rPr>
                <w:rFonts w:asciiTheme="majorHAnsi" w:hAnsiTheme="majorHAnsi"/>
                <w:b/>
                <w:sz w:val="22"/>
                <w:szCs w:val="20"/>
              </w:rPr>
              <w:t xml:space="preserve"> 2017</w:t>
            </w:r>
          </w:p>
        </w:tc>
      </w:tr>
      <w:tr w:rsidR="00934826" w:rsidRPr="005C1639" w14:paraId="44E68712" w14:textId="77777777" w:rsidTr="00F00A04">
        <w:tc>
          <w:tcPr>
            <w:tcW w:w="2268" w:type="dxa"/>
          </w:tcPr>
          <w:p w14:paraId="4C518199" w14:textId="77777777" w:rsidR="00934826" w:rsidRPr="005C1639" w:rsidRDefault="00934826" w:rsidP="000354F3">
            <w:pPr>
              <w:spacing w:line="240" w:lineRule="auto"/>
              <w:rPr>
                <w:rFonts w:asciiTheme="majorHAnsi" w:hAnsiTheme="majorHAnsi"/>
                <w:i/>
                <w:sz w:val="22"/>
              </w:rPr>
            </w:pPr>
          </w:p>
        </w:tc>
        <w:tc>
          <w:tcPr>
            <w:tcW w:w="6102" w:type="dxa"/>
          </w:tcPr>
          <w:p w14:paraId="6DE5A0D2" w14:textId="77777777" w:rsidR="00934826" w:rsidRPr="005C1639" w:rsidRDefault="00934826" w:rsidP="000354F3">
            <w:pPr>
              <w:rPr>
                <w:rFonts w:asciiTheme="majorHAnsi" w:hAnsiTheme="majorHAnsi"/>
                <w:b/>
                <w:color w:val="000000" w:themeColor="text1"/>
                <w:sz w:val="22"/>
              </w:rPr>
            </w:pPr>
          </w:p>
        </w:tc>
        <w:tc>
          <w:tcPr>
            <w:tcW w:w="5882" w:type="dxa"/>
          </w:tcPr>
          <w:p w14:paraId="1D579B1E" w14:textId="77777777" w:rsidR="00934826" w:rsidRPr="005C1639" w:rsidRDefault="00934826" w:rsidP="000354F3">
            <w:pPr>
              <w:spacing w:line="240" w:lineRule="auto"/>
              <w:rPr>
                <w:rFonts w:asciiTheme="majorHAnsi" w:hAnsiTheme="majorHAnsi"/>
              </w:rPr>
            </w:pPr>
          </w:p>
        </w:tc>
      </w:tr>
    </w:tbl>
    <w:tbl>
      <w:tblPr>
        <w:tblpPr w:leftFromText="180" w:rightFromText="180" w:vertAnchor="text" w:tblpY="1"/>
        <w:tblOverlap w:val="never"/>
        <w:tblW w:w="0" w:type="auto"/>
        <w:tblLayout w:type="fixed"/>
        <w:tblLook w:val="0000" w:firstRow="0" w:lastRow="0" w:firstColumn="0" w:lastColumn="0" w:noHBand="0" w:noVBand="0"/>
      </w:tblPr>
      <w:tblGrid>
        <w:gridCol w:w="2268"/>
        <w:gridCol w:w="5882"/>
      </w:tblGrid>
      <w:tr w:rsidR="00934826" w:rsidRPr="005C1639" w14:paraId="527B94E7" w14:textId="77777777" w:rsidTr="000354F3">
        <w:trPr>
          <w:trHeight w:val="821"/>
        </w:trPr>
        <w:tc>
          <w:tcPr>
            <w:tcW w:w="2268" w:type="dxa"/>
            <w:shd w:val="clear" w:color="auto" w:fill="auto"/>
          </w:tcPr>
          <w:p w14:paraId="5AD887B7" w14:textId="77777777" w:rsidR="00934826" w:rsidRPr="005C1639" w:rsidRDefault="00934826" w:rsidP="00F00A04">
            <w:pPr>
              <w:ind w:left="-108"/>
              <w:rPr>
                <w:rFonts w:asciiTheme="majorHAnsi" w:hAnsiTheme="majorHAnsi"/>
                <w:i/>
                <w:szCs w:val="20"/>
              </w:rPr>
            </w:pPr>
            <w:r w:rsidRPr="005C1639">
              <w:rPr>
                <w:rFonts w:asciiTheme="majorHAnsi" w:hAnsiTheme="majorHAnsi"/>
                <w:i/>
                <w:szCs w:val="20"/>
              </w:rPr>
              <w:t>Contact</w:t>
            </w:r>
            <w:r w:rsidR="001A64C4">
              <w:rPr>
                <w:rFonts w:asciiTheme="majorHAnsi" w:hAnsiTheme="majorHAnsi"/>
                <w:i/>
                <w:szCs w:val="20"/>
              </w:rPr>
              <w:t>s</w:t>
            </w:r>
          </w:p>
        </w:tc>
        <w:tc>
          <w:tcPr>
            <w:tcW w:w="5882" w:type="dxa"/>
            <w:shd w:val="clear" w:color="auto" w:fill="auto"/>
          </w:tcPr>
          <w:tbl>
            <w:tblPr>
              <w:tblpPr w:leftFromText="180" w:rightFromText="180" w:vertAnchor="text" w:tblpY="1"/>
              <w:tblOverlap w:val="never"/>
              <w:tblW w:w="10440" w:type="dxa"/>
              <w:tblLayout w:type="fixed"/>
              <w:tblLook w:val="0000" w:firstRow="0" w:lastRow="0" w:firstColumn="0" w:lastColumn="0" w:noHBand="0" w:noVBand="0"/>
            </w:tblPr>
            <w:tblGrid>
              <w:gridCol w:w="5220"/>
              <w:gridCol w:w="5220"/>
            </w:tblGrid>
            <w:tr w:rsidR="00F00A04" w:rsidRPr="005C1639" w14:paraId="7B72802D" w14:textId="77777777" w:rsidTr="00F00A04">
              <w:tc>
                <w:tcPr>
                  <w:tcW w:w="5220" w:type="dxa"/>
                </w:tcPr>
                <w:p w14:paraId="3FDB70F1" w14:textId="77777777" w:rsidR="008507E3" w:rsidRPr="005C1639" w:rsidRDefault="008507E3" w:rsidP="00A40DB7">
                  <w:pPr>
                    <w:tabs>
                      <w:tab w:val="left" w:pos="1440"/>
                    </w:tabs>
                    <w:rPr>
                      <w:rFonts w:asciiTheme="majorHAnsi" w:hAnsiTheme="majorHAnsi" w:cs="Arial"/>
                      <w:bCs/>
                      <w:color w:val="000000"/>
                      <w:szCs w:val="20"/>
                      <w:lang w:val="it-IT"/>
                    </w:rPr>
                  </w:pPr>
                  <w:r w:rsidRPr="005C1639">
                    <w:rPr>
                      <w:rFonts w:asciiTheme="majorHAnsi" w:hAnsiTheme="majorHAnsi" w:cs="Arial"/>
                      <w:bCs/>
                      <w:color w:val="000000"/>
                      <w:szCs w:val="20"/>
                      <w:lang w:val="it-IT"/>
                    </w:rPr>
                    <w:t>Joost Blankenspoor, PwC</w:t>
                  </w:r>
                </w:p>
                <w:p w14:paraId="608891E2" w14:textId="77777777" w:rsidR="008507E3" w:rsidRPr="005C1639" w:rsidRDefault="008507E3" w:rsidP="00F00A04">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Tel: +31 88 792 6596</w:t>
                  </w:r>
                </w:p>
                <w:p w14:paraId="72517E1D" w14:textId="77777777" w:rsidR="008507E3" w:rsidRPr="005C1639" w:rsidRDefault="00A40DB7" w:rsidP="00F00A04">
                  <w:pPr>
                    <w:tabs>
                      <w:tab w:val="left" w:pos="1440"/>
                    </w:tabs>
                    <w:ind w:left="1440" w:hanging="1440"/>
                    <w:rPr>
                      <w:rFonts w:asciiTheme="majorHAnsi" w:hAnsiTheme="majorHAnsi" w:cs="Arial"/>
                      <w:bCs/>
                      <w:color w:val="000000"/>
                      <w:szCs w:val="20"/>
                      <w:lang w:val="it-IT"/>
                    </w:rPr>
                  </w:pPr>
                  <w:r>
                    <w:rPr>
                      <w:rFonts w:asciiTheme="majorHAnsi" w:hAnsiTheme="majorHAnsi" w:cs="Arial"/>
                      <w:bCs/>
                      <w:color w:val="000000"/>
                      <w:szCs w:val="20"/>
                      <w:lang w:val="it-IT"/>
                    </w:rPr>
                    <w:t>Email: joost.blankenspoor@</w:t>
                  </w:r>
                  <w:r w:rsidR="008507E3" w:rsidRPr="005C1639">
                    <w:rPr>
                      <w:rFonts w:asciiTheme="majorHAnsi" w:hAnsiTheme="majorHAnsi" w:cs="Arial"/>
                      <w:bCs/>
                      <w:color w:val="000000"/>
                      <w:szCs w:val="20"/>
                      <w:lang w:val="it-IT"/>
                    </w:rPr>
                    <w:t>pwc.com</w:t>
                  </w:r>
                </w:p>
                <w:p w14:paraId="3B6017C5" w14:textId="77777777" w:rsidR="00F00A04" w:rsidRPr="005C1639" w:rsidRDefault="00F00A04" w:rsidP="00F00A04">
                  <w:pPr>
                    <w:pStyle w:val="Header"/>
                    <w:tabs>
                      <w:tab w:val="left" w:pos="1440"/>
                    </w:tabs>
                    <w:rPr>
                      <w:rFonts w:asciiTheme="majorHAnsi" w:hAnsiTheme="majorHAnsi"/>
                      <w:szCs w:val="20"/>
                      <w:lang w:val="it-IT"/>
                    </w:rPr>
                  </w:pPr>
                </w:p>
              </w:tc>
              <w:tc>
                <w:tcPr>
                  <w:tcW w:w="5220" w:type="dxa"/>
                  <w:shd w:val="clear" w:color="auto" w:fill="auto"/>
                </w:tcPr>
                <w:p w14:paraId="707CB682" w14:textId="77777777" w:rsidR="00F00A04" w:rsidRPr="005C1639" w:rsidRDefault="00F00A04" w:rsidP="00F00A04">
                  <w:pPr>
                    <w:rPr>
                      <w:rFonts w:asciiTheme="majorHAnsi" w:hAnsiTheme="majorHAnsi"/>
                      <w:i/>
                      <w:szCs w:val="20"/>
                    </w:rPr>
                  </w:pPr>
                </w:p>
              </w:tc>
            </w:tr>
          </w:tbl>
          <w:p w14:paraId="72AC2E5D" w14:textId="77777777" w:rsidR="00934826" w:rsidRPr="005C1639" w:rsidRDefault="00934826" w:rsidP="000354F3">
            <w:pPr>
              <w:rPr>
                <w:rFonts w:asciiTheme="majorHAnsi" w:hAnsiTheme="majorHAnsi"/>
                <w:lang w:val="pt-PT"/>
              </w:rPr>
            </w:pPr>
          </w:p>
        </w:tc>
      </w:tr>
      <w:tr w:rsidR="00934826" w:rsidRPr="005C1639" w14:paraId="44ACA599" w14:textId="77777777" w:rsidTr="001A64C4">
        <w:trPr>
          <w:trHeight w:val="1070"/>
        </w:trPr>
        <w:tc>
          <w:tcPr>
            <w:tcW w:w="2268" w:type="dxa"/>
            <w:shd w:val="clear" w:color="auto" w:fill="auto"/>
          </w:tcPr>
          <w:p w14:paraId="6A0C4A24" w14:textId="77777777" w:rsidR="008507E3" w:rsidRPr="005C1639" w:rsidRDefault="008507E3" w:rsidP="00F00A04">
            <w:pPr>
              <w:ind w:left="-108"/>
              <w:rPr>
                <w:rFonts w:asciiTheme="majorHAnsi" w:hAnsiTheme="majorHAnsi"/>
                <w:i/>
                <w:szCs w:val="20"/>
              </w:rPr>
            </w:pPr>
          </w:p>
          <w:p w14:paraId="74853A51" w14:textId="77777777" w:rsidR="008507E3" w:rsidRPr="005C1639" w:rsidRDefault="008507E3" w:rsidP="00F00A04">
            <w:pPr>
              <w:ind w:left="-108"/>
              <w:rPr>
                <w:rFonts w:asciiTheme="majorHAnsi" w:hAnsiTheme="majorHAnsi"/>
                <w:i/>
                <w:szCs w:val="20"/>
              </w:rPr>
            </w:pPr>
          </w:p>
          <w:p w14:paraId="361B1D34" w14:textId="77777777" w:rsidR="008507E3" w:rsidRPr="005C1639" w:rsidRDefault="008507E3" w:rsidP="00F00A04">
            <w:pPr>
              <w:ind w:left="-108"/>
              <w:rPr>
                <w:rFonts w:asciiTheme="majorHAnsi" w:hAnsiTheme="majorHAnsi"/>
                <w:i/>
                <w:szCs w:val="20"/>
              </w:rPr>
            </w:pPr>
          </w:p>
          <w:p w14:paraId="493C1D65" w14:textId="77777777" w:rsidR="00934826" w:rsidRPr="005C1639" w:rsidRDefault="00934826" w:rsidP="00F00A04">
            <w:pPr>
              <w:ind w:left="-108"/>
              <w:rPr>
                <w:rFonts w:asciiTheme="majorHAnsi" w:hAnsiTheme="majorHAnsi"/>
                <w:i/>
                <w:szCs w:val="20"/>
              </w:rPr>
            </w:pPr>
            <w:r w:rsidRPr="005C1639">
              <w:rPr>
                <w:rFonts w:asciiTheme="majorHAnsi" w:hAnsiTheme="majorHAnsi"/>
                <w:i/>
                <w:szCs w:val="20"/>
              </w:rPr>
              <w:t xml:space="preserve">Pages </w:t>
            </w:r>
          </w:p>
        </w:tc>
        <w:tc>
          <w:tcPr>
            <w:tcW w:w="5882" w:type="dxa"/>
            <w:shd w:val="clear" w:color="auto" w:fill="auto"/>
          </w:tcPr>
          <w:p w14:paraId="22408CCD" w14:textId="48BB32A5" w:rsidR="00FD6C7F" w:rsidRPr="005C1639" w:rsidRDefault="00FD6C7F" w:rsidP="00FD6C7F">
            <w:pPr>
              <w:rPr>
                <w:rFonts w:asciiTheme="majorHAnsi" w:hAnsiTheme="majorHAnsi"/>
                <w:color w:val="000000" w:themeColor="text1"/>
                <w:szCs w:val="20"/>
              </w:rPr>
            </w:pPr>
            <w:r w:rsidRPr="005C1639">
              <w:rPr>
                <w:rFonts w:asciiTheme="majorHAnsi" w:hAnsiTheme="majorHAnsi"/>
                <w:color w:val="000000" w:themeColor="text1"/>
                <w:szCs w:val="20"/>
              </w:rPr>
              <w:t xml:space="preserve">More details: </w:t>
            </w:r>
            <w:hyperlink r:id="rId8" w:history="1">
              <w:r w:rsidR="00D44681" w:rsidRPr="00B0675E">
                <w:rPr>
                  <w:rStyle w:val="Hyperlink"/>
                  <w:rFonts w:asciiTheme="majorHAnsi" w:hAnsiTheme="majorHAnsi"/>
                  <w:color w:val="00B0F0"/>
                  <w:szCs w:val="20"/>
                  <w:u w:val="none"/>
                </w:rPr>
                <w:t>www.pwc.com/psd2</w:t>
              </w:r>
              <w:r w:rsidR="0001160A" w:rsidRPr="00B0675E">
                <w:rPr>
                  <w:rStyle w:val="Hyperlink"/>
                  <w:rFonts w:asciiTheme="majorHAnsi" w:hAnsiTheme="majorHAnsi"/>
                  <w:color w:val="00B0F0"/>
                  <w:szCs w:val="20"/>
                  <w:u w:val="none"/>
                </w:rPr>
                <w:t>-readiness</w:t>
              </w:r>
              <w:r w:rsidR="0059590A" w:rsidRPr="00B0675E">
                <w:rPr>
                  <w:rStyle w:val="Hyperlink"/>
                  <w:rFonts w:asciiTheme="majorHAnsi" w:hAnsiTheme="majorHAnsi"/>
                  <w:szCs w:val="20"/>
                </w:rPr>
                <w:t xml:space="preserve"> </w:t>
              </w:r>
            </w:hyperlink>
            <w:r w:rsidR="0066766D" w:rsidRPr="0066766D">
              <w:rPr>
                <w:rFonts w:asciiTheme="majorHAnsi" w:hAnsiTheme="majorHAnsi"/>
                <w:color w:val="00B0F0"/>
                <w:szCs w:val="20"/>
              </w:rPr>
              <w:t xml:space="preserve"> </w:t>
            </w:r>
          </w:p>
          <w:p w14:paraId="21665789" w14:textId="77777777" w:rsidR="00FD6C7F" w:rsidRPr="005C1639" w:rsidRDefault="0066766D" w:rsidP="00FD6C7F">
            <w:pPr>
              <w:ind w:right="-90"/>
              <w:rPr>
                <w:rFonts w:asciiTheme="majorHAnsi" w:hAnsiTheme="majorHAnsi"/>
                <w:color w:val="000000" w:themeColor="text1"/>
                <w:szCs w:val="20"/>
              </w:rPr>
            </w:pPr>
            <w:r>
              <w:rPr>
                <w:rFonts w:asciiTheme="majorHAnsi" w:hAnsiTheme="majorHAnsi"/>
                <w:color w:val="000000" w:themeColor="text1"/>
                <w:szCs w:val="20"/>
              </w:rPr>
              <w:t>Follow/retweet: @PwC</w:t>
            </w:r>
          </w:p>
          <w:p w14:paraId="6E38EC0C" w14:textId="77777777" w:rsidR="00934826" w:rsidRPr="005C1639" w:rsidRDefault="00934826" w:rsidP="0039030D">
            <w:pPr>
              <w:rPr>
                <w:rFonts w:asciiTheme="majorHAnsi" w:hAnsiTheme="majorHAnsi"/>
                <w:szCs w:val="20"/>
              </w:rPr>
            </w:pPr>
          </w:p>
          <w:p w14:paraId="18C47AED" w14:textId="1EB7512C" w:rsidR="008507E3" w:rsidRPr="005C1639" w:rsidRDefault="0001160A" w:rsidP="0039030D">
            <w:pPr>
              <w:rPr>
                <w:rFonts w:asciiTheme="majorHAnsi" w:hAnsiTheme="majorHAnsi"/>
                <w:szCs w:val="20"/>
              </w:rPr>
            </w:pPr>
            <w:r>
              <w:rPr>
                <w:rFonts w:asciiTheme="majorHAnsi" w:hAnsiTheme="majorHAnsi"/>
                <w:szCs w:val="20"/>
              </w:rPr>
              <w:t>3</w:t>
            </w:r>
          </w:p>
        </w:tc>
      </w:tr>
    </w:tbl>
    <w:p w14:paraId="2E59ADB5" w14:textId="77777777" w:rsidR="008507E3" w:rsidRPr="00A40DB7" w:rsidRDefault="00A40DB7" w:rsidP="00A40DB7">
      <w:pPr>
        <w:spacing w:line="240" w:lineRule="auto"/>
        <w:jc w:val="center"/>
        <w:rPr>
          <w:rFonts w:asciiTheme="majorHAnsi" w:hAnsiTheme="majorHAnsi" w:cs="Arial"/>
          <w:szCs w:val="20"/>
          <w:lang w:val="en"/>
        </w:rPr>
      </w:pPr>
      <w:r w:rsidRPr="001A64C4">
        <w:rPr>
          <w:noProof/>
          <w:lang w:val="en-US"/>
        </w:rPr>
        <mc:AlternateContent>
          <mc:Choice Requires="wps">
            <w:drawing>
              <wp:anchor distT="4294967293" distB="4294967293" distL="114300" distR="114300" simplePos="0" relativeHeight="251659264" behindDoc="0" locked="0" layoutInCell="1" allowOverlap="1" wp14:anchorId="19366085" wp14:editId="5621A0A9">
                <wp:simplePos x="0" y="0"/>
                <wp:positionH relativeFrom="margin">
                  <wp:align>center</wp:align>
                </wp:positionH>
                <wp:positionV relativeFrom="page">
                  <wp:posOffset>3788019</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12700">
                          <a:solidFill>
                            <a:schemeClr val="tx2"/>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F9CE" id="Line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page;mso-width-percent:0;mso-height-percent:0;mso-width-relative:page;mso-height-relative:page" from="0,298.25pt" to="455.0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" strokecolor="#dc6900 [3215]" strokeweight="1pt">
                <w10:wrap anchorx="margin" anchory="page"/>
              </v:line>
            </w:pict>
          </mc:Fallback>
        </mc:AlternateContent>
      </w:r>
      <w:r w:rsidR="00934826" w:rsidRPr="005C1639">
        <w:rPr>
          <w:rFonts w:asciiTheme="majorHAnsi" w:hAnsiTheme="majorHAnsi" w:cs="Arial"/>
          <w:b/>
          <w:i/>
          <w:iCs/>
          <w:szCs w:val="20"/>
        </w:rPr>
        <w:br w:type="textWrapping" w:clear="all"/>
      </w:r>
    </w:p>
    <w:p w14:paraId="4169CB66" w14:textId="77777777" w:rsidR="00A40DB7" w:rsidRDefault="00A40DB7" w:rsidP="00A40DB7">
      <w:pPr>
        <w:jc w:val="center"/>
        <w:rPr>
          <w:b/>
          <w:sz w:val="28"/>
          <w:szCs w:val="28"/>
          <w:lang w:val="en-US"/>
        </w:rPr>
      </w:pPr>
    </w:p>
    <w:p w14:paraId="6A852D6A" w14:textId="1DAC4D12" w:rsidR="00D44681" w:rsidRDefault="007331DC" w:rsidP="00D44681">
      <w:pPr>
        <w:jc w:val="center"/>
        <w:rPr>
          <w:b/>
          <w:sz w:val="28"/>
          <w:szCs w:val="28"/>
          <w:lang w:val="en-US"/>
        </w:rPr>
      </w:pPr>
      <w:r>
        <w:rPr>
          <w:b/>
          <w:sz w:val="28"/>
          <w:szCs w:val="28"/>
          <w:lang w:val="en-US"/>
        </w:rPr>
        <w:t>B</w:t>
      </w:r>
      <w:r w:rsidR="00D44681" w:rsidRPr="00D44681">
        <w:rPr>
          <w:b/>
          <w:sz w:val="28"/>
          <w:szCs w:val="28"/>
          <w:lang w:val="en-US"/>
        </w:rPr>
        <w:t>a</w:t>
      </w:r>
      <w:r>
        <w:rPr>
          <w:b/>
          <w:sz w:val="28"/>
          <w:szCs w:val="28"/>
          <w:lang w:val="en-US"/>
        </w:rPr>
        <w:t>nks are preparing for PSD2 but few are ready for new era</w:t>
      </w:r>
      <w:r w:rsidR="00D44681" w:rsidRPr="00D44681">
        <w:rPr>
          <w:b/>
          <w:sz w:val="28"/>
          <w:szCs w:val="28"/>
          <w:lang w:val="en-US"/>
        </w:rPr>
        <w:t xml:space="preserve"> of open banking</w:t>
      </w:r>
    </w:p>
    <w:p w14:paraId="4343E616" w14:textId="77777777" w:rsidR="00D44681" w:rsidRDefault="00D44681" w:rsidP="00D44681">
      <w:pPr>
        <w:rPr>
          <w:b/>
          <w:sz w:val="28"/>
          <w:szCs w:val="28"/>
          <w:lang w:val="en-US"/>
        </w:rPr>
      </w:pPr>
    </w:p>
    <w:p w14:paraId="608EC515" w14:textId="4E362D5F" w:rsidR="00D44681" w:rsidRPr="00F84EFC" w:rsidRDefault="00D44681" w:rsidP="00D44681">
      <w:pPr>
        <w:rPr>
          <w:rFonts w:eastAsia="Arial"/>
          <w:szCs w:val="20"/>
          <w:lang w:val="en-US"/>
        </w:rPr>
      </w:pPr>
      <w:r w:rsidRPr="00D44681">
        <w:rPr>
          <w:rFonts w:eastAsia="Arial"/>
          <w:szCs w:val="20"/>
          <w:lang w:val="en-US"/>
        </w:rPr>
        <w:t>Although the revised EU Payments Services Directive (PSD2) already goes into effect in January 2018, a ne</w:t>
      </w:r>
      <w:r w:rsidR="00F84EFC">
        <w:rPr>
          <w:rFonts w:eastAsia="Arial"/>
          <w:szCs w:val="20"/>
          <w:lang w:val="en-US"/>
        </w:rPr>
        <w:t>w PwC survey sho</w:t>
      </w:r>
      <w:bookmarkStart w:id="0" w:name="_GoBack"/>
      <w:bookmarkEnd w:id="0"/>
      <w:r w:rsidR="00F84EFC">
        <w:rPr>
          <w:rFonts w:eastAsia="Arial"/>
          <w:szCs w:val="20"/>
          <w:lang w:val="en-US"/>
        </w:rPr>
        <w:t>ws few banks seem to be</w:t>
      </w:r>
      <w:r w:rsidRPr="00D44681">
        <w:rPr>
          <w:rFonts w:eastAsia="Arial"/>
          <w:szCs w:val="20"/>
          <w:lang w:val="en-US"/>
        </w:rPr>
        <w:t xml:space="preserve"> ready for it. </w:t>
      </w:r>
      <w:r w:rsidR="00F84EFC">
        <w:rPr>
          <w:rFonts w:eastAsia="Arial"/>
          <w:szCs w:val="20"/>
          <w:lang w:val="en-US"/>
        </w:rPr>
        <w:t>At the start of the summer, 38% were</w:t>
      </w:r>
      <w:r w:rsidRPr="00D44681">
        <w:rPr>
          <w:rFonts w:eastAsia="Arial"/>
          <w:szCs w:val="20"/>
          <w:lang w:val="en-US"/>
        </w:rPr>
        <w:t xml:space="preserve"> still in the early stages of assessing its impact</w:t>
      </w:r>
      <w:r w:rsidR="00F84EFC">
        <w:rPr>
          <w:rFonts w:eastAsia="Arial"/>
          <w:szCs w:val="20"/>
          <w:lang w:val="en-US"/>
        </w:rPr>
        <w:t>, while only 9% we</w:t>
      </w:r>
      <w:r w:rsidR="00F84EFC" w:rsidRPr="00D44681">
        <w:rPr>
          <w:rFonts w:eastAsia="Arial"/>
          <w:szCs w:val="20"/>
          <w:lang w:val="en-US"/>
        </w:rPr>
        <w:t>re in the implementation stage</w:t>
      </w:r>
      <w:r w:rsidR="00F84EFC">
        <w:rPr>
          <w:rFonts w:eastAsia="Arial"/>
          <w:szCs w:val="20"/>
          <w:lang w:val="en-US"/>
        </w:rPr>
        <w:t xml:space="preserve"> of </w:t>
      </w:r>
      <w:r w:rsidR="0023575F">
        <w:rPr>
          <w:rFonts w:eastAsia="Arial"/>
          <w:szCs w:val="20"/>
          <w:lang w:val="en-US"/>
        </w:rPr>
        <w:t>the new PSD2 requirements</w:t>
      </w:r>
      <w:r w:rsidRPr="00D44681">
        <w:rPr>
          <w:rFonts w:eastAsia="Arial"/>
          <w:szCs w:val="20"/>
          <w:lang w:val="en-US"/>
        </w:rPr>
        <w:t>.</w:t>
      </w:r>
    </w:p>
    <w:p w14:paraId="0731A524" w14:textId="77777777" w:rsidR="00D44681" w:rsidRPr="00506874" w:rsidRDefault="00D44681" w:rsidP="00D44681">
      <w:pPr>
        <w:rPr>
          <w:szCs w:val="20"/>
          <w:lang w:val="en-US"/>
        </w:rPr>
      </w:pPr>
    </w:p>
    <w:p w14:paraId="0A2CC5F3" w14:textId="53B89260" w:rsidR="00D44681" w:rsidRDefault="00D44681" w:rsidP="00D44681">
      <w:pPr>
        <w:rPr>
          <w:b/>
          <w:sz w:val="28"/>
          <w:szCs w:val="28"/>
          <w:lang w:val="en-US"/>
        </w:rPr>
      </w:pPr>
      <w:r w:rsidRPr="00D44681">
        <w:rPr>
          <w:rFonts w:eastAsia="Arial"/>
          <w:szCs w:val="20"/>
          <w:lang w:val="en-US"/>
        </w:rPr>
        <w:t>For its new PSD2 readiness survey dubbed ‘Waiting until the Eleventh Hour’, PwC interviewed 39 senior bank executives in 18 European countries</w:t>
      </w:r>
      <w:r w:rsidR="00975844">
        <w:rPr>
          <w:rFonts w:eastAsia="Arial"/>
          <w:szCs w:val="20"/>
          <w:lang w:val="en-US"/>
        </w:rPr>
        <w:t>, covering most</w:t>
      </w:r>
      <w:r w:rsidRPr="00D44681">
        <w:rPr>
          <w:rFonts w:eastAsia="Arial"/>
          <w:szCs w:val="20"/>
          <w:lang w:val="en-US"/>
        </w:rPr>
        <w:t xml:space="preserve"> of the world’s </w:t>
      </w:r>
      <w:r w:rsidR="00506874">
        <w:rPr>
          <w:rFonts w:eastAsia="Arial"/>
          <w:szCs w:val="20"/>
          <w:lang w:val="en-US"/>
        </w:rPr>
        <w:t>leading</w:t>
      </w:r>
      <w:r w:rsidRPr="00D44681">
        <w:rPr>
          <w:rFonts w:eastAsia="Arial"/>
          <w:szCs w:val="20"/>
          <w:lang w:val="en-US"/>
        </w:rPr>
        <w:t xml:space="preserve"> banks. </w:t>
      </w:r>
      <w:r w:rsidR="00F84EFC">
        <w:rPr>
          <w:rFonts w:eastAsia="Arial"/>
          <w:szCs w:val="20"/>
          <w:lang w:val="en-US"/>
        </w:rPr>
        <w:t xml:space="preserve">The interviews were conducted in the first half of 2017. </w:t>
      </w:r>
      <w:r w:rsidR="00151B66">
        <w:rPr>
          <w:rFonts w:eastAsia="Arial"/>
          <w:szCs w:val="20"/>
          <w:lang w:val="en-US"/>
        </w:rPr>
        <w:t>W</w:t>
      </w:r>
      <w:r w:rsidR="00151B66" w:rsidRPr="00D44681">
        <w:rPr>
          <w:rFonts w:eastAsia="Arial"/>
          <w:szCs w:val="20"/>
          <w:lang w:val="en-US"/>
        </w:rPr>
        <w:t xml:space="preserve">hile two-thirds of </w:t>
      </w:r>
      <w:r w:rsidR="00975844">
        <w:rPr>
          <w:rFonts w:eastAsia="Arial"/>
          <w:szCs w:val="20"/>
          <w:lang w:val="en-US"/>
        </w:rPr>
        <w:t>the execs</w:t>
      </w:r>
      <w:r w:rsidR="00151B66">
        <w:rPr>
          <w:rFonts w:eastAsia="Arial"/>
          <w:szCs w:val="20"/>
          <w:lang w:val="en-US"/>
        </w:rPr>
        <w:t xml:space="preserve"> </w:t>
      </w:r>
      <w:r w:rsidR="00151B66" w:rsidRPr="00D44681">
        <w:rPr>
          <w:rFonts w:eastAsia="Arial"/>
          <w:szCs w:val="20"/>
          <w:lang w:val="en-US"/>
        </w:rPr>
        <w:t>anticipate PSD2 will affect all their bank functions, with numerous interdepe</w:t>
      </w:r>
      <w:r w:rsidR="00151B66">
        <w:rPr>
          <w:rFonts w:eastAsia="Arial"/>
          <w:szCs w:val="20"/>
          <w:lang w:val="en-US"/>
        </w:rPr>
        <w:t>ndencies with other regulations, o</w:t>
      </w:r>
      <w:r w:rsidRPr="00D44681">
        <w:rPr>
          <w:rFonts w:eastAsia="Arial"/>
          <w:szCs w:val="20"/>
          <w:lang w:val="en-US"/>
        </w:rPr>
        <w:t>nly 9% sa</w:t>
      </w:r>
      <w:r w:rsidR="00F84EFC">
        <w:rPr>
          <w:rFonts w:eastAsia="Arial"/>
          <w:szCs w:val="20"/>
          <w:lang w:val="en-US"/>
        </w:rPr>
        <w:t>id their preparations for PSD2 we</w:t>
      </w:r>
      <w:r w:rsidRPr="00D44681">
        <w:rPr>
          <w:rFonts w:eastAsia="Arial"/>
          <w:szCs w:val="20"/>
          <w:lang w:val="en-US"/>
        </w:rPr>
        <w:t xml:space="preserve">re </w:t>
      </w:r>
      <w:r w:rsidR="00D80967">
        <w:rPr>
          <w:rFonts w:eastAsia="Arial"/>
          <w:szCs w:val="20"/>
          <w:lang w:val="en-US"/>
        </w:rPr>
        <w:t xml:space="preserve">at the stage of </w:t>
      </w:r>
      <w:r w:rsidR="00F84EFC">
        <w:rPr>
          <w:rFonts w:eastAsia="Arial"/>
          <w:szCs w:val="20"/>
          <w:lang w:val="en-US"/>
        </w:rPr>
        <w:t>being implemented</w:t>
      </w:r>
      <w:r w:rsidR="00151B66">
        <w:rPr>
          <w:rFonts w:eastAsia="Arial"/>
          <w:szCs w:val="20"/>
          <w:lang w:val="en-US"/>
        </w:rPr>
        <w:t>.</w:t>
      </w:r>
    </w:p>
    <w:p w14:paraId="4AB6417E" w14:textId="77777777" w:rsidR="00D44681" w:rsidRPr="00506874" w:rsidRDefault="00D44681" w:rsidP="00D44681">
      <w:pPr>
        <w:rPr>
          <w:szCs w:val="20"/>
          <w:lang w:val="en-US"/>
        </w:rPr>
      </w:pPr>
    </w:p>
    <w:p w14:paraId="63AB37E0" w14:textId="77777777" w:rsidR="00D44681" w:rsidRDefault="00D44681" w:rsidP="00D44681">
      <w:pPr>
        <w:rPr>
          <w:b/>
          <w:sz w:val="28"/>
          <w:szCs w:val="28"/>
          <w:lang w:val="en-US"/>
        </w:rPr>
      </w:pPr>
      <w:r w:rsidRPr="00D44681">
        <w:rPr>
          <w:rFonts w:eastAsia="Arial"/>
          <w:b/>
          <w:szCs w:val="20"/>
          <w:lang w:val="en-US"/>
        </w:rPr>
        <w:t>Level playing field for payment services</w:t>
      </w:r>
    </w:p>
    <w:p w14:paraId="12F3C59A" w14:textId="77777777" w:rsidR="00D44681" w:rsidRPr="00506874" w:rsidRDefault="00D44681" w:rsidP="00D44681">
      <w:pPr>
        <w:rPr>
          <w:szCs w:val="20"/>
          <w:lang w:val="en-US"/>
        </w:rPr>
      </w:pPr>
    </w:p>
    <w:p w14:paraId="34AB7E49" w14:textId="7CF65BCC" w:rsidR="00975844" w:rsidRPr="00975844" w:rsidRDefault="00975844" w:rsidP="00D44681">
      <w:pPr>
        <w:rPr>
          <w:rFonts w:eastAsia="Arial"/>
          <w:szCs w:val="20"/>
          <w:lang w:val="en-US"/>
        </w:rPr>
      </w:pPr>
      <w:r w:rsidRPr="00D44681">
        <w:rPr>
          <w:rFonts w:eastAsia="Arial"/>
          <w:szCs w:val="20"/>
          <w:lang w:val="en-US"/>
        </w:rPr>
        <w:t xml:space="preserve">The introduction </w:t>
      </w:r>
      <w:r>
        <w:rPr>
          <w:rFonts w:eastAsia="Arial"/>
          <w:szCs w:val="20"/>
          <w:lang w:val="en-US"/>
        </w:rPr>
        <w:t xml:space="preserve">of PSD2 </w:t>
      </w:r>
      <w:r w:rsidRPr="00D44681">
        <w:rPr>
          <w:rFonts w:eastAsia="Arial"/>
          <w:szCs w:val="20"/>
          <w:lang w:val="en-US"/>
        </w:rPr>
        <w:t xml:space="preserve">is meant to create a level playing field for new entrants and traditional market players, offering more opportunities for competition and innovative payment services. </w:t>
      </w:r>
      <w:r>
        <w:rPr>
          <w:rFonts w:eastAsia="Arial"/>
          <w:szCs w:val="20"/>
          <w:lang w:val="en-US"/>
        </w:rPr>
        <w:t>Under</w:t>
      </w:r>
      <w:r w:rsidRPr="00D44681">
        <w:rPr>
          <w:rFonts w:eastAsia="Arial"/>
          <w:szCs w:val="20"/>
          <w:lang w:val="en-US"/>
        </w:rPr>
        <w:t xml:space="preserve"> the revised </w:t>
      </w:r>
      <w:r>
        <w:rPr>
          <w:rFonts w:eastAsia="Arial"/>
          <w:szCs w:val="20"/>
          <w:lang w:val="en-US"/>
        </w:rPr>
        <w:t>directive</w:t>
      </w:r>
      <w:r w:rsidR="00D44681" w:rsidRPr="00D44681">
        <w:rPr>
          <w:rFonts w:eastAsia="Arial"/>
          <w:szCs w:val="20"/>
          <w:lang w:val="en-US"/>
        </w:rPr>
        <w:t xml:space="preserve"> banks in Europe will need to make customer data available in a secure manner, and eventually give third-parties access to their customer’s accounts. </w:t>
      </w:r>
      <w:r w:rsidR="00E7013A">
        <w:rPr>
          <w:rFonts w:eastAsia="Arial"/>
          <w:szCs w:val="20"/>
          <w:lang w:val="en-US"/>
        </w:rPr>
        <w:t>PSD2 is a testament to the</w:t>
      </w:r>
      <w:r w:rsidR="00D44681" w:rsidRPr="00D44681">
        <w:rPr>
          <w:rFonts w:eastAsia="Arial"/>
          <w:szCs w:val="20"/>
          <w:lang w:val="en-US"/>
        </w:rPr>
        <w:t xml:space="preserve"> newly unfolding world of open banking where (fin)tech companies, merchants and even telco’s </w:t>
      </w:r>
      <w:r>
        <w:rPr>
          <w:rFonts w:eastAsia="Arial"/>
          <w:szCs w:val="20"/>
          <w:lang w:val="en-US"/>
        </w:rPr>
        <w:t>can</w:t>
      </w:r>
      <w:r w:rsidR="00D44681" w:rsidRPr="00D44681">
        <w:rPr>
          <w:rFonts w:eastAsia="Arial"/>
          <w:szCs w:val="20"/>
          <w:lang w:val="en-US"/>
        </w:rPr>
        <w:t xml:space="preserve"> change the payments landscape completely.</w:t>
      </w:r>
    </w:p>
    <w:p w14:paraId="72198598" w14:textId="77777777" w:rsidR="00975844" w:rsidRDefault="00975844" w:rsidP="00D44681">
      <w:pPr>
        <w:rPr>
          <w:szCs w:val="20"/>
          <w:lang w:val="en-US"/>
        </w:rPr>
      </w:pPr>
    </w:p>
    <w:p w14:paraId="1FCE2CB1" w14:textId="321887AB" w:rsidR="00D44681" w:rsidRDefault="00975844" w:rsidP="00D44681">
      <w:pPr>
        <w:rPr>
          <w:b/>
          <w:sz w:val="28"/>
          <w:szCs w:val="28"/>
          <w:lang w:val="en-US"/>
        </w:rPr>
      </w:pPr>
      <w:r>
        <w:rPr>
          <w:szCs w:val="20"/>
          <w:lang w:val="en-US"/>
        </w:rPr>
        <w:t>I</w:t>
      </w:r>
      <w:r w:rsidR="00E7013A">
        <w:rPr>
          <w:szCs w:val="20"/>
          <w:lang w:val="en-US"/>
        </w:rPr>
        <w:t xml:space="preserve">n </w:t>
      </w:r>
      <w:r w:rsidR="00D44681" w:rsidRPr="00D44681">
        <w:rPr>
          <w:rFonts w:eastAsia="Arial"/>
          <w:szCs w:val="20"/>
          <w:lang w:val="en-US"/>
        </w:rPr>
        <w:t>January 2018</w:t>
      </w:r>
      <w:r>
        <w:rPr>
          <w:rFonts w:eastAsia="Arial"/>
          <w:szCs w:val="20"/>
          <w:lang w:val="en-US"/>
        </w:rPr>
        <w:t>,</w:t>
      </w:r>
      <w:r w:rsidR="00E7013A">
        <w:rPr>
          <w:rFonts w:eastAsia="Arial"/>
          <w:szCs w:val="20"/>
          <w:lang w:val="en-US"/>
        </w:rPr>
        <w:t xml:space="preserve"> banks’ </w:t>
      </w:r>
      <w:r w:rsidR="00D44681" w:rsidRPr="00D44681">
        <w:rPr>
          <w:rFonts w:eastAsia="Arial"/>
          <w:szCs w:val="20"/>
          <w:lang w:val="en-US"/>
        </w:rPr>
        <w:t xml:space="preserve">monopoly over customer account information and payment services will effectively cease. Encouragingly, </w:t>
      </w:r>
      <w:r w:rsidR="00D44681" w:rsidRPr="00D44681">
        <w:rPr>
          <w:rFonts w:eastAsia="Arial"/>
          <w:szCs w:val="20"/>
        </w:rPr>
        <w:t>almost all banks (</w:t>
      </w:r>
      <w:r w:rsidR="00D44681" w:rsidRPr="00D44681">
        <w:rPr>
          <w:rFonts w:eastAsia="Arial"/>
          <w:szCs w:val="20"/>
          <w:lang w:val="en-US"/>
        </w:rPr>
        <w:t xml:space="preserve">94%) PwC interviewed are currently working on PSD2 in some way </w:t>
      </w:r>
      <w:r w:rsidR="00537718">
        <w:rPr>
          <w:rFonts w:eastAsia="Arial"/>
          <w:szCs w:val="20"/>
          <w:lang w:val="en-US"/>
        </w:rPr>
        <w:t xml:space="preserve">or another </w:t>
      </w:r>
      <w:r w:rsidR="00D44681" w:rsidRPr="00D44681">
        <w:rPr>
          <w:rFonts w:eastAsia="Arial"/>
          <w:szCs w:val="20"/>
          <w:lang w:val="en-US"/>
        </w:rPr>
        <w:t>and two out of three banks say they want to use PSD2 to chan</w:t>
      </w:r>
      <w:r w:rsidR="00537718">
        <w:rPr>
          <w:rFonts w:eastAsia="Arial"/>
          <w:szCs w:val="20"/>
          <w:lang w:val="en-US"/>
        </w:rPr>
        <w:t>ge their strategic positioning.</w:t>
      </w:r>
    </w:p>
    <w:p w14:paraId="5175F6DA" w14:textId="77777777" w:rsidR="00D44681" w:rsidRPr="00506874" w:rsidRDefault="00D44681" w:rsidP="00D44681">
      <w:pPr>
        <w:rPr>
          <w:szCs w:val="20"/>
          <w:lang w:val="en-US"/>
        </w:rPr>
      </w:pPr>
    </w:p>
    <w:p w14:paraId="7CFDE84F" w14:textId="77777777" w:rsidR="00D44681" w:rsidRDefault="00D44681" w:rsidP="00D44681">
      <w:pPr>
        <w:rPr>
          <w:b/>
          <w:sz w:val="28"/>
          <w:szCs w:val="28"/>
          <w:lang w:val="en-US"/>
        </w:rPr>
      </w:pPr>
      <w:r w:rsidRPr="00D44681">
        <w:rPr>
          <w:rFonts w:eastAsia="Arial"/>
          <w:szCs w:val="20"/>
          <w:lang w:val="en-US"/>
        </w:rPr>
        <w:t xml:space="preserve">Marco </w:t>
      </w:r>
      <w:proofErr w:type="spellStart"/>
      <w:r w:rsidRPr="00D44681">
        <w:rPr>
          <w:rFonts w:eastAsia="Arial"/>
          <w:szCs w:val="20"/>
          <w:lang w:val="en-US"/>
        </w:rPr>
        <w:t>Folcia</w:t>
      </w:r>
      <w:proofErr w:type="spellEnd"/>
      <w:r w:rsidRPr="00D44681">
        <w:rPr>
          <w:rFonts w:eastAsia="Arial"/>
          <w:szCs w:val="20"/>
          <w:lang w:val="en-US"/>
        </w:rPr>
        <w:t xml:space="preserve">, PwC Partner and European PSD2 Leader says: </w:t>
      </w:r>
    </w:p>
    <w:p w14:paraId="545FA149" w14:textId="77777777" w:rsidR="00D44681" w:rsidRPr="00506874" w:rsidRDefault="00D44681" w:rsidP="00D44681">
      <w:pPr>
        <w:rPr>
          <w:szCs w:val="20"/>
          <w:lang w:val="en-US"/>
        </w:rPr>
      </w:pPr>
    </w:p>
    <w:p w14:paraId="1334369F" w14:textId="48592BB1" w:rsidR="00D44681" w:rsidRDefault="00D44681" w:rsidP="00D44681">
      <w:pPr>
        <w:ind w:left="720"/>
        <w:rPr>
          <w:rFonts w:eastAsia="Arial"/>
          <w:szCs w:val="20"/>
        </w:rPr>
      </w:pPr>
      <w:r w:rsidRPr="00D44681">
        <w:rPr>
          <w:rFonts w:eastAsia="Arial"/>
          <w:szCs w:val="20"/>
          <w:lang w:val="en-US"/>
        </w:rPr>
        <w:t>“PSD2 promises a complex implementati</w:t>
      </w:r>
      <w:r w:rsidR="00537718">
        <w:rPr>
          <w:rFonts w:eastAsia="Arial"/>
          <w:szCs w:val="20"/>
          <w:lang w:val="en-US"/>
        </w:rPr>
        <w:t>on with multiple stakeholders. So f</w:t>
      </w:r>
      <w:r w:rsidRPr="00D44681">
        <w:rPr>
          <w:rFonts w:eastAsia="Arial"/>
          <w:szCs w:val="20"/>
          <w:lang w:val="en-US"/>
        </w:rPr>
        <w:t>or many banks, compliance will be a challenge</w:t>
      </w:r>
      <w:r w:rsidR="00537718" w:rsidRPr="00537718">
        <w:rPr>
          <w:rFonts w:eastAsia="Arial"/>
          <w:szCs w:val="20"/>
          <w:lang w:val="en-US"/>
        </w:rPr>
        <w:t xml:space="preserve"> </w:t>
      </w:r>
      <w:r w:rsidR="00537718" w:rsidRPr="00D44681">
        <w:rPr>
          <w:rFonts w:eastAsia="Arial"/>
          <w:szCs w:val="20"/>
          <w:lang w:val="en-US"/>
        </w:rPr>
        <w:t>by 2018</w:t>
      </w:r>
      <w:r w:rsidRPr="00D44681">
        <w:rPr>
          <w:rFonts w:eastAsia="Arial"/>
          <w:szCs w:val="20"/>
          <w:lang w:val="en-US"/>
        </w:rPr>
        <w:t>, but mere compliance—though challeng</w:t>
      </w:r>
      <w:r w:rsidR="00537718">
        <w:rPr>
          <w:rFonts w:eastAsia="Arial"/>
          <w:szCs w:val="20"/>
          <w:lang w:val="en-US"/>
        </w:rPr>
        <w:t xml:space="preserve">ing in itself—will not be their only concern. Banks </w:t>
      </w:r>
      <w:r w:rsidRPr="00D44681">
        <w:rPr>
          <w:rFonts w:eastAsia="Arial"/>
          <w:szCs w:val="20"/>
          <w:lang w:val="en-US"/>
        </w:rPr>
        <w:t xml:space="preserve">need a proper strategic response to avoid becoming disintermediated by more customer-oriented third-party offerings. </w:t>
      </w:r>
      <w:r w:rsidR="00537718">
        <w:rPr>
          <w:rFonts w:eastAsia="Arial"/>
          <w:szCs w:val="20"/>
        </w:rPr>
        <w:t>They</w:t>
      </w:r>
      <w:r w:rsidRPr="00D44681">
        <w:rPr>
          <w:rFonts w:eastAsia="Arial"/>
          <w:szCs w:val="20"/>
        </w:rPr>
        <w:t xml:space="preserve"> will need to analyse </w:t>
      </w:r>
      <w:r w:rsidRPr="00D44681">
        <w:rPr>
          <w:rFonts w:eastAsia="Arial"/>
          <w:szCs w:val="20"/>
        </w:rPr>
        <w:lastRenderedPageBreak/>
        <w:t>the emerging payments landscape and identify new revenue opportunities for services, something most have yet to do.”</w:t>
      </w:r>
    </w:p>
    <w:p w14:paraId="4E4CBACE" w14:textId="77777777" w:rsidR="00D44681" w:rsidRDefault="00D44681" w:rsidP="00D44681">
      <w:pPr>
        <w:ind w:left="720"/>
        <w:rPr>
          <w:rFonts w:eastAsia="Arial"/>
          <w:szCs w:val="20"/>
        </w:rPr>
      </w:pPr>
    </w:p>
    <w:p w14:paraId="5CE5C0A6" w14:textId="77777777" w:rsidR="00D44681" w:rsidRDefault="00D44681" w:rsidP="00D44681">
      <w:pPr>
        <w:rPr>
          <w:rFonts w:eastAsia="Arial"/>
          <w:szCs w:val="20"/>
        </w:rPr>
      </w:pPr>
      <w:r w:rsidRPr="00D44681">
        <w:rPr>
          <w:rFonts w:eastAsia="Arial"/>
          <w:b/>
          <w:szCs w:val="20"/>
          <w:lang w:val="en-US"/>
        </w:rPr>
        <w:t>Bank as a platform aggregator</w:t>
      </w:r>
    </w:p>
    <w:p w14:paraId="611668A5" w14:textId="77777777" w:rsidR="00D44681" w:rsidRDefault="00D44681" w:rsidP="00D44681">
      <w:pPr>
        <w:rPr>
          <w:rFonts w:eastAsia="Arial"/>
          <w:szCs w:val="20"/>
        </w:rPr>
      </w:pPr>
    </w:p>
    <w:p w14:paraId="4C42FA5B" w14:textId="77777777" w:rsidR="00D44681" w:rsidRDefault="00D44681" w:rsidP="00D44681">
      <w:pPr>
        <w:rPr>
          <w:rFonts w:eastAsia="Arial"/>
          <w:szCs w:val="20"/>
          <w:lang w:val="en-US"/>
        </w:rPr>
      </w:pPr>
      <w:r w:rsidRPr="00D44681">
        <w:rPr>
          <w:rFonts w:eastAsia="Arial"/>
          <w:szCs w:val="20"/>
          <w:lang w:val="en-US"/>
        </w:rPr>
        <w:t xml:space="preserve">In the survey, PwC also asked banks about their preference among four types of emerging business models. 50% of the respondents aspire their bank to be a platform aggregator, which would mean developing an open platform that allows partners to integrate their products and services into the bank’s offering, while providing an open platform for generating new products and services based on the bank’s API and data. </w:t>
      </w:r>
    </w:p>
    <w:p w14:paraId="3A226D74" w14:textId="77777777" w:rsidR="00D44681" w:rsidRDefault="00D44681" w:rsidP="00D44681">
      <w:pPr>
        <w:rPr>
          <w:rFonts w:eastAsia="Arial"/>
          <w:szCs w:val="20"/>
          <w:lang w:val="en-US"/>
        </w:rPr>
      </w:pPr>
    </w:p>
    <w:p w14:paraId="6571B7E1" w14:textId="77777777" w:rsidR="00D44681" w:rsidRDefault="00D44681" w:rsidP="00D44681">
      <w:pPr>
        <w:rPr>
          <w:rFonts w:eastAsia="Arial"/>
          <w:szCs w:val="20"/>
          <w:lang w:val="en-US"/>
        </w:rPr>
      </w:pPr>
      <w:r w:rsidRPr="00D44681">
        <w:rPr>
          <w:rFonts w:eastAsia="Arial"/>
          <w:szCs w:val="20"/>
          <w:lang w:val="en-US"/>
        </w:rPr>
        <w:t xml:space="preserve">Marco </w:t>
      </w:r>
      <w:proofErr w:type="spellStart"/>
      <w:r w:rsidRPr="00D44681">
        <w:rPr>
          <w:rFonts w:eastAsia="Arial"/>
          <w:szCs w:val="20"/>
          <w:lang w:val="en-US"/>
        </w:rPr>
        <w:t>Folcia</w:t>
      </w:r>
      <w:proofErr w:type="spellEnd"/>
      <w:r w:rsidRPr="00D44681">
        <w:rPr>
          <w:rFonts w:eastAsia="Arial"/>
          <w:szCs w:val="20"/>
          <w:lang w:val="en-US"/>
        </w:rPr>
        <w:t xml:space="preserve"> adds: </w:t>
      </w:r>
    </w:p>
    <w:p w14:paraId="0C1C0BB8" w14:textId="77777777" w:rsidR="00D44681" w:rsidRDefault="00D44681" w:rsidP="00D44681">
      <w:pPr>
        <w:rPr>
          <w:rFonts w:eastAsia="Arial"/>
          <w:szCs w:val="20"/>
          <w:lang w:val="en-US"/>
        </w:rPr>
      </w:pPr>
    </w:p>
    <w:p w14:paraId="0ABEB115" w14:textId="56A8283A" w:rsidR="00D44681" w:rsidRDefault="00D44681" w:rsidP="00D44681">
      <w:pPr>
        <w:ind w:left="720"/>
        <w:rPr>
          <w:rFonts w:eastAsia="Arial"/>
          <w:szCs w:val="20"/>
          <w:lang w:val="en-US"/>
        </w:rPr>
      </w:pPr>
      <w:r w:rsidRPr="00D44681">
        <w:rPr>
          <w:rFonts w:eastAsia="Arial"/>
          <w:szCs w:val="20"/>
          <w:lang w:val="en-US"/>
        </w:rPr>
        <w:t>“Any bank that could achieve this would be a powerful operator. However, the reality is that only a handful of large banks could reasonably expect to build a truly powerful partner ecosystem. In fact, we doubt that many third parties will be willing to connect to multiple banks as long as there is no common API standard across Europe. It’s clear that banks need to perform a rigorous self-assessment as they transition to the world of open banking, including their market positioning and competitive strengths.”</w:t>
      </w:r>
    </w:p>
    <w:p w14:paraId="2AFA52BC" w14:textId="77777777" w:rsidR="00D44681" w:rsidRPr="00D44681" w:rsidRDefault="00D44681" w:rsidP="00D44681">
      <w:pPr>
        <w:ind w:left="720"/>
        <w:rPr>
          <w:rFonts w:eastAsia="Arial"/>
          <w:szCs w:val="20"/>
          <w:lang w:val="en-US"/>
        </w:rPr>
      </w:pPr>
    </w:p>
    <w:p w14:paraId="509C1CF6" w14:textId="69BA50C7" w:rsidR="00D44681" w:rsidRPr="00D44681" w:rsidRDefault="00D44681" w:rsidP="00D44681">
      <w:pPr>
        <w:spacing w:after="240"/>
        <w:rPr>
          <w:rFonts w:eastAsia="Arial"/>
          <w:szCs w:val="20"/>
        </w:rPr>
      </w:pPr>
      <w:r w:rsidRPr="00D44681">
        <w:rPr>
          <w:rFonts w:eastAsia="Arial"/>
          <w:szCs w:val="20"/>
        </w:rPr>
        <w:t>As part of the report, PwC identified several best practices that banks should follow to ensure they address PSD2 effectively and efficiently. Perhaps the most important finding is that banks should ensure their top management is part of the strategic response to open banking. Currently, strategic considerations are oftentimes a by-product of a PSD2 compliance project managed by IT and operations. Given the far-reaching impact PSD2 will have, banks that take this approach will miss the opportunity to become powerful operators in the new world of open banking.</w:t>
      </w:r>
    </w:p>
    <w:p w14:paraId="0F6568B8" w14:textId="08720B5B" w:rsidR="00A40DB7" w:rsidRDefault="00D44681" w:rsidP="00975844">
      <w:pPr>
        <w:spacing w:after="240"/>
        <w:rPr>
          <w:rFonts w:eastAsia="Arial"/>
          <w:b/>
          <w:szCs w:val="20"/>
          <w:lang w:val="en-US"/>
        </w:rPr>
      </w:pPr>
      <w:r w:rsidRPr="00D44681">
        <w:rPr>
          <w:rFonts w:eastAsia="Arial"/>
          <w:b/>
          <w:szCs w:val="20"/>
          <w:lang w:val="en-US"/>
        </w:rPr>
        <w:t>PwC launches PSD2 hub</w:t>
      </w:r>
    </w:p>
    <w:p w14:paraId="17E9FA8D" w14:textId="77777777" w:rsidR="0001160A" w:rsidRPr="0001160A" w:rsidRDefault="0001160A" w:rsidP="0001160A">
      <w:pPr>
        <w:spacing w:after="240"/>
        <w:rPr>
          <w:rFonts w:eastAsia="Arial"/>
          <w:szCs w:val="20"/>
          <w:lang w:val="en-US"/>
        </w:rPr>
      </w:pPr>
      <w:r w:rsidRPr="0001160A">
        <w:rPr>
          <w:rFonts w:eastAsia="Arial"/>
          <w:szCs w:val="20"/>
          <w:lang w:val="en-US"/>
        </w:rPr>
        <w:t xml:space="preserve">The adoption of the revised Directive on Payment Services (PSD2) has set the stage for open banking, providing </w:t>
      </w:r>
      <w:proofErr w:type="spellStart"/>
      <w:r w:rsidRPr="0001160A">
        <w:rPr>
          <w:rFonts w:eastAsia="Arial"/>
          <w:szCs w:val="20"/>
          <w:lang w:val="en-US"/>
        </w:rPr>
        <w:t>standardised</w:t>
      </w:r>
      <w:proofErr w:type="spellEnd"/>
      <w:r w:rsidRPr="0001160A">
        <w:rPr>
          <w:rFonts w:eastAsia="Arial"/>
          <w:szCs w:val="20"/>
          <w:lang w:val="en-US"/>
        </w:rPr>
        <w:t xml:space="preserve"> access to customer data and banking infrastructure. PSD2 will lower the barriers for entry to third-party providers and </w:t>
      </w:r>
      <w:proofErr w:type="spellStart"/>
      <w:r w:rsidRPr="0001160A">
        <w:rPr>
          <w:rFonts w:eastAsia="Arial"/>
          <w:szCs w:val="20"/>
          <w:lang w:val="en-US"/>
        </w:rPr>
        <w:t>FinTechs</w:t>
      </w:r>
      <w:proofErr w:type="spellEnd"/>
      <w:r w:rsidRPr="0001160A">
        <w:rPr>
          <w:rFonts w:eastAsia="Arial"/>
          <w:szCs w:val="20"/>
          <w:lang w:val="en-US"/>
        </w:rPr>
        <w:t>, and stimulate the development of new business models. Adapting to the new requirements will need a lot of investment and EU members have until 2018 to implement it.</w:t>
      </w:r>
    </w:p>
    <w:p w14:paraId="1A2A4833" w14:textId="17296FFE" w:rsidR="0001160A" w:rsidRPr="0001160A" w:rsidRDefault="0001160A" w:rsidP="00975844">
      <w:pPr>
        <w:spacing w:after="240"/>
        <w:rPr>
          <w:rFonts w:eastAsia="Arial"/>
          <w:szCs w:val="20"/>
          <w:lang w:val="en-US"/>
        </w:rPr>
      </w:pPr>
      <w:r w:rsidRPr="0001160A">
        <w:rPr>
          <w:rFonts w:eastAsia="Arial"/>
          <w:szCs w:val="20"/>
          <w:lang w:val="en-US"/>
        </w:rPr>
        <w:t>To assist banks in the adoption of PSD2, PwC has created a European Centre of Excellence that help</w:t>
      </w:r>
      <w:r w:rsidR="00D80967">
        <w:rPr>
          <w:rFonts w:eastAsia="Arial"/>
          <w:szCs w:val="20"/>
          <w:lang w:val="en-US"/>
        </w:rPr>
        <w:t>s</w:t>
      </w:r>
      <w:r w:rsidRPr="0001160A">
        <w:rPr>
          <w:rFonts w:eastAsia="Arial"/>
          <w:szCs w:val="20"/>
          <w:lang w:val="en-US"/>
        </w:rPr>
        <w:t xml:space="preserve"> companies to turn PSD2 into an opportunity</w:t>
      </w:r>
      <w:r w:rsidR="00D80967">
        <w:rPr>
          <w:rFonts w:eastAsia="Arial"/>
          <w:szCs w:val="20"/>
          <w:lang w:val="en-US"/>
        </w:rPr>
        <w:t xml:space="preserve"> on a national as well as cross-</w:t>
      </w:r>
      <w:r w:rsidRPr="0001160A">
        <w:rPr>
          <w:rFonts w:eastAsia="Arial"/>
          <w:szCs w:val="20"/>
          <w:lang w:val="en-US"/>
        </w:rPr>
        <w:t>European level. For mor</w:t>
      </w:r>
      <w:r>
        <w:rPr>
          <w:rFonts w:eastAsia="Arial"/>
          <w:szCs w:val="20"/>
          <w:lang w:val="en-US"/>
        </w:rPr>
        <w:t xml:space="preserve">e information, please visit: </w:t>
      </w:r>
      <w:hyperlink r:id="rId9" w:history="1">
        <w:r w:rsidRPr="0001160A">
          <w:rPr>
            <w:rStyle w:val="Hyperlink"/>
            <w:rFonts w:eastAsia="Arial"/>
            <w:color w:val="00B0F0"/>
            <w:szCs w:val="20"/>
            <w:u w:val="none"/>
            <w:lang w:val="en-US"/>
          </w:rPr>
          <w:t>www.pwc.com/psd2</w:t>
        </w:r>
      </w:hyperlink>
      <w:r w:rsidRPr="0001160A">
        <w:rPr>
          <w:rFonts w:eastAsia="Arial"/>
          <w:color w:val="00B0F0"/>
          <w:szCs w:val="20"/>
          <w:lang w:val="en-US"/>
        </w:rPr>
        <w:t xml:space="preserve"> </w:t>
      </w:r>
    </w:p>
    <w:p w14:paraId="6AED9707" w14:textId="77777777" w:rsidR="00A40DB7" w:rsidRPr="00A403DD" w:rsidRDefault="00A40DB7" w:rsidP="00A40DB7">
      <w:pPr>
        <w:pStyle w:val="BodyText"/>
        <w:jc w:val="right"/>
        <w:rPr>
          <w:b/>
        </w:rPr>
      </w:pPr>
      <w:r w:rsidRPr="00A403DD">
        <w:rPr>
          <w:b/>
        </w:rPr>
        <w:t>ENDS</w:t>
      </w:r>
    </w:p>
    <w:p w14:paraId="37C7D9BC" w14:textId="77777777" w:rsidR="00A40DB7" w:rsidRDefault="00A40DB7" w:rsidP="00A40DB7">
      <w:pPr>
        <w:rPr>
          <w:b/>
          <w:lang w:val="en-US"/>
        </w:rPr>
      </w:pPr>
      <w:r>
        <w:rPr>
          <w:b/>
          <w:lang w:val="en-US"/>
        </w:rPr>
        <w:t>Notes to editors:</w:t>
      </w:r>
    </w:p>
    <w:p w14:paraId="08F8D43F" w14:textId="77777777" w:rsidR="00A40DB7" w:rsidRDefault="00A40DB7" w:rsidP="00A40DB7">
      <w:pPr>
        <w:rPr>
          <w:b/>
          <w:lang w:val="en-US"/>
        </w:rPr>
      </w:pPr>
    </w:p>
    <w:p w14:paraId="4CF32B49" w14:textId="77777777" w:rsidR="00A40DB7" w:rsidRDefault="00A40DB7" w:rsidP="00A40DB7">
      <w:pPr>
        <w:rPr>
          <w:b/>
          <w:lang w:val="en-US"/>
        </w:rPr>
      </w:pPr>
      <w:r w:rsidRPr="007B2711">
        <w:rPr>
          <w:b/>
          <w:lang w:val="en-US"/>
        </w:rPr>
        <w:t>About the survey</w:t>
      </w:r>
    </w:p>
    <w:p w14:paraId="27D0646A" w14:textId="77777777" w:rsidR="00A942F1" w:rsidRDefault="00A942F1" w:rsidP="00A40DB7">
      <w:pPr>
        <w:rPr>
          <w:lang w:val="en-US"/>
        </w:rPr>
      </w:pPr>
    </w:p>
    <w:p w14:paraId="16E0AE04" w14:textId="1B62AFBF" w:rsidR="00D44681" w:rsidRDefault="00D44681" w:rsidP="00A40DB7">
      <w:pPr>
        <w:rPr>
          <w:lang w:val="en-US"/>
        </w:rPr>
      </w:pPr>
      <w:r>
        <w:rPr>
          <w:lang w:val="en-US"/>
        </w:rPr>
        <w:t xml:space="preserve">In the first </w:t>
      </w:r>
      <w:r w:rsidR="00F84EFC">
        <w:rPr>
          <w:lang w:val="en-US"/>
        </w:rPr>
        <w:t>half</w:t>
      </w:r>
      <w:r>
        <w:rPr>
          <w:lang w:val="en-US"/>
        </w:rPr>
        <w:t xml:space="preserve"> of 2017–</w:t>
      </w:r>
      <w:r w:rsidRPr="00D44681">
        <w:rPr>
          <w:lang w:val="en-US"/>
        </w:rPr>
        <w:t xml:space="preserve">and a year after </w:t>
      </w:r>
      <w:r>
        <w:rPr>
          <w:lang w:val="en-US"/>
        </w:rPr>
        <w:t xml:space="preserve"> “</w:t>
      </w:r>
      <w:hyperlink r:id="rId10" w:history="1">
        <w:r w:rsidRPr="00D44681">
          <w:rPr>
            <w:rStyle w:val="Hyperlink"/>
            <w:color w:val="00B0F0"/>
            <w:u w:val="none"/>
            <w:lang w:val="en-US"/>
          </w:rPr>
          <w:t>Catalyst or Threat</w:t>
        </w:r>
      </w:hyperlink>
      <w:r>
        <w:rPr>
          <w:lang w:val="en-US"/>
        </w:rPr>
        <w:t xml:space="preserve">” study–PwC and Strategy&amp; </w:t>
      </w:r>
      <w:proofErr w:type="spellStart"/>
      <w:r>
        <w:rPr>
          <w:lang w:val="en-US"/>
        </w:rPr>
        <w:t>analys</w:t>
      </w:r>
      <w:r w:rsidRPr="00D44681">
        <w:rPr>
          <w:lang w:val="en-US"/>
        </w:rPr>
        <w:t>ed</w:t>
      </w:r>
      <w:proofErr w:type="spellEnd"/>
      <w:r w:rsidRPr="00D44681">
        <w:rPr>
          <w:lang w:val="en-US"/>
        </w:rPr>
        <w:t xml:space="preserve"> banks’ perception of PSD2 again. To capture the industry perspective, senior representatives of 39 leading banks in eighteen countries (Italy, Denmark, UK, France, Slovakia, Czech Republic, Belgium, Finland, Luxembourg, Poland, Ireland, Switzerland, Spain, Portugal, Germany, Netherlands, Austria and Norway) were inter</w:t>
      </w:r>
      <w:r>
        <w:rPr>
          <w:lang w:val="en-US"/>
        </w:rPr>
        <w:t xml:space="preserve">viewed. The findings were </w:t>
      </w:r>
      <w:proofErr w:type="spellStart"/>
      <w:r>
        <w:rPr>
          <w:lang w:val="en-US"/>
        </w:rPr>
        <w:t>analys</w:t>
      </w:r>
      <w:r w:rsidRPr="00D44681">
        <w:rPr>
          <w:lang w:val="en-US"/>
        </w:rPr>
        <w:t>ed</w:t>
      </w:r>
      <w:proofErr w:type="spellEnd"/>
      <w:r w:rsidRPr="00D44681">
        <w:rPr>
          <w:lang w:val="en-US"/>
        </w:rPr>
        <w:t xml:space="preserve"> and evaluated by leading think</w:t>
      </w:r>
      <w:r w:rsidR="005E5B25">
        <w:rPr>
          <w:lang w:val="en-US"/>
        </w:rPr>
        <w:t>ers of the global PwC PSD2 center</w:t>
      </w:r>
      <w:r w:rsidRPr="00D44681">
        <w:rPr>
          <w:lang w:val="en-US"/>
        </w:rPr>
        <w:t xml:space="preserve"> of excellence, which combines experts with regulatory, technology and strategy backgrounds</w:t>
      </w:r>
      <w:r>
        <w:rPr>
          <w:lang w:val="en-US"/>
        </w:rPr>
        <w:t>.</w:t>
      </w:r>
    </w:p>
    <w:p w14:paraId="6C68324F" w14:textId="77777777" w:rsidR="00D44681" w:rsidRDefault="00D44681" w:rsidP="00A40DB7">
      <w:pPr>
        <w:rPr>
          <w:lang w:val="en-US"/>
        </w:rPr>
      </w:pPr>
    </w:p>
    <w:p w14:paraId="774BA25C" w14:textId="1D2A8AB0" w:rsidR="00D44681" w:rsidRPr="00D44681" w:rsidRDefault="00D44681" w:rsidP="00A40DB7">
      <w:pPr>
        <w:rPr>
          <w:lang w:val="en-US"/>
        </w:rPr>
      </w:pPr>
      <w:r>
        <w:rPr>
          <w:lang w:val="en-US"/>
        </w:rPr>
        <w:t xml:space="preserve">Download the report here: </w:t>
      </w:r>
      <w:hyperlink r:id="rId11" w:history="1">
        <w:r w:rsidRPr="00B0675E">
          <w:rPr>
            <w:rStyle w:val="Hyperlink"/>
            <w:rFonts w:asciiTheme="majorHAnsi" w:hAnsiTheme="majorHAnsi"/>
            <w:color w:val="00B0F0"/>
            <w:szCs w:val="20"/>
            <w:u w:val="none"/>
          </w:rPr>
          <w:t>www.pwc.com/psd2</w:t>
        </w:r>
        <w:r w:rsidR="0001160A" w:rsidRPr="00B0675E">
          <w:rPr>
            <w:rStyle w:val="Hyperlink"/>
            <w:rFonts w:asciiTheme="majorHAnsi" w:hAnsiTheme="majorHAnsi"/>
            <w:color w:val="00B0F0"/>
            <w:szCs w:val="20"/>
            <w:u w:val="none"/>
          </w:rPr>
          <w:t>-readiness</w:t>
        </w:r>
      </w:hyperlink>
    </w:p>
    <w:p w14:paraId="151CA8BE" w14:textId="77777777" w:rsidR="00D44681" w:rsidRDefault="00D44681" w:rsidP="00A40DB7">
      <w:pPr>
        <w:rPr>
          <w:b/>
          <w:lang w:val="en-US"/>
        </w:rPr>
      </w:pPr>
    </w:p>
    <w:p w14:paraId="23DC4C20" w14:textId="44809D3B" w:rsidR="00A40DB7" w:rsidRPr="00CE357E" w:rsidRDefault="00A40DB7" w:rsidP="00A40DB7">
      <w:pPr>
        <w:rPr>
          <w:b/>
          <w:lang w:val="en-US"/>
        </w:rPr>
      </w:pPr>
      <w:r w:rsidRPr="00CE357E">
        <w:rPr>
          <w:b/>
          <w:lang w:val="en-US"/>
        </w:rPr>
        <w:t xml:space="preserve">About PwC </w:t>
      </w:r>
    </w:p>
    <w:p w14:paraId="5561285D" w14:textId="77777777" w:rsidR="00A942F1" w:rsidRDefault="00A942F1" w:rsidP="00A40DB7">
      <w:pPr>
        <w:spacing w:line="240" w:lineRule="auto"/>
        <w:ind w:right="202"/>
        <w:jc w:val="both"/>
        <w:rPr>
          <w:rFonts w:asciiTheme="majorHAnsi" w:hAnsiTheme="majorHAnsi" w:cs="Georgia"/>
          <w:color w:val="000000"/>
          <w:szCs w:val="20"/>
        </w:rPr>
      </w:pPr>
    </w:p>
    <w:p w14:paraId="0B564F3B" w14:textId="45249DED" w:rsidR="00A40DB7" w:rsidRPr="005C1639" w:rsidRDefault="00A40DB7" w:rsidP="005E5B25">
      <w:pPr>
        <w:spacing w:line="240" w:lineRule="auto"/>
        <w:ind w:right="202"/>
        <w:rPr>
          <w:rFonts w:asciiTheme="majorHAnsi" w:hAnsiTheme="majorHAnsi" w:cs="Georgia"/>
          <w:color w:val="000000"/>
          <w:szCs w:val="20"/>
        </w:rPr>
      </w:pPr>
      <w:r w:rsidRPr="005C1639">
        <w:rPr>
          <w:rFonts w:asciiTheme="majorHAnsi" w:hAnsiTheme="majorHAnsi" w:cs="Georgia"/>
          <w:color w:val="000000"/>
          <w:szCs w:val="20"/>
        </w:rPr>
        <w:t>At PwC, our purpose is to build trust in society and solve important problems.</w:t>
      </w:r>
      <w:r w:rsidR="0001160A">
        <w:rPr>
          <w:rFonts w:asciiTheme="majorHAnsi" w:hAnsiTheme="majorHAnsi" w:cs="Georgia"/>
          <w:color w:val="000000"/>
          <w:szCs w:val="20"/>
        </w:rPr>
        <w:t xml:space="preserve"> We’re a network of firms in 158 countries with more than 236</w:t>
      </w:r>
      <w:r w:rsidRPr="005C1639">
        <w:rPr>
          <w:rFonts w:asciiTheme="majorHAnsi" w:hAnsiTheme="majorHAnsi" w:cs="Georgia"/>
          <w:color w:val="000000"/>
          <w:szCs w:val="20"/>
        </w:rPr>
        <w:t xml:space="preserve">,000 people who are committed to delivering quality in assurance, advisory and tax services. Find out more and tell us what matters to you by visiting us at </w:t>
      </w:r>
      <w:hyperlink r:id="rId12" w:history="1">
        <w:r w:rsidRPr="0066766D">
          <w:rPr>
            <w:rStyle w:val="Hyperlink"/>
            <w:rFonts w:asciiTheme="majorHAnsi" w:hAnsiTheme="majorHAnsi" w:cs="Georgia"/>
            <w:color w:val="00B0F0"/>
            <w:szCs w:val="20"/>
            <w:u w:val="none"/>
          </w:rPr>
          <w:t>www.pwc.com</w:t>
        </w:r>
      </w:hyperlink>
      <w:r w:rsidRPr="005C1639">
        <w:rPr>
          <w:rFonts w:asciiTheme="majorHAnsi" w:hAnsiTheme="majorHAnsi" w:cs="Georgia"/>
          <w:color w:val="000000"/>
          <w:szCs w:val="20"/>
        </w:rPr>
        <w:t>.</w:t>
      </w:r>
    </w:p>
    <w:p w14:paraId="092A3CF0" w14:textId="77777777" w:rsidR="00A40DB7" w:rsidRDefault="00A40DB7" w:rsidP="00A40DB7">
      <w:pPr>
        <w:spacing w:line="240" w:lineRule="auto"/>
        <w:ind w:right="202"/>
        <w:jc w:val="both"/>
        <w:rPr>
          <w:rFonts w:asciiTheme="majorHAnsi" w:hAnsiTheme="majorHAnsi" w:cs="Georgia"/>
          <w:color w:val="000000"/>
          <w:szCs w:val="20"/>
        </w:rPr>
      </w:pPr>
    </w:p>
    <w:p w14:paraId="34708700" w14:textId="77777777" w:rsidR="00A40DB7" w:rsidRPr="005C1639" w:rsidRDefault="00A40DB7" w:rsidP="005E5B25">
      <w:pPr>
        <w:spacing w:line="240" w:lineRule="auto"/>
        <w:ind w:right="202"/>
        <w:rPr>
          <w:rFonts w:asciiTheme="majorHAnsi" w:hAnsiTheme="majorHAnsi" w:cs="Georgia"/>
          <w:color w:val="000000"/>
          <w:szCs w:val="20"/>
        </w:rPr>
      </w:pPr>
      <w:r w:rsidRPr="005C1639">
        <w:rPr>
          <w:rFonts w:asciiTheme="majorHAnsi" w:hAnsiTheme="majorHAnsi" w:cs="Georgia"/>
          <w:color w:val="000000"/>
          <w:szCs w:val="20"/>
        </w:rPr>
        <w:t xml:space="preserve">PwC refers to the PwC network and/or one or more of its member firms, each of which is a separate legal entity. Please see </w:t>
      </w:r>
      <w:hyperlink r:id="rId13" w:history="1">
        <w:r w:rsidRPr="0066766D">
          <w:rPr>
            <w:rStyle w:val="Hyperlink"/>
            <w:rFonts w:asciiTheme="majorHAnsi" w:hAnsiTheme="majorHAnsi" w:cs="Georgia"/>
            <w:color w:val="00B0F0"/>
            <w:szCs w:val="20"/>
            <w:u w:val="none"/>
          </w:rPr>
          <w:t>www.pwc.com/structure</w:t>
        </w:r>
      </w:hyperlink>
      <w:r>
        <w:rPr>
          <w:rFonts w:asciiTheme="majorHAnsi" w:hAnsiTheme="majorHAnsi" w:cs="Georgia"/>
          <w:color w:val="000000"/>
          <w:szCs w:val="20"/>
        </w:rPr>
        <w:t xml:space="preserve"> </w:t>
      </w:r>
      <w:r w:rsidRPr="005C1639">
        <w:rPr>
          <w:rFonts w:asciiTheme="majorHAnsi" w:hAnsiTheme="majorHAnsi" w:cs="Georgia"/>
          <w:color w:val="000000"/>
          <w:szCs w:val="20"/>
        </w:rPr>
        <w:t>for further details.</w:t>
      </w:r>
    </w:p>
    <w:p w14:paraId="5BF7CD3C" w14:textId="77777777" w:rsidR="00A40DB7" w:rsidRDefault="00A40DB7" w:rsidP="005E5B25">
      <w:pPr>
        <w:spacing w:line="240" w:lineRule="auto"/>
        <w:rPr>
          <w:rFonts w:asciiTheme="majorHAnsi" w:hAnsiTheme="majorHAnsi" w:cs="Georgia"/>
          <w:color w:val="000000"/>
          <w:szCs w:val="20"/>
        </w:rPr>
      </w:pPr>
    </w:p>
    <w:p w14:paraId="793FA1FD" w14:textId="052825FD" w:rsidR="002369EF" w:rsidRPr="00D44681" w:rsidRDefault="00A40DB7" w:rsidP="005E5B25">
      <w:pPr>
        <w:spacing w:line="240" w:lineRule="auto"/>
        <w:rPr>
          <w:rFonts w:asciiTheme="majorHAnsi" w:hAnsiTheme="majorHAnsi" w:cs="Georgia"/>
          <w:color w:val="000000"/>
          <w:szCs w:val="20"/>
        </w:rPr>
      </w:pPr>
      <w:r w:rsidRPr="005C1639">
        <w:rPr>
          <w:rFonts w:asciiTheme="majorHAnsi" w:hAnsiTheme="majorHAnsi" w:cs="Georgia"/>
          <w:color w:val="000000"/>
          <w:szCs w:val="20"/>
        </w:rPr>
        <w:t>© 2017 PwC. All rights reserved</w:t>
      </w:r>
    </w:p>
    <w:sectPr w:rsidR="002369EF" w:rsidRPr="00D44681" w:rsidSect="00E61887">
      <w:headerReference w:type="even" r:id="rId14"/>
      <w:headerReference w:type="default" r:id="rId15"/>
      <w:footerReference w:type="even" r:id="rId16"/>
      <w:footerReference w:type="default" r:id="rId17"/>
      <w:headerReference w:type="first" r:id="rId18"/>
      <w:pgSz w:w="11907" w:h="16839"/>
      <w:pgMar w:top="2160" w:right="1440" w:bottom="1710" w:left="137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5D761" w14:textId="77777777" w:rsidR="00452578" w:rsidRDefault="00452578">
      <w:pPr>
        <w:spacing w:line="240" w:lineRule="auto"/>
      </w:pPr>
      <w:r>
        <w:separator/>
      </w:r>
    </w:p>
  </w:endnote>
  <w:endnote w:type="continuationSeparator" w:id="0">
    <w:p w14:paraId="29531257" w14:textId="77777777" w:rsidR="00452578" w:rsidRDefault="00452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7795" w14:textId="77777777" w:rsidR="00730CD2" w:rsidRDefault="00934826">
    <w:pPr>
      <w:pStyle w:val="Footer"/>
    </w:pP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sidR="00EC2718">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2340" w14:textId="77777777" w:rsidR="00730CD2" w:rsidRDefault="00934826">
    <w:pPr>
      <w:pStyle w:val="Footer"/>
    </w:pPr>
    <w:r>
      <w:fldChar w:fldCharType="begin"/>
    </w:r>
    <w:r>
      <w:instrText xml:space="preserve"> PAGE  \* MERGEFORMAT </w:instrText>
    </w:r>
    <w:r>
      <w:fldChar w:fldCharType="separate"/>
    </w:r>
    <w:r w:rsidR="007331DC">
      <w:rPr>
        <w:noProof/>
      </w:rPr>
      <w:t>3</w:t>
    </w:r>
    <w:r>
      <w:rPr>
        <w:noProof/>
      </w:rPr>
      <w:fldChar w:fldCharType="end"/>
    </w:r>
    <w:r>
      <w:t xml:space="preserve"> of </w:t>
    </w:r>
    <w:fldSimple w:instr=" NUMPAGES  \* MERGEFORMAT ">
      <w:r w:rsidR="007331DC">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3F85" w14:textId="77777777" w:rsidR="00452578" w:rsidRDefault="00452578">
      <w:pPr>
        <w:spacing w:line="240" w:lineRule="auto"/>
      </w:pPr>
      <w:r>
        <w:separator/>
      </w:r>
    </w:p>
  </w:footnote>
  <w:footnote w:type="continuationSeparator" w:id="0">
    <w:p w14:paraId="3E892B44" w14:textId="77777777" w:rsidR="00452578" w:rsidRDefault="004525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E046" w14:textId="77777777" w:rsidR="00730CD2" w:rsidRDefault="00934826">
    <w:pPr>
      <w:pStyle w:val="Header"/>
    </w:pPr>
    <w:r>
      <w:rPr>
        <w:noProof/>
        <w:lang w:val="en-US"/>
      </w:rPr>
      <w:drawing>
        <wp:anchor distT="0" distB="0" distL="114300" distR="114300" simplePos="0" relativeHeight="251661312" behindDoc="0" locked="1" layoutInCell="1" allowOverlap="1" wp14:anchorId="4696324B" wp14:editId="0B144A88">
          <wp:simplePos x="0" y="0"/>
          <wp:positionH relativeFrom="page">
            <wp:posOffset>354965</wp:posOffset>
          </wp:positionH>
          <wp:positionV relativeFrom="page">
            <wp:posOffset>90805</wp:posOffset>
          </wp:positionV>
          <wp:extent cx="1410970" cy="12687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75CA842A" w14:textId="77777777" w:rsidR="00730CD2" w:rsidRDefault="00452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499E" w14:textId="77777777" w:rsidR="00730CD2" w:rsidRDefault="00934826">
    <w:pPr>
      <w:pStyle w:val="Header"/>
    </w:pPr>
    <w:r>
      <w:rPr>
        <w:noProof/>
        <w:lang w:val="en-US"/>
      </w:rPr>
      <w:drawing>
        <wp:anchor distT="0" distB="0" distL="114300" distR="114300" simplePos="0" relativeHeight="251660288" behindDoc="0" locked="1" layoutInCell="1" allowOverlap="1" wp14:anchorId="247BEA5F" wp14:editId="40DB035F">
          <wp:simplePos x="0" y="0"/>
          <wp:positionH relativeFrom="page">
            <wp:posOffset>402590</wp:posOffset>
          </wp:positionH>
          <wp:positionV relativeFrom="page">
            <wp:posOffset>119380</wp:posOffset>
          </wp:positionV>
          <wp:extent cx="1410970" cy="12687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02E20DBD" w14:textId="77777777" w:rsidR="00730CD2" w:rsidRDefault="00452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2656F" w14:textId="77777777" w:rsidR="00730CD2" w:rsidRDefault="00934826">
    <w:pPr>
      <w:pStyle w:val="Header"/>
    </w:pPr>
    <w:r>
      <w:rPr>
        <w:noProof/>
        <w:lang w:val="en-US"/>
      </w:rPr>
      <w:drawing>
        <wp:anchor distT="0" distB="0" distL="114300" distR="114300" simplePos="0" relativeHeight="251659264" behindDoc="0" locked="1" layoutInCell="1" allowOverlap="1" wp14:anchorId="2D1D2A94" wp14:editId="52F74C27">
          <wp:simplePos x="0" y="0"/>
          <wp:positionH relativeFrom="page">
            <wp:posOffset>326390</wp:posOffset>
          </wp:positionH>
          <wp:positionV relativeFrom="page">
            <wp:posOffset>157480</wp:posOffset>
          </wp:positionV>
          <wp:extent cx="1410970" cy="1268730"/>
          <wp:effectExtent l="0" t="0" r="0" b="0"/>
          <wp:wrapNone/>
          <wp:docPr id="4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F38"/>
    <w:multiLevelType w:val="hybridMultilevel"/>
    <w:tmpl w:val="194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4C0A"/>
    <w:multiLevelType w:val="hybridMultilevel"/>
    <w:tmpl w:val="C068FCEE"/>
    <w:lvl w:ilvl="0" w:tplc="9D540A5C">
      <w:start w:val="200"/>
      <w:numFmt w:val="bullet"/>
      <w:lvlText w:val="•"/>
      <w:lvlJc w:val="left"/>
      <w:pPr>
        <w:ind w:left="1080" w:hanging="72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A5426"/>
    <w:multiLevelType w:val="hybridMultilevel"/>
    <w:tmpl w:val="D608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7731"/>
    <w:multiLevelType w:val="hybridMultilevel"/>
    <w:tmpl w:val="83AE53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69D7"/>
    <w:multiLevelType w:val="hybridMultilevel"/>
    <w:tmpl w:val="4C5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841AC"/>
    <w:multiLevelType w:val="hybridMultilevel"/>
    <w:tmpl w:val="0EB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43704"/>
    <w:multiLevelType w:val="hybridMultilevel"/>
    <w:tmpl w:val="2D8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737E0"/>
    <w:multiLevelType w:val="hybridMultilevel"/>
    <w:tmpl w:val="A1F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B4066"/>
    <w:multiLevelType w:val="hybridMultilevel"/>
    <w:tmpl w:val="A77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13B9"/>
    <w:multiLevelType w:val="hybridMultilevel"/>
    <w:tmpl w:val="C77E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335D9"/>
    <w:multiLevelType w:val="hybridMultilevel"/>
    <w:tmpl w:val="261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A0AE4"/>
    <w:multiLevelType w:val="hybridMultilevel"/>
    <w:tmpl w:val="5EAE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A3341"/>
    <w:multiLevelType w:val="hybridMultilevel"/>
    <w:tmpl w:val="B4EC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A64A4"/>
    <w:multiLevelType w:val="hybridMultilevel"/>
    <w:tmpl w:val="4FEEEFC6"/>
    <w:lvl w:ilvl="0" w:tplc="9796E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F7B72"/>
    <w:multiLevelType w:val="hybridMultilevel"/>
    <w:tmpl w:val="276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E1D9B"/>
    <w:multiLevelType w:val="hybridMultilevel"/>
    <w:tmpl w:val="0DA6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870DF"/>
    <w:multiLevelType w:val="hybridMultilevel"/>
    <w:tmpl w:val="D1D8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2251F"/>
    <w:multiLevelType w:val="hybridMultilevel"/>
    <w:tmpl w:val="3F24BDFE"/>
    <w:lvl w:ilvl="0" w:tplc="58FC2F96">
      <w:start w:val="1"/>
      <w:numFmt w:val="decimal"/>
      <w:lvlText w:val="%1."/>
      <w:lvlJc w:val="left"/>
      <w:pPr>
        <w:ind w:left="1080" w:hanging="72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E2372"/>
    <w:multiLevelType w:val="hybridMultilevel"/>
    <w:tmpl w:val="F20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07BE9"/>
    <w:multiLevelType w:val="hybridMultilevel"/>
    <w:tmpl w:val="FB9C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55A0E"/>
    <w:multiLevelType w:val="hybridMultilevel"/>
    <w:tmpl w:val="433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C5A62"/>
    <w:multiLevelType w:val="hybridMultilevel"/>
    <w:tmpl w:val="B978A53E"/>
    <w:lvl w:ilvl="0" w:tplc="68A265DA">
      <w:start w:val="1"/>
      <w:numFmt w:val="decimal"/>
      <w:lvlText w:val="%1."/>
      <w:lvlJc w:val="left"/>
      <w:pPr>
        <w:ind w:left="720" w:hanging="360"/>
      </w:pPr>
      <w:rPr>
        <w:rFonts w:ascii="Georgia" w:hAnsi="Georgi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3"/>
  </w:num>
  <w:num w:numId="5">
    <w:abstractNumId w:val="10"/>
  </w:num>
  <w:num w:numId="6">
    <w:abstractNumId w:val="19"/>
  </w:num>
  <w:num w:numId="7">
    <w:abstractNumId w:val="15"/>
  </w:num>
  <w:num w:numId="8">
    <w:abstractNumId w:val="20"/>
  </w:num>
  <w:num w:numId="9">
    <w:abstractNumId w:val="1"/>
  </w:num>
  <w:num w:numId="10">
    <w:abstractNumId w:val="18"/>
  </w:num>
  <w:num w:numId="11">
    <w:abstractNumId w:val="17"/>
  </w:num>
  <w:num w:numId="12">
    <w:abstractNumId w:val="14"/>
  </w:num>
  <w:num w:numId="13">
    <w:abstractNumId w:val="5"/>
  </w:num>
  <w:num w:numId="14">
    <w:abstractNumId w:val="4"/>
  </w:num>
  <w:num w:numId="15">
    <w:abstractNumId w:val="7"/>
  </w:num>
  <w:num w:numId="16">
    <w:abstractNumId w:val="21"/>
  </w:num>
  <w:num w:numId="17">
    <w:abstractNumId w:val="8"/>
  </w:num>
  <w:num w:numId="18">
    <w:abstractNumId w:val="9"/>
  </w:num>
  <w:num w:numId="19">
    <w:abstractNumId w:val="12"/>
  </w:num>
  <w:num w:numId="20">
    <w:abstractNumId w:val="11"/>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6"/>
    <w:rsid w:val="0000138D"/>
    <w:rsid w:val="0001160A"/>
    <w:rsid w:val="00012342"/>
    <w:rsid w:val="000152DD"/>
    <w:rsid w:val="00021EF9"/>
    <w:rsid w:val="00023FB5"/>
    <w:rsid w:val="00033625"/>
    <w:rsid w:val="00033F18"/>
    <w:rsid w:val="00042D5A"/>
    <w:rsid w:val="0005731A"/>
    <w:rsid w:val="000A554F"/>
    <w:rsid w:val="000B3DF3"/>
    <w:rsid w:val="000B3E21"/>
    <w:rsid w:val="000B45F0"/>
    <w:rsid w:val="000B4C42"/>
    <w:rsid w:val="000B55F0"/>
    <w:rsid w:val="000C5CCC"/>
    <w:rsid w:val="000D6481"/>
    <w:rsid w:val="000E0ACA"/>
    <w:rsid w:val="000E16B9"/>
    <w:rsid w:val="00117137"/>
    <w:rsid w:val="001234C3"/>
    <w:rsid w:val="001276EC"/>
    <w:rsid w:val="00132750"/>
    <w:rsid w:val="00134488"/>
    <w:rsid w:val="00151B66"/>
    <w:rsid w:val="00157069"/>
    <w:rsid w:val="00174443"/>
    <w:rsid w:val="00176305"/>
    <w:rsid w:val="001954C2"/>
    <w:rsid w:val="001A3BFD"/>
    <w:rsid w:val="001A42F7"/>
    <w:rsid w:val="001A64C4"/>
    <w:rsid w:val="001B0340"/>
    <w:rsid w:val="001B7182"/>
    <w:rsid w:val="001C1FC0"/>
    <w:rsid w:val="001D688A"/>
    <w:rsid w:val="001E2DAC"/>
    <w:rsid w:val="001F10AB"/>
    <w:rsid w:val="00214E19"/>
    <w:rsid w:val="00225674"/>
    <w:rsid w:val="0023575F"/>
    <w:rsid w:val="00235898"/>
    <w:rsid w:val="002369EF"/>
    <w:rsid w:val="00241A3E"/>
    <w:rsid w:val="00277590"/>
    <w:rsid w:val="002932F3"/>
    <w:rsid w:val="002A1E03"/>
    <w:rsid w:val="002A6E81"/>
    <w:rsid w:val="002D592E"/>
    <w:rsid w:val="002D7006"/>
    <w:rsid w:val="002E67C7"/>
    <w:rsid w:val="002F3597"/>
    <w:rsid w:val="002F48CE"/>
    <w:rsid w:val="00320630"/>
    <w:rsid w:val="0033779C"/>
    <w:rsid w:val="0037298D"/>
    <w:rsid w:val="00372F7B"/>
    <w:rsid w:val="00383734"/>
    <w:rsid w:val="003850A8"/>
    <w:rsid w:val="003866BD"/>
    <w:rsid w:val="0039030D"/>
    <w:rsid w:val="003C38AD"/>
    <w:rsid w:val="003C7C6B"/>
    <w:rsid w:val="003F5C39"/>
    <w:rsid w:val="003F79B1"/>
    <w:rsid w:val="00412D22"/>
    <w:rsid w:val="00412FB5"/>
    <w:rsid w:val="00414382"/>
    <w:rsid w:val="00416FBD"/>
    <w:rsid w:val="00421A33"/>
    <w:rsid w:val="00422180"/>
    <w:rsid w:val="004274D0"/>
    <w:rsid w:val="004318D0"/>
    <w:rsid w:val="00451370"/>
    <w:rsid w:val="00452578"/>
    <w:rsid w:val="00453296"/>
    <w:rsid w:val="00482A76"/>
    <w:rsid w:val="00482CC1"/>
    <w:rsid w:val="00493E37"/>
    <w:rsid w:val="00493E90"/>
    <w:rsid w:val="004B2ECE"/>
    <w:rsid w:val="004B744F"/>
    <w:rsid w:val="004C2B40"/>
    <w:rsid w:val="004D2A80"/>
    <w:rsid w:val="004E3744"/>
    <w:rsid w:val="004F5762"/>
    <w:rsid w:val="004F6B52"/>
    <w:rsid w:val="00506874"/>
    <w:rsid w:val="0052042F"/>
    <w:rsid w:val="00525CA0"/>
    <w:rsid w:val="00537718"/>
    <w:rsid w:val="00563FEB"/>
    <w:rsid w:val="00581B3D"/>
    <w:rsid w:val="005824EA"/>
    <w:rsid w:val="005838B0"/>
    <w:rsid w:val="005844AF"/>
    <w:rsid w:val="00586B44"/>
    <w:rsid w:val="00591A4C"/>
    <w:rsid w:val="0059590A"/>
    <w:rsid w:val="005A659C"/>
    <w:rsid w:val="005B0BF8"/>
    <w:rsid w:val="005C1639"/>
    <w:rsid w:val="005C2717"/>
    <w:rsid w:val="005C36BE"/>
    <w:rsid w:val="005D3F0A"/>
    <w:rsid w:val="005E5B25"/>
    <w:rsid w:val="005F5420"/>
    <w:rsid w:val="005F5B2E"/>
    <w:rsid w:val="005F7B22"/>
    <w:rsid w:val="006325DB"/>
    <w:rsid w:val="00636F82"/>
    <w:rsid w:val="00646250"/>
    <w:rsid w:val="0065354F"/>
    <w:rsid w:val="0065427F"/>
    <w:rsid w:val="006555C6"/>
    <w:rsid w:val="0066766D"/>
    <w:rsid w:val="00671EC4"/>
    <w:rsid w:val="00672FB3"/>
    <w:rsid w:val="006849F3"/>
    <w:rsid w:val="00695872"/>
    <w:rsid w:val="0069709C"/>
    <w:rsid w:val="006B0290"/>
    <w:rsid w:val="006C7865"/>
    <w:rsid w:val="006D5C63"/>
    <w:rsid w:val="006F339E"/>
    <w:rsid w:val="00707363"/>
    <w:rsid w:val="00720D56"/>
    <w:rsid w:val="007262DB"/>
    <w:rsid w:val="007331DC"/>
    <w:rsid w:val="00742168"/>
    <w:rsid w:val="0076192A"/>
    <w:rsid w:val="00763ACF"/>
    <w:rsid w:val="0077628E"/>
    <w:rsid w:val="00785C47"/>
    <w:rsid w:val="007958ED"/>
    <w:rsid w:val="007B30BC"/>
    <w:rsid w:val="007B380B"/>
    <w:rsid w:val="007B3E4F"/>
    <w:rsid w:val="007B7EF4"/>
    <w:rsid w:val="007D4965"/>
    <w:rsid w:val="007D79EE"/>
    <w:rsid w:val="00801DE4"/>
    <w:rsid w:val="00802BA0"/>
    <w:rsid w:val="0080313E"/>
    <w:rsid w:val="00810D22"/>
    <w:rsid w:val="00814C53"/>
    <w:rsid w:val="00821AF5"/>
    <w:rsid w:val="00830328"/>
    <w:rsid w:val="00842E91"/>
    <w:rsid w:val="008507E3"/>
    <w:rsid w:val="00853BC3"/>
    <w:rsid w:val="00861335"/>
    <w:rsid w:val="0086401C"/>
    <w:rsid w:val="008750EF"/>
    <w:rsid w:val="00877F70"/>
    <w:rsid w:val="008942E2"/>
    <w:rsid w:val="008A4008"/>
    <w:rsid w:val="008B0E53"/>
    <w:rsid w:val="008B52BF"/>
    <w:rsid w:val="008B6EE5"/>
    <w:rsid w:val="008C1D6D"/>
    <w:rsid w:val="008D04E6"/>
    <w:rsid w:val="008E62E2"/>
    <w:rsid w:val="009032AC"/>
    <w:rsid w:val="00934614"/>
    <w:rsid w:val="00934826"/>
    <w:rsid w:val="0094013D"/>
    <w:rsid w:val="009556B9"/>
    <w:rsid w:val="009569D4"/>
    <w:rsid w:val="00956FC4"/>
    <w:rsid w:val="00963693"/>
    <w:rsid w:val="00975844"/>
    <w:rsid w:val="00980CB5"/>
    <w:rsid w:val="009B3FF1"/>
    <w:rsid w:val="009B43F8"/>
    <w:rsid w:val="009B7E6A"/>
    <w:rsid w:val="009C65D1"/>
    <w:rsid w:val="009D3B88"/>
    <w:rsid w:val="009E365F"/>
    <w:rsid w:val="009E4591"/>
    <w:rsid w:val="009F66B8"/>
    <w:rsid w:val="00A006BB"/>
    <w:rsid w:val="00A06EE3"/>
    <w:rsid w:val="00A119E3"/>
    <w:rsid w:val="00A13AB2"/>
    <w:rsid w:val="00A16362"/>
    <w:rsid w:val="00A20925"/>
    <w:rsid w:val="00A30DE9"/>
    <w:rsid w:val="00A370A8"/>
    <w:rsid w:val="00A40DB7"/>
    <w:rsid w:val="00A42B83"/>
    <w:rsid w:val="00A65D85"/>
    <w:rsid w:val="00A80EA3"/>
    <w:rsid w:val="00A9189B"/>
    <w:rsid w:val="00A942F1"/>
    <w:rsid w:val="00AC1045"/>
    <w:rsid w:val="00AE364E"/>
    <w:rsid w:val="00AE6289"/>
    <w:rsid w:val="00AF7705"/>
    <w:rsid w:val="00B0675E"/>
    <w:rsid w:val="00B33BFD"/>
    <w:rsid w:val="00B369F3"/>
    <w:rsid w:val="00B409BB"/>
    <w:rsid w:val="00B43B71"/>
    <w:rsid w:val="00B43B88"/>
    <w:rsid w:val="00B63E06"/>
    <w:rsid w:val="00BB402D"/>
    <w:rsid w:val="00BD4335"/>
    <w:rsid w:val="00BE6B1D"/>
    <w:rsid w:val="00C014DB"/>
    <w:rsid w:val="00C05325"/>
    <w:rsid w:val="00C1382B"/>
    <w:rsid w:val="00C14787"/>
    <w:rsid w:val="00C21381"/>
    <w:rsid w:val="00C40413"/>
    <w:rsid w:val="00C40B31"/>
    <w:rsid w:val="00C42238"/>
    <w:rsid w:val="00C450E2"/>
    <w:rsid w:val="00C60218"/>
    <w:rsid w:val="00C63675"/>
    <w:rsid w:val="00C653DC"/>
    <w:rsid w:val="00C70DF4"/>
    <w:rsid w:val="00C77A4D"/>
    <w:rsid w:val="00C816BF"/>
    <w:rsid w:val="00C8567A"/>
    <w:rsid w:val="00CB6CD3"/>
    <w:rsid w:val="00CB705F"/>
    <w:rsid w:val="00CD62B0"/>
    <w:rsid w:val="00CD752E"/>
    <w:rsid w:val="00CF3D5E"/>
    <w:rsid w:val="00D12216"/>
    <w:rsid w:val="00D16E9A"/>
    <w:rsid w:val="00D26E02"/>
    <w:rsid w:val="00D35E59"/>
    <w:rsid w:val="00D412FD"/>
    <w:rsid w:val="00D44681"/>
    <w:rsid w:val="00D501E2"/>
    <w:rsid w:val="00D50B5F"/>
    <w:rsid w:val="00D53110"/>
    <w:rsid w:val="00D57B1C"/>
    <w:rsid w:val="00D61C8A"/>
    <w:rsid w:val="00D62519"/>
    <w:rsid w:val="00D67FB6"/>
    <w:rsid w:val="00D73213"/>
    <w:rsid w:val="00D80967"/>
    <w:rsid w:val="00D84A78"/>
    <w:rsid w:val="00DA1BE3"/>
    <w:rsid w:val="00DB1B13"/>
    <w:rsid w:val="00DD2F23"/>
    <w:rsid w:val="00DD752F"/>
    <w:rsid w:val="00DF2E31"/>
    <w:rsid w:val="00E01F21"/>
    <w:rsid w:val="00E07430"/>
    <w:rsid w:val="00E2728E"/>
    <w:rsid w:val="00E31094"/>
    <w:rsid w:val="00E50699"/>
    <w:rsid w:val="00E51E31"/>
    <w:rsid w:val="00E61887"/>
    <w:rsid w:val="00E6727B"/>
    <w:rsid w:val="00E7013A"/>
    <w:rsid w:val="00E70E7D"/>
    <w:rsid w:val="00E716F7"/>
    <w:rsid w:val="00E81AA2"/>
    <w:rsid w:val="00EC2718"/>
    <w:rsid w:val="00EE043F"/>
    <w:rsid w:val="00EE13F1"/>
    <w:rsid w:val="00EF2C33"/>
    <w:rsid w:val="00F00A04"/>
    <w:rsid w:val="00F04480"/>
    <w:rsid w:val="00F048AE"/>
    <w:rsid w:val="00F13A28"/>
    <w:rsid w:val="00F13E0A"/>
    <w:rsid w:val="00F243C8"/>
    <w:rsid w:val="00F24490"/>
    <w:rsid w:val="00F2652E"/>
    <w:rsid w:val="00F320E0"/>
    <w:rsid w:val="00F44924"/>
    <w:rsid w:val="00F4662A"/>
    <w:rsid w:val="00F507F8"/>
    <w:rsid w:val="00F62EF9"/>
    <w:rsid w:val="00F66232"/>
    <w:rsid w:val="00F71BD8"/>
    <w:rsid w:val="00F814CD"/>
    <w:rsid w:val="00F84EFC"/>
    <w:rsid w:val="00F91A72"/>
    <w:rsid w:val="00FB6285"/>
    <w:rsid w:val="00FC0251"/>
    <w:rsid w:val="00FC02B2"/>
    <w:rsid w:val="00FC1EAE"/>
    <w:rsid w:val="00FD6C7F"/>
    <w:rsid w:val="00FE5E70"/>
    <w:rsid w:val="00FF0FEC"/>
    <w:rsid w:val="00FF5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D6DC"/>
  <w15:chartTrackingRefBased/>
  <w15:docId w15:val="{0F390A15-2E05-471A-82B0-AB1D4250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26"/>
    <w:pPr>
      <w:spacing w:after="0" w:line="240" w:lineRule="atLeast"/>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826"/>
    <w:pPr>
      <w:tabs>
        <w:tab w:val="center" w:pos="4513"/>
        <w:tab w:val="right" w:pos="9026"/>
      </w:tabs>
      <w:spacing w:line="240" w:lineRule="auto"/>
    </w:pPr>
  </w:style>
  <w:style w:type="character" w:customStyle="1" w:styleId="HeaderChar">
    <w:name w:val="Header Char"/>
    <w:basedOn w:val="DefaultParagraphFont"/>
    <w:link w:val="Header"/>
    <w:rsid w:val="00934826"/>
    <w:rPr>
      <w:rFonts w:eastAsia="Calibri" w:cs="Times New Roman"/>
      <w:lang w:val="en-GB"/>
    </w:rPr>
  </w:style>
  <w:style w:type="paragraph" w:styleId="Footer">
    <w:name w:val="footer"/>
    <w:basedOn w:val="Normal"/>
    <w:link w:val="FooterChar"/>
    <w:uiPriority w:val="99"/>
    <w:semiHidden/>
    <w:rsid w:val="0093482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34826"/>
    <w:rPr>
      <w:rFonts w:eastAsia="Calibri" w:cs="Times New Roman"/>
      <w:lang w:val="en-GB"/>
    </w:rPr>
  </w:style>
  <w:style w:type="paragraph" w:styleId="Title">
    <w:name w:val="Title"/>
    <w:basedOn w:val="Normal"/>
    <w:next w:val="Normal"/>
    <w:link w:val="TitleChar"/>
    <w:uiPriority w:val="10"/>
    <w:qFormat/>
    <w:rsid w:val="0093482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934826"/>
    <w:rPr>
      <w:rFonts w:ascii="Cambria" w:eastAsia="Times New Roman" w:hAnsi="Cambria" w:cs="Times New Roman"/>
      <w:b/>
      <w:i/>
      <w:color w:val="000000"/>
      <w:spacing w:val="5"/>
      <w:kern w:val="28"/>
      <w:sz w:val="24"/>
      <w:szCs w:val="52"/>
      <w:lang w:val="en-GB"/>
    </w:rPr>
  </w:style>
  <w:style w:type="paragraph" w:styleId="ListParagraph">
    <w:name w:val="List Paragraph"/>
    <w:basedOn w:val="Normal"/>
    <w:uiPriority w:val="34"/>
    <w:unhideWhenUsed/>
    <w:qFormat/>
    <w:rsid w:val="00934826"/>
    <w:pPr>
      <w:spacing w:after="240"/>
      <w:ind w:left="720"/>
      <w:contextualSpacing/>
    </w:pPr>
    <w:rPr>
      <w:rFonts w:ascii="Calibri" w:eastAsia="Times New Roman" w:hAnsi="Calibri"/>
      <w:color w:val="000000"/>
      <w:sz w:val="21"/>
      <w:szCs w:val="21"/>
      <w:lang w:eastAsia="zh-CN"/>
    </w:rPr>
  </w:style>
  <w:style w:type="character" w:styleId="CommentReference">
    <w:name w:val="annotation reference"/>
    <w:basedOn w:val="DefaultParagraphFont"/>
    <w:uiPriority w:val="99"/>
    <w:semiHidden/>
    <w:unhideWhenUsed/>
    <w:rsid w:val="00934826"/>
    <w:rPr>
      <w:sz w:val="16"/>
      <w:szCs w:val="16"/>
    </w:rPr>
  </w:style>
  <w:style w:type="paragraph" w:styleId="CommentText">
    <w:name w:val="annotation text"/>
    <w:basedOn w:val="Normal"/>
    <w:link w:val="CommentTextChar"/>
    <w:uiPriority w:val="99"/>
    <w:semiHidden/>
    <w:unhideWhenUsed/>
    <w:rsid w:val="00934826"/>
    <w:pPr>
      <w:spacing w:line="240" w:lineRule="auto"/>
    </w:pPr>
    <w:rPr>
      <w:szCs w:val="20"/>
    </w:rPr>
  </w:style>
  <w:style w:type="character" w:customStyle="1" w:styleId="CommentTextChar">
    <w:name w:val="Comment Text Char"/>
    <w:basedOn w:val="DefaultParagraphFont"/>
    <w:link w:val="CommentText"/>
    <w:uiPriority w:val="99"/>
    <w:semiHidden/>
    <w:rsid w:val="00934826"/>
    <w:rPr>
      <w:rFonts w:eastAsia="Calibri" w:cs="Times New Roman"/>
      <w:szCs w:val="20"/>
      <w:lang w:val="en-GB"/>
    </w:rPr>
  </w:style>
  <w:style w:type="paragraph" w:styleId="BalloonText">
    <w:name w:val="Balloon Text"/>
    <w:basedOn w:val="Normal"/>
    <w:link w:val="BalloonTextChar"/>
    <w:uiPriority w:val="99"/>
    <w:semiHidden/>
    <w:unhideWhenUsed/>
    <w:rsid w:val="00F265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2E"/>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2652E"/>
    <w:rPr>
      <w:b/>
      <w:bCs/>
    </w:rPr>
  </w:style>
  <w:style w:type="character" w:customStyle="1" w:styleId="CommentSubjectChar">
    <w:name w:val="Comment Subject Char"/>
    <w:basedOn w:val="CommentTextChar"/>
    <w:link w:val="CommentSubject"/>
    <w:uiPriority w:val="99"/>
    <w:semiHidden/>
    <w:rsid w:val="00F2652E"/>
    <w:rPr>
      <w:rFonts w:eastAsia="Calibri" w:cs="Times New Roman"/>
      <w:b/>
      <w:bCs/>
      <w:szCs w:val="20"/>
      <w:lang w:val="en-GB"/>
    </w:rPr>
  </w:style>
  <w:style w:type="paragraph" w:styleId="Revision">
    <w:name w:val="Revision"/>
    <w:hidden/>
    <w:uiPriority w:val="99"/>
    <w:semiHidden/>
    <w:rsid w:val="005A659C"/>
    <w:pPr>
      <w:spacing w:after="0" w:line="240" w:lineRule="auto"/>
    </w:pPr>
    <w:rPr>
      <w:rFonts w:eastAsia="Calibri" w:cs="Times New Roman"/>
      <w:lang w:val="en-GB"/>
    </w:rPr>
  </w:style>
  <w:style w:type="character" w:styleId="Hyperlink">
    <w:name w:val="Hyperlink"/>
    <w:basedOn w:val="DefaultParagraphFont"/>
    <w:uiPriority w:val="99"/>
    <w:unhideWhenUsed/>
    <w:rsid w:val="00412FB5"/>
    <w:rPr>
      <w:color w:val="0000FF" w:themeColor="hyperlink"/>
      <w:u w:val="single"/>
    </w:rPr>
  </w:style>
  <w:style w:type="character" w:customStyle="1" w:styleId="left">
    <w:name w:val="left"/>
    <w:basedOn w:val="DefaultParagraphFont"/>
    <w:rsid w:val="00453296"/>
  </w:style>
  <w:style w:type="paragraph" w:styleId="NormalWeb">
    <w:name w:val="Normal (Web)"/>
    <w:basedOn w:val="Normal"/>
    <w:uiPriority w:val="99"/>
    <w:unhideWhenUsed/>
    <w:rsid w:val="00AF770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F7705"/>
    <w:rPr>
      <w:b/>
      <w:bCs/>
    </w:rPr>
  </w:style>
  <w:style w:type="character" w:customStyle="1" w:styleId="apple-converted-space">
    <w:name w:val="apple-converted-space"/>
    <w:basedOn w:val="DefaultParagraphFont"/>
    <w:rsid w:val="00AF7705"/>
  </w:style>
  <w:style w:type="character" w:styleId="Emphasis">
    <w:name w:val="Emphasis"/>
    <w:basedOn w:val="DefaultParagraphFont"/>
    <w:uiPriority w:val="20"/>
    <w:qFormat/>
    <w:rsid w:val="009D3B88"/>
    <w:rPr>
      <w:i/>
      <w:iCs/>
    </w:rPr>
  </w:style>
  <w:style w:type="table" w:styleId="TableGrid">
    <w:name w:val="Table Grid"/>
    <w:basedOn w:val="TableNormal"/>
    <w:uiPriority w:val="59"/>
    <w:rsid w:val="002369EF"/>
    <w:pPr>
      <w:spacing w:after="0" w:line="240" w:lineRule="auto"/>
    </w:pPr>
    <w:rPr>
      <w:rFonts w:ascii="Calibri" w:eastAsiaTheme="minorEastAsia" w:hAnsi="Calibri"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D2A80"/>
    <w:rPr>
      <w:i/>
      <w:iCs/>
    </w:rPr>
  </w:style>
  <w:style w:type="paragraph" w:styleId="BodyText">
    <w:name w:val="Body Text"/>
    <w:basedOn w:val="Normal"/>
    <w:link w:val="BodyTextChar"/>
    <w:qFormat/>
    <w:rsid w:val="00A40DB7"/>
    <w:pPr>
      <w:spacing w:after="240"/>
    </w:pPr>
    <w:rPr>
      <w:rFonts w:eastAsiaTheme="minorHAnsi" w:cstheme="minorBidi"/>
      <w:szCs w:val="20"/>
    </w:rPr>
  </w:style>
  <w:style w:type="character" w:customStyle="1" w:styleId="BodyTextChar">
    <w:name w:val="Body Text Char"/>
    <w:basedOn w:val="DefaultParagraphFont"/>
    <w:link w:val="BodyText"/>
    <w:rsid w:val="00A40DB7"/>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329">
      <w:bodyDiv w:val="1"/>
      <w:marLeft w:val="0"/>
      <w:marRight w:val="0"/>
      <w:marTop w:val="0"/>
      <w:marBottom w:val="0"/>
      <w:divBdr>
        <w:top w:val="none" w:sz="0" w:space="0" w:color="auto"/>
        <w:left w:val="none" w:sz="0" w:space="0" w:color="auto"/>
        <w:bottom w:val="none" w:sz="0" w:space="0" w:color="auto"/>
        <w:right w:val="none" w:sz="0" w:space="0" w:color="auto"/>
      </w:divBdr>
    </w:div>
    <w:div w:id="240994614">
      <w:bodyDiv w:val="1"/>
      <w:marLeft w:val="0"/>
      <w:marRight w:val="0"/>
      <w:marTop w:val="0"/>
      <w:marBottom w:val="0"/>
      <w:divBdr>
        <w:top w:val="none" w:sz="0" w:space="0" w:color="auto"/>
        <w:left w:val="none" w:sz="0" w:space="0" w:color="auto"/>
        <w:bottom w:val="none" w:sz="0" w:space="0" w:color="auto"/>
        <w:right w:val="none" w:sz="0" w:space="0" w:color="auto"/>
      </w:divBdr>
    </w:div>
    <w:div w:id="381295868">
      <w:bodyDiv w:val="1"/>
      <w:marLeft w:val="0"/>
      <w:marRight w:val="0"/>
      <w:marTop w:val="0"/>
      <w:marBottom w:val="0"/>
      <w:divBdr>
        <w:top w:val="none" w:sz="0" w:space="0" w:color="auto"/>
        <w:left w:val="none" w:sz="0" w:space="0" w:color="auto"/>
        <w:bottom w:val="none" w:sz="0" w:space="0" w:color="auto"/>
        <w:right w:val="none" w:sz="0" w:space="0" w:color="auto"/>
      </w:divBdr>
      <w:divsChild>
        <w:div w:id="103306954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sChild>
    </w:div>
    <w:div w:id="535393644">
      <w:bodyDiv w:val="1"/>
      <w:marLeft w:val="0"/>
      <w:marRight w:val="0"/>
      <w:marTop w:val="0"/>
      <w:marBottom w:val="0"/>
      <w:divBdr>
        <w:top w:val="none" w:sz="0" w:space="0" w:color="auto"/>
        <w:left w:val="none" w:sz="0" w:space="0" w:color="auto"/>
        <w:bottom w:val="none" w:sz="0" w:space="0" w:color="auto"/>
        <w:right w:val="none" w:sz="0" w:space="0" w:color="auto"/>
      </w:divBdr>
    </w:div>
    <w:div w:id="613290033">
      <w:bodyDiv w:val="1"/>
      <w:marLeft w:val="0"/>
      <w:marRight w:val="0"/>
      <w:marTop w:val="0"/>
      <w:marBottom w:val="0"/>
      <w:divBdr>
        <w:top w:val="none" w:sz="0" w:space="0" w:color="auto"/>
        <w:left w:val="none" w:sz="0" w:space="0" w:color="auto"/>
        <w:bottom w:val="none" w:sz="0" w:space="0" w:color="auto"/>
        <w:right w:val="none" w:sz="0" w:space="0" w:color="auto"/>
      </w:divBdr>
    </w:div>
    <w:div w:id="1105617966">
      <w:bodyDiv w:val="1"/>
      <w:marLeft w:val="0"/>
      <w:marRight w:val="0"/>
      <w:marTop w:val="0"/>
      <w:marBottom w:val="0"/>
      <w:divBdr>
        <w:top w:val="none" w:sz="0" w:space="0" w:color="auto"/>
        <w:left w:val="none" w:sz="0" w:space="0" w:color="auto"/>
        <w:bottom w:val="none" w:sz="0" w:space="0" w:color="auto"/>
        <w:right w:val="none" w:sz="0" w:space="0" w:color="auto"/>
      </w:divBdr>
      <w:divsChild>
        <w:div w:id="1333490681">
          <w:marLeft w:val="0"/>
          <w:marRight w:val="0"/>
          <w:marTop w:val="0"/>
          <w:marBottom w:val="0"/>
          <w:divBdr>
            <w:top w:val="none" w:sz="0" w:space="0" w:color="auto"/>
            <w:left w:val="none" w:sz="0" w:space="0" w:color="auto"/>
            <w:bottom w:val="none" w:sz="0" w:space="0" w:color="auto"/>
            <w:right w:val="none" w:sz="0" w:space="0" w:color="auto"/>
          </w:divBdr>
          <w:divsChild>
            <w:div w:id="738752876">
              <w:marLeft w:val="0"/>
              <w:marRight w:val="0"/>
              <w:marTop w:val="0"/>
              <w:marBottom w:val="0"/>
              <w:divBdr>
                <w:top w:val="none" w:sz="0" w:space="0" w:color="auto"/>
                <w:left w:val="none" w:sz="0" w:space="0" w:color="auto"/>
                <w:bottom w:val="none" w:sz="0" w:space="0" w:color="auto"/>
                <w:right w:val="none" w:sz="0" w:space="0" w:color="auto"/>
              </w:divBdr>
              <w:divsChild>
                <w:div w:id="1019743160">
                  <w:marLeft w:val="0"/>
                  <w:marRight w:val="0"/>
                  <w:marTop w:val="0"/>
                  <w:marBottom w:val="0"/>
                  <w:divBdr>
                    <w:top w:val="none" w:sz="0" w:space="0" w:color="auto"/>
                    <w:left w:val="none" w:sz="0" w:space="0" w:color="auto"/>
                    <w:bottom w:val="none" w:sz="0" w:space="0" w:color="auto"/>
                    <w:right w:val="none" w:sz="0" w:space="0" w:color="auto"/>
                  </w:divBdr>
                  <w:divsChild>
                    <w:div w:id="880480535">
                      <w:marLeft w:val="0"/>
                      <w:marRight w:val="0"/>
                      <w:marTop w:val="0"/>
                      <w:marBottom w:val="0"/>
                      <w:divBdr>
                        <w:top w:val="none" w:sz="0" w:space="0" w:color="auto"/>
                        <w:left w:val="none" w:sz="0" w:space="0" w:color="auto"/>
                        <w:bottom w:val="none" w:sz="0" w:space="0" w:color="auto"/>
                        <w:right w:val="none" w:sz="0" w:space="0" w:color="auto"/>
                      </w:divBdr>
                      <w:divsChild>
                        <w:div w:id="1823810489">
                          <w:marLeft w:val="0"/>
                          <w:marRight w:val="0"/>
                          <w:marTop w:val="0"/>
                          <w:marBottom w:val="0"/>
                          <w:divBdr>
                            <w:top w:val="none" w:sz="0" w:space="0" w:color="auto"/>
                            <w:left w:val="none" w:sz="0" w:space="0" w:color="auto"/>
                            <w:bottom w:val="none" w:sz="0" w:space="0" w:color="auto"/>
                            <w:right w:val="none" w:sz="0" w:space="0" w:color="auto"/>
                          </w:divBdr>
                          <w:divsChild>
                            <w:div w:id="1270158073">
                              <w:marLeft w:val="0"/>
                              <w:marRight w:val="0"/>
                              <w:marTop w:val="0"/>
                              <w:marBottom w:val="0"/>
                              <w:divBdr>
                                <w:top w:val="none" w:sz="0" w:space="0" w:color="auto"/>
                                <w:left w:val="none" w:sz="0" w:space="0" w:color="auto"/>
                                <w:bottom w:val="none" w:sz="0" w:space="0" w:color="auto"/>
                                <w:right w:val="none" w:sz="0" w:space="0" w:color="auto"/>
                              </w:divBdr>
                              <w:divsChild>
                                <w:div w:id="1552963976">
                                  <w:marLeft w:val="0"/>
                                  <w:marRight w:val="0"/>
                                  <w:marTop w:val="0"/>
                                  <w:marBottom w:val="0"/>
                                  <w:divBdr>
                                    <w:top w:val="none" w:sz="0" w:space="0" w:color="auto"/>
                                    <w:left w:val="none" w:sz="0" w:space="0" w:color="auto"/>
                                    <w:bottom w:val="none" w:sz="0" w:space="0" w:color="auto"/>
                                    <w:right w:val="none" w:sz="0" w:space="0" w:color="auto"/>
                                  </w:divBdr>
                                  <w:divsChild>
                                    <w:div w:id="1331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1656">
                          <w:marLeft w:val="0"/>
                          <w:marRight w:val="0"/>
                          <w:marTop w:val="0"/>
                          <w:marBottom w:val="0"/>
                          <w:divBdr>
                            <w:top w:val="none" w:sz="0" w:space="0" w:color="auto"/>
                            <w:left w:val="none" w:sz="0" w:space="0" w:color="auto"/>
                            <w:bottom w:val="none" w:sz="0" w:space="0" w:color="auto"/>
                            <w:right w:val="none" w:sz="0" w:space="0" w:color="auto"/>
                          </w:divBdr>
                          <w:divsChild>
                            <w:div w:id="1801872558">
                              <w:marLeft w:val="0"/>
                              <w:marRight w:val="0"/>
                              <w:marTop w:val="0"/>
                              <w:marBottom w:val="0"/>
                              <w:divBdr>
                                <w:top w:val="none" w:sz="0" w:space="0" w:color="auto"/>
                                <w:left w:val="none" w:sz="0" w:space="0" w:color="auto"/>
                                <w:bottom w:val="none" w:sz="0" w:space="0" w:color="auto"/>
                                <w:right w:val="none" w:sz="0" w:space="0" w:color="auto"/>
                              </w:divBdr>
                              <w:divsChild>
                                <w:div w:id="1579703882">
                                  <w:marLeft w:val="0"/>
                                  <w:marRight w:val="0"/>
                                  <w:marTop w:val="0"/>
                                  <w:marBottom w:val="0"/>
                                  <w:divBdr>
                                    <w:top w:val="none" w:sz="0" w:space="0" w:color="auto"/>
                                    <w:left w:val="none" w:sz="0" w:space="0" w:color="auto"/>
                                    <w:bottom w:val="none" w:sz="0" w:space="0" w:color="auto"/>
                                    <w:right w:val="none" w:sz="0" w:space="0" w:color="auto"/>
                                  </w:divBdr>
                                  <w:divsChild>
                                    <w:div w:id="19867416">
                                      <w:marLeft w:val="0"/>
                                      <w:marRight w:val="0"/>
                                      <w:marTop w:val="0"/>
                                      <w:marBottom w:val="0"/>
                                      <w:divBdr>
                                        <w:top w:val="none" w:sz="0" w:space="0" w:color="auto"/>
                                        <w:left w:val="none" w:sz="0" w:space="0" w:color="auto"/>
                                        <w:bottom w:val="none" w:sz="0" w:space="0" w:color="auto"/>
                                        <w:right w:val="none" w:sz="0" w:space="0" w:color="auto"/>
                                      </w:divBdr>
                                      <w:divsChild>
                                        <w:div w:id="21010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998535">
      <w:bodyDiv w:val="1"/>
      <w:marLeft w:val="0"/>
      <w:marRight w:val="0"/>
      <w:marTop w:val="0"/>
      <w:marBottom w:val="0"/>
      <w:divBdr>
        <w:top w:val="none" w:sz="0" w:space="0" w:color="auto"/>
        <w:left w:val="none" w:sz="0" w:space="0" w:color="auto"/>
        <w:bottom w:val="none" w:sz="0" w:space="0" w:color="auto"/>
        <w:right w:val="none" w:sz="0" w:space="0" w:color="auto"/>
      </w:divBdr>
    </w:div>
    <w:div w:id="1679766479">
      <w:bodyDiv w:val="1"/>
      <w:marLeft w:val="0"/>
      <w:marRight w:val="0"/>
      <w:marTop w:val="0"/>
      <w:marBottom w:val="0"/>
      <w:divBdr>
        <w:top w:val="none" w:sz="0" w:space="0" w:color="auto"/>
        <w:left w:val="none" w:sz="0" w:space="0" w:color="auto"/>
        <w:bottom w:val="none" w:sz="0" w:space="0" w:color="auto"/>
        <w:right w:val="none" w:sz="0" w:space="0" w:color="auto"/>
      </w:divBdr>
    </w:div>
    <w:div w:id="1915816408">
      <w:bodyDiv w:val="1"/>
      <w:marLeft w:val="0"/>
      <w:marRight w:val="0"/>
      <w:marTop w:val="0"/>
      <w:marBottom w:val="0"/>
      <w:divBdr>
        <w:top w:val="none" w:sz="0" w:space="0" w:color="auto"/>
        <w:left w:val="none" w:sz="0" w:space="0" w:color="auto"/>
        <w:bottom w:val="none" w:sz="0" w:space="0" w:color="auto"/>
        <w:right w:val="none" w:sz="0" w:space="0" w:color="auto"/>
      </w:divBdr>
    </w:div>
    <w:div w:id="1930889988">
      <w:bodyDiv w:val="1"/>
      <w:marLeft w:val="0"/>
      <w:marRight w:val="0"/>
      <w:marTop w:val="0"/>
      <w:marBottom w:val="0"/>
      <w:divBdr>
        <w:top w:val="none" w:sz="0" w:space="0" w:color="auto"/>
        <w:left w:val="none" w:sz="0" w:space="0" w:color="auto"/>
        <w:bottom w:val="none" w:sz="0" w:space="0" w:color="auto"/>
        <w:right w:val="none" w:sz="0" w:space="0" w:color="auto"/>
      </w:divBdr>
      <w:divsChild>
        <w:div w:id="389811687">
          <w:marLeft w:val="0"/>
          <w:marRight w:val="0"/>
          <w:marTop w:val="0"/>
          <w:marBottom w:val="0"/>
          <w:divBdr>
            <w:top w:val="none" w:sz="0" w:space="0" w:color="auto"/>
            <w:left w:val="none" w:sz="0" w:space="0" w:color="auto"/>
            <w:bottom w:val="none" w:sz="0" w:space="0" w:color="auto"/>
            <w:right w:val="none" w:sz="0" w:space="0" w:color="auto"/>
          </w:divBdr>
          <w:divsChild>
            <w:div w:id="1397629786">
              <w:marLeft w:val="0"/>
              <w:marRight w:val="0"/>
              <w:marTop w:val="0"/>
              <w:marBottom w:val="0"/>
              <w:divBdr>
                <w:top w:val="none" w:sz="0" w:space="0" w:color="auto"/>
                <w:left w:val="none" w:sz="0" w:space="0" w:color="auto"/>
                <w:bottom w:val="none" w:sz="0" w:space="0" w:color="auto"/>
                <w:right w:val="none" w:sz="0" w:space="0" w:color="auto"/>
              </w:divBdr>
            </w:div>
            <w:div w:id="1321153138">
              <w:marLeft w:val="0"/>
              <w:marRight w:val="0"/>
              <w:marTop w:val="0"/>
              <w:marBottom w:val="0"/>
              <w:divBdr>
                <w:top w:val="none" w:sz="0" w:space="0" w:color="auto"/>
                <w:left w:val="none" w:sz="0" w:space="0" w:color="auto"/>
                <w:bottom w:val="none" w:sz="0" w:space="0" w:color="auto"/>
                <w:right w:val="none" w:sz="0" w:space="0" w:color="auto"/>
              </w:divBdr>
            </w:div>
            <w:div w:id="1133018552">
              <w:marLeft w:val="0"/>
              <w:marRight w:val="0"/>
              <w:marTop w:val="0"/>
              <w:marBottom w:val="0"/>
              <w:divBdr>
                <w:top w:val="none" w:sz="0" w:space="0" w:color="auto"/>
                <w:left w:val="none" w:sz="0" w:space="0" w:color="auto"/>
                <w:bottom w:val="none" w:sz="0" w:space="0" w:color="auto"/>
                <w:right w:val="none" w:sz="0" w:space="0" w:color="auto"/>
              </w:divBdr>
              <w:divsChild>
                <w:div w:id="2056004128">
                  <w:marLeft w:val="0"/>
                  <w:marRight w:val="0"/>
                  <w:marTop w:val="0"/>
                  <w:marBottom w:val="0"/>
                  <w:divBdr>
                    <w:top w:val="none" w:sz="0" w:space="0" w:color="auto"/>
                    <w:left w:val="none" w:sz="0" w:space="0" w:color="auto"/>
                    <w:bottom w:val="none" w:sz="0" w:space="0" w:color="auto"/>
                    <w:right w:val="none" w:sz="0" w:space="0" w:color="auto"/>
                  </w:divBdr>
                  <w:divsChild>
                    <w:div w:id="1954357977">
                      <w:marLeft w:val="0"/>
                      <w:marRight w:val="0"/>
                      <w:marTop w:val="0"/>
                      <w:marBottom w:val="0"/>
                      <w:divBdr>
                        <w:top w:val="none" w:sz="0" w:space="0" w:color="auto"/>
                        <w:left w:val="none" w:sz="0" w:space="0" w:color="auto"/>
                        <w:bottom w:val="none" w:sz="0" w:space="0" w:color="auto"/>
                        <w:right w:val="none" w:sz="0" w:space="0" w:color="auto"/>
                      </w:divBdr>
                      <w:divsChild>
                        <w:div w:id="1928228341">
                          <w:marLeft w:val="0"/>
                          <w:marRight w:val="0"/>
                          <w:marTop w:val="0"/>
                          <w:marBottom w:val="0"/>
                          <w:divBdr>
                            <w:top w:val="none" w:sz="0" w:space="0" w:color="auto"/>
                            <w:left w:val="none" w:sz="0" w:space="0" w:color="auto"/>
                            <w:bottom w:val="none" w:sz="0" w:space="0" w:color="auto"/>
                            <w:right w:val="none" w:sz="0" w:space="0" w:color="auto"/>
                          </w:divBdr>
                          <w:divsChild>
                            <w:div w:id="1410150137">
                              <w:marLeft w:val="0"/>
                              <w:marRight w:val="0"/>
                              <w:marTop w:val="0"/>
                              <w:marBottom w:val="0"/>
                              <w:divBdr>
                                <w:top w:val="none" w:sz="0" w:space="0" w:color="auto"/>
                                <w:left w:val="none" w:sz="0" w:space="0" w:color="auto"/>
                                <w:bottom w:val="none" w:sz="0" w:space="0" w:color="auto"/>
                                <w:right w:val="none" w:sz="0" w:space="0" w:color="auto"/>
                              </w:divBdr>
                            </w:div>
                            <w:div w:id="4871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4494">
      <w:bodyDiv w:val="1"/>
      <w:marLeft w:val="0"/>
      <w:marRight w:val="0"/>
      <w:marTop w:val="0"/>
      <w:marBottom w:val="0"/>
      <w:divBdr>
        <w:top w:val="none" w:sz="0" w:space="0" w:color="auto"/>
        <w:left w:val="none" w:sz="0" w:space="0" w:color="auto"/>
        <w:bottom w:val="none" w:sz="0" w:space="0" w:color="auto"/>
        <w:right w:val="none" w:sz="0" w:space="0" w:color="auto"/>
      </w:divBdr>
    </w:div>
    <w:div w:id="2130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psd2-readiness" TargetMode="External"/><Relationship Id="rId13" Type="http://schemas.openxmlformats.org/officeDocument/2006/relationships/hyperlink" Target="http://www.pwc.com/structur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psd2-readine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rategyand.pwc.com/reports/catalyst-or-thre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wc.com/psd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A59F-70C9-466C-8E31-7EF8569B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940</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PricewaterhouseCoopers</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J Mearley</dc:creator>
  <cp:keywords/>
  <dc:description/>
  <cp:lastModifiedBy>Blankenspoor, Joost</cp:lastModifiedBy>
  <cp:revision>3</cp:revision>
  <cp:lastPrinted>2017-05-08T04:12:00Z</cp:lastPrinted>
  <dcterms:created xsi:type="dcterms:W3CDTF">2017-10-16T09:01:00Z</dcterms:created>
  <dcterms:modified xsi:type="dcterms:W3CDTF">2017-10-17T11:16:00Z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ies>
</file>