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820" w:type="dxa"/>
        <w:tblInd w:w="-90" w:type="dxa"/>
        <w:tblLook w:val="04A0" w:firstRow="1" w:lastRow="0" w:firstColumn="1" w:lastColumn="0" w:noHBand="0" w:noVBand="1"/>
      </w:tblPr>
      <w:tblGrid>
        <w:gridCol w:w="2448"/>
        <w:gridCol w:w="6372"/>
      </w:tblGrid>
      <w:tr w:rsidR="00D14598" w:rsidRPr="003C6132" w14:paraId="756E1700" w14:textId="77777777">
        <w:tc>
          <w:tcPr>
            <w:tcW w:w="8820" w:type="dxa"/>
            <w:gridSpan w:val="2"/>
            <w:tcBorders>
              <w:top w:val="single" w:sz="6" w:space="0" w:color="C00000"/>
              <w:left w:val="nil"/>
              <w:bottom w:val="nil"/>
              <w:right w:val="nil"/>
            </w:tcBorders>
          </w:tcPr>
          <w:p w14:paraId="01C3CE2D" w14:textId="77777777" w:rsidR="00D14598" w:rsidRPr="003C6132" w:rsidRDefault="00D14598" w:rsidP="0065081B">
            <w:pPr>
              <w:spacing w:line="240" w:lineRule="auto"/>
              <w:ind w:left="-108"/>
              <w:rPr>
                <w:b/>
                <w:i/>
                <w:szCs w:val="20"/>
              </w:rPr>
            </w:pPr>
            <w:r w:rsidRPr="003C6132">
              <w:rPr>
                <w:b/>
                <w:i/>
                <w:szCs w:val="20"/>
              </w:rPr>
              <w:t>News Release</w:t>
            </w:r>
          </w:p>
          <w:p w14:paraId="4FC937CA" w14:textId="77777777" w:rsidR="00D14598" w:rsidRPr="003C6132" w:rsidRDefault="00D14598" w:rsidP="0065081B">
            <w:pPr>
              <w:spacing w:line="240" w:lineRule="auto"/>
              <w:ind w:left="-108"/>
              <w:rPr>
                <w:b/>
                <w:i/>
                <w:szCs w:val="20"/>
              </w:rPr>
            </w:pPr>
          </w:p>
        </w:tc>
      </w:tr>
      <w:tr w:rsidR="006444EE" w:rsidRPr="003C6132" w14:paraId="1F708A2C" w14:textId="77777777">
        <w:tc>
          <w:tcPr>
            <w:tcW w:w="2448" w:type="dxa"/>
            <w:tcBorders>
              <w:top w:val="nil"/>
              <w:left w:val="nil"/>
              <w:bottom w:val="nil"/>
              <w:right w:val="nil"/>
            </w:tcBorders>
          </w:tcPr>
          <w:p w14:paraId="1B754AF2" w14:textId="77777777" w:rsidR="006444EE" w:rsidRPr="003C6132" w:rsidRDefault="006444EE" w:rsidP="0065081B">
            <w:pPr>
              <w:spacing w:line="240" w:lineRule="auto"/>
              <w:ind w:left="-108"/>
              <w:rPr>
                <w:i/>
                <w:szCs w:val="20"/>
              </w:rPr>
            </w:pPr>
            <w:r w:rsidRPr="003C6132">
              <w:rPr>
                <w:i/>
                <w:szCs w:val="20"/>
              </w:rPr>
              <w:t>Date:</w:t>
            </w:r>
          </w:p>
        </w:tc>
        <w:tc>
          <w:tcPr>
            <w:tcW w:w="6372" w:type="dxa"/>
            <w:tcBorders>
              <w:top w:val="nil"/>
              <w:left w:val="nil"/>
              <w:bottom w:val="nil"/>
              <w:right w:val="nil"/>
            </w:tcBorders>
          </w:tcPr>
          <w:p w14:paraId="7DC8E7C6" w14:textId="01F7459C" w:rsidR="006444EE" w:rsidRPr="003C6132" w:rsidRDefault="00006512" w:rsidP="00006512">
            <w:pPr>
              <w:spacing w:line="240" w:lineRule="auto"/>
              <w:ind w:left="-108"/>
              <w:rPr>
                <w:szCs w:val="20"/>
              </w:rPr>
            </w:pPr>
            <w:r w:rsidRPr="003C6132">
              <w:rPr>
                <w:szCs w:val="20"/>
              </w:rPr>
              <w:t xml:space="preserve">Embargoed to </w:t>
            </w:r>
            <w:r>
              <w:rPr>
                <w:szCs w:val="20"/>
              </w:rPr>
              <w:t>12.30PM</w:t>
            </w:r>
            <w:r w:rsidRPr="003C6132">
              <w:rPr>
                <w:szCs w:val="20"/>
              </w:rPr>
              <w:t xml:space="preserve"> </w:t>
            </w:r>
            <w:r>
              <w:rPr>
                <w:szCs w:val="20"/>
              </w:rPr>
              <w:t xml:space="preserve">China Standard Time </w:t>
            </w:r>
            <w:r w:rsidRPr="003C6132">
              <w:rPr>
                <w:szCs w:val="20"/>
              </w:rPr>
              <w:t>Tuesday 27</w:t>
            </w:r>
            <w:r w:rsidRPr="003C6132">
              <w:rPr>
                <w:szCs w:val="20"/>
                <w:vertAlign w:val="superscript"/>
              </w:rPr>
              <w:t>th</w:t>
            </w:r>
            <w:r w:rsidRPr="003C6132">
              <w:rPr>
                <w:szCs w:val="20"/>
              </w:rPr>
              <w:t xml:space="preserve"> June 2017</w:t>
            </w:r>
            <w:r>
              <w:rPr>
                <w:szCs w:val="20"/>
              </w:rPr>
              <w:br/>
              <w:t>06:30 CET / 05.30 BST / 00.30 EST</w:t>
            </w:r>
          </w:p>
        </w:tc>
      </w:tr>
      <w:tr w:rsidR="006444EE" w:rsidRPr="003C6132" w14:paraId="34735FF8" w14:textId="77777777">
        <w:tc>
          <w:tcPr>
            <w:tcW w:w="2448" w:type="dxa"/>
            <w:tcBorders>
              <w:top w:val="nil"/>
              <w:left w:val="nil"/>
              <w:bottom w:val="nil"/>
              <w:right w:val="nil"/>
            </w:tcBorders>
          </w:tcPr>
          <w:p w14:paraId="3B717B8C" w14:textId="77777777" w:rsidR="006444EE" w:rsidRPr="003C6132" w:rsidRDefault="006444EE" w:rsidP="0065081B">
            <w:pPr>
              <w:spacing w:line="240" w:lineRule="auto"/>
              <w:ind w:left="-108"/>
              <w:rPr>
                <w:i/>
                <w:szCs w:val="20"/>
              </w:rPr>
            </w:pPr>
          </w:p>
        </w:tc>
        <w:tc>
          <w:tcPr>
            <w:tcW w:w="6372" w:type="dxa"/>
            <w:tcBorders>
              <w:top w:val="nil"/>
              <w:left w:val="nil"/>
              <w:bottom w:val="nil"/>
              <w:right w:val="nil"/>
            </w:tcBorders>
          </w:tcPr>
          <w:p w14:paraId="0B9D813B" w14:textId="77777777" w:rsidR="006444EE" w:rsidRPr="003C6132" w:rsidRDefault="006444EE" w:rsidP="0065081B">
            <w:pPr>
              <w:spacing w:line="240" w:lineRule="auto"/>
              <w:ind w:left="-108"/>
              <w:rPr>
                <w:szCs w:val="20"/>
              </w:rPr>
            </w:pPr>
          </w:p>
        </w:tc>
      </w:tr>
      <w:tr w:rsidR="006444EE" w:rsidRPr="003C6132" w14:paraId="40FAEDA1" w14:textId="77777777">
        <w:tc>
          <w:tcPr>
            <w:tcW w:w="2448" w:type="dxa"/>
            <w:tcBorders>
              <w:top w:val="nil"/>
              <w:left w:val="nil"/>
              <w:bottom w:val="nil"/>
              <w:right w:val="nil"/>
            </w:tcBorders>
          </w:tcPr>
          <w:p w14:paraId="49357506" w14:textId="77777777" w:rsidR="006444EE" w:rsidRPr="003C6132" w:rsidRDefault="006444EE" w:rsidP="0065081B">
            <w:pPr>
              <w:spacing w:line="240" w:lineRule="auto"/>
              <w:ind w:left="-108"/>
              <w:rPr>
                <w:i/>
                <w:szCs w:val="20"/>
              </w:rPr>
            </w:pPr>
            <w:r w:rsidRPr="003C6132">
              <w:rPr>
                <w:i/>
                <w:szCs w:val="20"/>
              </w:rPr>
              <w:t>Contact:</w:t>
            </w:r>
          </w:p>
        </w:tc>
        <w:tc>
          <w:tcPr>
            <w:tcW w:w="6372" w:type="dxa"/>
            <w:tcBorders>
              <w:top w:val="nil"/>
              <w:left w:val="nil"/>
              <w:bottom w:val="nil"/>
              <w:right w:val="nil"/>
            </w:tcBorders>
          </w:tcPr>
          <w:p w14:paraId="22D74F68" w14:textId="4E253B1B" w:rsidR="006444EE" w:rsidRPr="003C6132" w:rsidRDefault="004C5C0B" w:rsidP="0065081B">
            <w:pPr>
              <w:spacing w:line="240" w:lineRule="auto"/>
              <w:ind w:left="-108"/>
              <w:rPr>
                <w:szCs w:val="20"/>
              </w:rPr>
            </w:pPr>
            <w:r w:rsidRPr="003C6132">
              <w:rPr>
                <w:szCs w:val="20"/>
              </w:rPr>
              <w:t>Rowena Mearley</w:t>
            </w:r>
          </w:p>
          <w:p w14:paraId="390E15A9" w14:textId="6C832F77" w:rsidR="004E7BD7" w:rsidRPr="003C6132" w:rsidRDefault="000354FE" w:rsidP="0065081B">
            <w:pPr>
              <w:spacing w:line="240" w:lineRule="auto"/>
              <w:ind w:left="-108"/>
              <w:rPr>
                <w:szCs w:val="20"/>
              </w:rPr>
            </w:pPr>
            <w:r w:rsidRPr="003C6132">
              <w:rPr>
                <w:szCs w:val="20"/>
              </w:rPr>
              <w:t>Global Communications</w:t>
            </w:r>
          </w:p>
          <w:p w14:paraId="6C61B5CE" w14:textId="6BAD4EA2" w:rsidR="004E7BD7" w:rsidRPr="003C6132" w:rsidRDefault="004E7BD7" w:rsidP="0065081B">
            <w:pPr>
              <w:spacing w:line="240" w:lineRule="auto"/>
              <w:ind w:left="-108"/>
              <w:rPr>
                <w:szCs w:val="20"/>
              </w:rPr>
            </w:pPr>
            <w:r w:rsidRPr="003C6132">
              <w:rPr>
                <w:szCs w:val="20"/>
              </w:rPr>
              <w:t>Tel</w:t>
            </w:r>
            <w:r w:rsidR="004C5C0B" w:rsidRPr="003C6132">
              <w:rPr>
                <w:szCs w:val="20"/>
              </w:rPr>
              <w:t>: +1 646 313 0937</w:t>
            </w:r>
            <w:r w:rsidRPr="003C6132">
              <w:rPr>
                <w:szCs w:val="20"/>
              </w:rPr>
              <w:t xml:space="preserve"> / </w:t>
            </w:r>
            <w:r w:rsidR="000354FE" w:rsidRPr="003C6132">
              <w:rPr>
                <w:szCs w:val="20"/>
              </w:rPr>
              <w:t>mobile: +</w:t>
            </w:r>
            <w:r w:rsidR="004C5C0B" w:rsidRPr="003C6132">
              <w:rPr>
                <w:szCs w:val="20"/>
              </w:rPr>
              <w:t>1 347 501 0931</w:t>
            </w:r>
          </w:p>
          <w:p w14:paraId="7B888FA0" w14:textId="401003A1" w:rsidR="004E7BD7" w:rsidRPr="003C6132" w:rsidRDefault="004E7BD7" w:rsidP="0065081B">
            <w:pPr>
              <w:spacing w:line="240" w:lineRule="auto"/>
              <w:ind w:left="-108"/>
              <w:rPr>
                <w:szCs w:val="20"/>
              </w:rPr>
            </w:pPr>
            <w:r w:rsidRPr="003C6132">
              <w:rPr>
                <w:szCs w:val="20"/>
              </w:rPr>
              <w:t xml:space="preserve">Email </w:t>
            </w:r>
            <w:r w:rsidR="004C5C0B" w:rsidRPr="003C6132">
              <w:rPr>
                <w:szCs w:val="20"/>
              </w:rPr>
              <w:t>Rowena.j.mearley@pwc.com</w:t>
            </w:r>
          </w:p>
        </w:tc>
      </w:tr>
      <w:tr w:rsidR="006444EE" w:rsidRPr="003C6132" w14:paraId="2C312918" w14:textId="77777777">
        <w:tc>
          <w:tcPr>
            <w:tcW w:w="2448" w:type="dxa"/>
            <w:tcBorders>
              <w:top w:val="nil"/>
              <w:left w:val="nil"/>
              <w:bottom w:val="nil"/>
              <w:right w:val="nil"/>
            </w:tcBorders>
          </w:tcPr>
          <w:p w14:paraId="757B00BE" w14:textId="77777777" w:rsidR="006444EE" w:rsidRPr="003C6132" w:rsidRDefault="006444EE" w:rsidP="0065081B">
            <w:pPr>
              <w:spacing w:line="240" w:lineRule="auto"/>
              <w:ind w:left="-108"/>
              <w:rPr>
                <w:i/>
                <w:szCs w:val="20"/>
              </w:rPr>
            </w:pPr>
          </w:p>
        </w:tc>
        <w:tc>
          <w:tcPr>
            <w:tcW w:w="6372" w:type="dxa"/>
            <w:tcBorders>
              <w:top w:val="nil"/>
              <w:left w:val="nil"/>
              <w:bottom w:val="nil"/>
              <w:right w:val="nil"/>
            </w:tcBorders>
          </w:tcPr>
          <w:p w14:paraId="0AD86F44" w14:textId="77777777" w:rsidR="006444EE" w:rsidRPr="003C6132" w:rsidRDefault="006444EE" w:rsidP="0065081B">
            <w:pPr>
              <w:spacing w:line="240" w:lineRule="auto"/>
              <w:ind w:left="-108"/>
              <w:rPr>
                <w:szCs w:val="20"/>
              </w:rPr>
            </w:pPr>
          </w:p>
        </w:tc>
      </w:tr>
      <w:tr w:rsidR="006444EE" w:rsidRPr="003C6132" w14:paraId="5D1E5974" w14:textId="77777777">
        <w:tc>
          <w:tcPr>
            <w:tcW w:w="2448" w:type="dxa"/>
            <w:tcBorders>
              <w:top w:val="nil"/>
              <w:left w:val="nil"/>
              <w:bottom w:val="nil"/>
              <w:right w:val="nil"/>
            </w:tcBorders>
          </w:tcPr>
          <w:p w14:paraId="750249B1" w14:textId="77777777" w:rsidR="006444EE" w:rsidRPr="003C6132" w:rsidRDefault="006444EE" w:rsidP="0065081B">
            <w:pPr>
              <w:spacing w:line="240" w:lineRule="auto"/>
              <w:ind w:left="-108"/>
              <w:rPr>
                <w:i/>
                <w:szCs w:val="20"/>
              </w:rPr>
            </w:pPr>
            <w:r w:rsidRPr="003C6132">
              <w:rPr>
                <w:i/>
                <w:szCs w:val="20"/>
              </w:rPr>
              <w:t>No. of pages</w:t>
            </w:r>
          </w:p>
        </w:tc>
        <w:tc>
          <w:tcPr>
            <w:tcW w:w="6372" w:type="dxa"/>
            <w:tcBorders>
              <w:top w:val="nil"/>
              <w:left w:val="nil"/>
              <w:bottom w:val="nil"/>
              <w:right w:val="nil"/>
            </w:tcBorders>
          </w:tcPr>
          <w:p w14:paraId="73D2128B" w14:textId="3BF203F6" w:rsidR="006444EE" w:rsidRPr="003C6132" w:rsidRDefault="00006512" w:rsidP="0065081B">
            <w:pPr>
              <w:spacing w:line="240" w:lineRule="auto"/>
              <w:ind w:left="-108"/>
              <w:rPr>
                <w:szCs w:val="20"/>
              </w:rPr>
            </w:pPr>
            <w:r>
              <w:rPr>
                <w:szCs w:val="20"/>
              </w:rPr>
              <w:t>3</w:t>
            </w:r>
          </w:p>
        </w:tc>
      </w:tr>
      <w:tr w:rsidR="006444EE" w:rsidRPr="003C6132" w14:paraId="5AB268CB" w14:textId="77777777">
        <w:tc>
          <w:tcPr>
            <w:tcW w:w="2448" w:type="dxa"/>
            <w:tcBorders>
              <w:top w:val="nil"/>
              <w:left w:val="nil"/>
              <w:bottom w:val="nil"/>
              <w:right w:val="nil"/>
            </w:tcBorders>
          </w:tcPr>
          <w:p w14:paraId="705A93D3" w14:textId="77777777" w:rsidR="006444EE" w:rsidRPr="003C6132" w:rsidRDefault="006444EE" w:rsidP="0065081B">
            <w:pPr>
              <w:spacing w:line="240" w:lineRule="auto"/>
              <w:ind w:left="-108"/>
              <w:rPr>
                <w:szCs w:val="20"/>
              </w:rPr>
            </w:pPr>
          </w:p>
        </w:tc>
        <w:tc>
          <w:tcPr>
            <w:tcW w:w="6372" w:type="dxa"/>
            <w:tcBorders>
              <w:top w:val="nil"/>
              <w:left w:val="nil"/>
              <w:bottom w:val="nil"/>
              <w:right w:val="nil"/>
            </w:tcBorders>
          </w:tcPr>
          <w:p w14:paraId="5DE5F9F1" w14:textId="77777777" w:rsidR="006444EE" w:rsidRPr="003C6132" w:rsidRDefault="006444EE" w:rsidP="0065081B">
            <w:pPr>
              <w:spacing w:line="240" w:lineRule="auto"/>
              <w:ind w:left="-108"/>
              <w:rPr>
                <w:szCs w:val="20"/>
              </w:rPr>
            </w:pPr>
          </w:p>
        </w:tc>
      </w:tr>
      <w:tr w:rsidR="006444EE" w:rsidRPr="003C6132" w14:paraId="68746FD1" w14:textId="77777777">
        <w:trPr>
          <w:trHeight w:val="288"/>
        </w:trPr>
        <w:tc>
          <w:tcPr>
            <w:tcW w:w="2448" w:type="dxa"/>
            <w:tcBorders>
              <w:top w:val="nil"/>
              <w:left w:val="nil"/>
              <w:bottom w:val="single" w:sz="6" w:space="0" w:color="C00000"/>
              <w:right w:val="nil"/>
            </w:tcBorders>
          </w:tcPr>
          <w:p w14:paraId="096B1036" w14:textId="77777777" w:rsidR="006444EE" w:rsidRPr="003C6132" w:rsidRDefault="006444EE" w:rsidP="0065081B">
            <w:pPr>
              <w:spacing w:line="240" w:lineRule="auto"/>
              <w:ind w:left="-108"/>
              <w:rPr>
                <w:szCs w:val="20"/>
              </w:rPr>
            </w:pPr>
          </w:p>
        </w:tc>
        <w:tc>
          <w:tcPr>
            <w:tcW w:w="6372" w:type="dxa"/>
            <w:tcBorders>
              <w:top w:val="nil"/>
              <w:left w:val="nil"/>
              <w:bottom w:val="single" w:sz="6" w:space="0" w:color="C00000"/>
              <w:right w:val="nil"/>
            </w:tcBorders>
          </w:tcPr>
          <w:p w14:paraId="6B59A0A3" w14:textId="77777777" w:rsidR="006444EE" w:rsidRPr="003C6132" w:rsidRDefault="000354FE" w:rsidP="0065081B">
            <w:pPr>
              <w:ind w:left="-108"/>
              <w:rPr>
                <w:color w:val="000000" w:themeColor="text1"/>
                <w:szCs w:val="20"/>
              </w:rPr>
            </w:pPr>
            <w:r w:rsidRPr="003C6132">
              <w:rPr>
                <w:color w:val="000000" w:themeColor="text1"/>
                <w:szCs w:val="20"/>
              </w:rPr>
              <w:t>Follow/retweet: @PwC</w:t>
            </w:r>
          </w:p>
        </w:tc>
      </w:tr>
    </w:tbl>
    <w:p w14:paraId="55F2A6A0" w14:textId="75CE330D" w:rsidR="002D01FB" w:rsidRPr="00250CC6" w:rsidRDefault="002D01FB" w:rsidP="00741F8D">
      <w:pPr>
        <w:spacing w:line="240" w:lineRule="auto"/>
        <w:ind w:left="-360"/>
        <w:rPr>
          <w:rFonts w:cs="Helv"/>
          <w:color w:val="000000"/>
          <w:sz w:val="26"/>
          <w:szCs w:val="26"/>
          <w:lang w:val="en-US"/>
        </w:rPr>
      </w:pPr>
    </w:p>
    <w:p w14:paraId="1D668DEC" w14:textId="10F52F53" w:rsidR="0086333A" w:rsidRPr="00250CC6" w:rsidRDefault="00AA3ED2" w:rsidP="00737FEA">
      <w:pPr>
        <w:shd w:val="clear" w:color="auto" w:fill="FFFFFF"/>
        <w:spacing w:line="240" w:lineRule="auto"/>
        <w:ind w:left="-90"/>
        <w:jc w:val="center"/>
        <w:rPr>
          <w:rFonts w:eastAsia="Times New Roman" w:cs="Arial"/>
          <w:b/>
          <w:bCs/>
          <w:color w:val="222222"/>
          <w:sz w:val="26"/>
          <w:szCs w:val="26"/>
        </w:rPr>
      </w:pPr>
      <w:r w:rsidRPr="00250CC6">
        <w:rPr>
          <w:rFonts w:eastAsia="Times New Roman" w:cs="Arial"/>
          <w:b/>
          <w:bCs/>
          <w:color w:val="222222"/>
          <w:sz w:val="26"/>
          <w:szCs w:val="26"/>
        </w:rPr>
        <w:t>AI</w:t>
      </w:r>
      <w:r w:rsidR="00467878" w:rsidRPr="00250CC6">
        <w:rPr>
          <w:rFonts w:eastAsia="Times New Roman" w:cs="Arial"/>
          <w:b/>
          <w:bCs/>
          <w:color w:val="222222"/>
          <w:sz w:val="26"/>
          <w:szCs w:val="26"/>
        </w:rPr>
        <w:t xml:space="preserve"> to drive GDP</w:t>
      </w:r>
      <w:r w:rsidR="00737FEA" w:rsidRPr="00250CC6">
        <w:rPr>
          <w:rFonts w:eastAsia="Times New Roman" w:cs="Arial"/>
          <w:b/>
          <w:bCs/>
          <w:color w:val="222222"/>
          <w:sz w:val="26"/>
          <w:szCs w:val="26"/>
        </w:rPr>
        <w:t xml:space="preserve"> gains of $15.7 trillion </w:t>
      </w:r>
      <w:r w:rsidR="00F92B2E" w:rsidRPr="00250CC6">
        <w:rPr>
          <w:rFonts w:eastAsia="Times New Roman" w:cs="Arial"/>
          <w:b/>
          <w:bCs/>
          <w:color w:val="222222"/>
          <w:sz w:val="26"/>
          <w:szCs w:val="26"/>
        </w:rPr>
        <w:t xml:space="preserve">with productivity, personalisation improvements </w:t>
      </w:r>
    </w:p>
    <w:p w14:paraId="16451775" w14:textId="77777777" w:rsidR="00205618" w:rsidRPr="003C6132" w:rsidRDefault="00205618" w:rsidP="0065081B">
      <w:pPr>
        <w:shd w:val="clear" w:color="auto" w:fill="FFFFFF"/>
        <w:spacing w:line="240" w:lineRule="auto"/>
        <w:ind w:left="-90"/>
        <w:rPr>
          <w:rFonts w:eastAsia="Times New Roman"/>
          <w:color w:val="222222"/>
          <w:szCs w:val="20"/>
        </w:rPr>
      </w:pPr>
    </w:p>
    <w:p w14:paraId="772C7469" w14:textId="01FA480B" w:rsidR="0065081B" w:rsidRPr="003C6132" w:rsidRDefault="00575B8C" w:rsidP="0065081B">
      <w:pPr>
        <w:pStyle w:val="ListParagraph"/>
        <w:numPr>
          <w:ilvl w:val="0"/>
          <w:numId w:val="11"/>
        </w:numPr>
        <w:ind w:left="180" w:hanging="270"/>
        <w:rPr>
          <w:rFonts w:ascii="Georgia" w:hAnsi="Georgia"/>
          <w:b/>
          <w:i/>
          <w:sz w:val="20"/>
          <w:szCs w:val="20"/>
          <w:lang w:eastAsia="en-GB"/>
        </w:rPr>
      </w:pPr>
      <w:r w:rsidRPr="003C6132">
        <w:rPr>
          <w:rFonts w:ascii="Georgia" w:hAnsi="Georgia"/>
          <w:b/>
          <w:i/>
          <w:sz w:val="20"/>
          <w:szCs w:val="20"/>
          <w:lang w:eastAsia="en-GB"/>
        </w:rPr>
        <w:t>G</w:t>
      </w:r>
      <w:r w:rsidR="00FC2E08" w:rsidRPr="003C6132">
        <w:rPr>
          <w:rFonts w:ascii="Georgia" w:hAnsi="Georgia"/>
          <w:b/>
          <w:i/>
          <w:sz w:val="20"/>
          <w:szCs w:val="20"/>
          <w:lang w:eastAsia="en-GB"/>
        </w:rPr>
        <w:t xml:space="preserve">lobal GDP will be 14% higher in 2030 as a result of </w:t>
      </w:r>
      <w:r w:rsidR="0065081B" w:rsidRPr="003C6132">
        <w:rPr>
          <w:rFonts w:ascii="Georgia" w:hAnsi="Georgia"/>
          <w:b/>
          <w:i/>
          <w:sz w:val="20"/>
          <w:szCs w:val="20"/>
          <w:lang w:eastAsia="en-GB"/>
        </w:rPr>
        <w:t>AI</w:t>
      </w:r>
    </w:p>
    <w:p w14:paraId="2E245A52" w14:textId="321DF0EC" w:rsidR="0065081B" w:rsidRPr="003C6132" w:rsidRDefault="00F92B2E" w:rsidP="0065081B">
      <w:pPr>
        <w:pStyle w:val="ListParagraph"/>
        <w:numPr>
          <w:ilvl w:val="0"/>
          <w:numId w:val="11"/>
        </w:numPr>
        <w:ind w:left="180" w:hanging="270"/>
        <w:rPr>
          <w:rFonts w:ascii="Georgia" w:hAnsi="Georgia"/>
          <w:b/>
          <w:i/>
          <w:sz w:val="20"/>
          <w:szCs w:val="20"/>
          <w:lang w:eastAsia="en-GB"/>
        </w:rPr>
      </w:pPr>
      <w:r w:rsidRPr="003C6132">
        <w:rPr>
          <w:rFonts w:ascii="Georgia" w:eastAsiaTheme="minorEastAsia" w:hAnsi="Georgia"/>
          <w:b/>
          <w:bCs/>
          <w:i/>
          <w:sz w:val="20"/>
          <w:szCs w:val="20"/>
        </w:rPr>
        <w:t>P</w:t>
      </w:r>
      <w:r w:rsidR="0065081B" w:rsidRPr="003C6132">
        <w:rPr>
          <w:rFonts w:ascii="Georgia" w:eastAsiaTheme="minorEastAsia" w:hAnsi="Georgia"/>
          <w:b/>
          <w:bCs/>
          <w:i/>
          <w:sz w:val="20"/>
          <w:szCs w:val="20"/>
        </w:rPr>
        <w:t>roductivity improvements are expected to account for half of all gains to 2030.</w:t>
      </w:r>
    </w:p>
    <w:p w14:paraId="1C8D2C02" w14:textId="56628D3B" w:rsidR="009A4DA2" w:rsidRPr="003C6132" w:rsidRDefault="009A4DA2" w:rsidP="0065081B">
      <w:pPr>
        <w:ind w:left="-90"/>
        <w:rPr>
          <w:szCs w:val="20"/>
          <w:lang w:eastAsia="en-GB"/>
        </w:rPr>
      </w:pPr>
      <w:r w:rsidRPr="003C6132">
        <w:rPr>
          <w:szCs w:val="20"/>
          <w:lang w:eastAsia="en-GB"/>
        </w:rPr>
        <w:t>Global GDP will be 14% higher in 2030 as a result of AI – the equivalent of an additional $15.7 trillion</w:t>
      </w:r>
      <w:r w:rsidR="00F92B2E" w:rsidRPr="003C6132">
        <w:rPr>
          <w:szCs w:val="20"/>
          <w:lang w:eastAsia="en-GB"/>
        </w:rPr>
        <w:t>. This makes it</w:t>
      </w:r>
      <w:r w:rsidRPr="003C6132">
        <w:rPr>
          <w:szCs w:val="20"/>
          <w:lang w:eastAsia="en-GB"/>
        </w:rPr>
        <w:t xml:space="preserve"> the biggest commercial opportunity in today’s fast changing economy according to new research by PwC. </w:t>
      </w:r>
    </w:p>
    <w:p w14:paraId="38A91152" w14:textId="32CBD513" w:rsidR="00953BD0" w:rsidRPr="003C6132" w:rsidRDefault="00365CB3" w:rsidP="00953BD0">
      <w:pPr>
        <w:shd w:val="clear" w:color="auto" w:fill="FFFFFF"/>
        <w:spacing w:before="100" w:beforeAutospacing="1" w:after="100" w:afterAutospacing="1" w:line="240" w:lineRule="auto"/>
        <w:ind w:left="-90" w:right="-7"/>
        <w:rPr>
          <w:szCs w:val="20"/>
          <w:lang w:eastAsia="en-GB"/>
        </w:rPr>
      </w:pPr>
      <w:r w:rsidRPr="003C6132">
        <w:rPr>
          <w:szCs w:val="20"/>
          <w:lang w:eastAsia="en-GB"/>
        </w:rPr>
        <w:t xml:space="preserve">Drawing on </w:t>
      </w:r>
      <w:r w:rsidR="002A1113">
        <w:rPr>
          <w:szCs w:val="20"/>
          <w:lang w:eastAsia="en-GB"/>
        </w:rPr>
        <w:t>a</w:t>
      </w:r>
      <w:r w:rsidRPr="003C6132">
        <w:rPr>
          <w:szCs w:val="20"/>
          <w:lang w:eastAsia="en-GB"/>
        </w:rPr>
        <w:t xml:space="preserve"> detailed analysis of the business</w:t>
      </w:r>
      <w:r w:rsidR="002A1113">
        <w:rPr>
          <w:szCs w:val="20"/>
          <w:lang w:eastAsia="en-GB"/>
        </w:rPr>
        <w:t xml:space="preserve"> impact of AI, </w:t>
      </w:r>
      <w:bookmarkStart w:id="0" w:name="_GoBack"/>
      <w:bookmarkEnd w:id="0"/>
      <w:r w:rsidRPr="003C6132">
        <w:rPr>
          <w:i/>
          <w:szCs w:val="20"/>
          <w:lang w:eastAsia="en-GB"/>
        </w:rPr>
        <w:t>Sizing the prize</w:t>
      </w:r>
      <w:r w:rsidR="00F92B2E" w:rsidRPr="003C6132">
        <w:rPr>
          <w:i/>
          <w:szCs w:val="20"/>
          <w:lang w:eastAsia="en-GB"/>
        </w:rPr>
        <w:t xml:space="preserve"> </w:t>
      </w:r>
      <w:r w:rsidR="0065081B" w:rsidRPr="003C6132">
        <w:rPr>
          <w:szCs w:val="20"/>
          <w:lang w:eastAsia="en-GB"/>
        </w:rPr>
        <w:t>outlines</w:t>
      </w:r>
      <w:r w:rsidRPr="003C6132">
        <w:rPr>
          <w:szCs w:val="20"/>
          <w:lang w:eastAsia="en-GB"/>
        </w:rPr>
        <w:t xml:space="preserve"> the economies that are set to gain the most from AI</w:t>
      </w:r>
      <w:r w:rsidR="001E1E45" w:rsidRPr="003C6132">
        <w:rPr>
          <w:szCs w:val="20"/>
          <w:lang w:eastAsia="en-GB"/>
        </w:rPr>
        <w:t xml:space="preserve">. </w:t>
      </w:r>
    </w:p>
    <w:p w14:paraId="446DC238" w14:textId="77777777" w:rsidR="00953BD0" w:rsidRPr="003C6132" w:rsidRDefault="00953BD0" w:rsidP="00953BD0">
      <w:pPr>
        <w:shd w:val="clear" w:color="auto" w:fill="FFFFFF"/>
        <w:spacing w:before="100" w:beforeAutospacing="1" w:after="100" w:afterAutospacing="1" w:line="240" w:lineRule="auto"/>
        <w:ind w:left="-90" w:right="-7"/>
        <w:rPr>
          <w:bCs/>
          <w:szCs w:val="20"/>
        </w:rPr>
      </w:pPr>
      <w:r w:rsidRPr="003C6132">
        <w:rPr>
          <w:szCs w:val="20"/>
          <w:lang w:eastAsia="en-GB"/>
        </w:rPr>
        <w:t xml:space="preserve">AI will contribute </w:t>
      </w:r>
      <w:r w:rsidRPr="003C6132">
        <w:rPr>
          <w:bCs/>
          <w:szCs w:val="20"/>
        </w:rPr>
        <w:t xml:space="preserve">$15.7 trillion to the global economy in 2030, more than the current output of China and India combined. </w:t>
      </w:r>
    </w:p>
    <w:p w14:paraId="12E62EFB" w14:textId="72CDE994" w:rsidR="00F92B2E" w:rsidRPr="00296DD2" w:rsidRDefault="00953BD0" w:rsidP="00296DD2">
      <w:pPr>
        <w:shd w:val="clear" w:color="auto" w:fill="FFFFFF"/>
        <w:spacing w:before="100" w:beforeAutospacing="1" w:after="100" w:afterAutospacing="1" w:line="240" w:lineRule="auto"/>
        <w:ind w:left="-90" w:right="-7"/>
        <w:rPr>
          <w:bCs/>
          <w:szCs w:val="20"/>
        </w:rPr>
      </w:pPr>
      <w:r w:rsidRPr="003C6132">
        <w:rPr>
          <w:rFonts w:eastAsiaTheme="minorEastAsia"/>
          <w:bCs/>
          <w:szCs w:val="20"/>
        </w:rPr>
        <w:t xml:space="preserve">Labour productivity improvements are expected to account for over half of all economic gains from AI over the period 2016-2030. </w:t>
      </w:r>
      <w:r w:rsidR="00DD1F9B">
        <w:rPr>
          <w:rFonts w:eastAsiaTheme="minorEastAsia"/>
          <w:bCs/>
          <w:szCs w:val="20"/>
        </w:rPr>
        <w:t>Increased consumer demand resulting from AI-enabled product enhancements will account for the rest</w:t>
      </w:r>
      <w:r w:rsidR="00DD1F9B" w:rsidRPr="003C6132">
        <w:rPr>
          <w:rFonts w:eastAsiaTheme="minorEastAsia"/>
          <w:bCs/>
          <w:szCs w:val="20"/>
        </w:rPr>
        <w:t xml:space="preserve">. </w:t>
      </w:r>
      <w:r w:rsidR="009A4DA2" w:rsidRPr="003C6132">
        <w:rPr>
          <w:szCs w:val="20"/>
          <w:lang w:eastAsia="en-GB"/>
        </w:rPr>
        <w:t xml:space="preserve">The greatest </w:t>
      </w:r>
      <w:r w:rsidR="001E1E45" w:rsidRPr="003C6132">
        <w:rPr>
          <w:szCs w:val="20"/>
          <w:lang w:eastAsia="en-GB"/>
        </w:rPr>
        <w:t xml:space="preserve">economic </w:t>
      </w:r>
      <w:r w:rsidR="009A4DA2" w:rsidRPr="003C6132">
        <w:rPr>
          <w:szCs w:val="20"/>
          <w:lang w:eastAsia="en-GB"/>
        </w:rPr>
        <w:t>gains from AI will be in China (26% boost to GDP in 2030) and North America (14</w:t>
      </w:r>
      <w:r w:rsidR="007C38F1">
        <w:rPr>
          <w:szCs w:val="20"/>
          <w:lang w:eastAsia="en-GB"/>
        </w:rPr>
        <w:t>.5</w:t>
      </w:r>
      <w:r w:rsidR="009A4DA2" w:rsidRPr="003C6132">
        <w:rPr>
          <w:szCs w:val="20"/>
          <w:lang w:eastAsia="en-GB"/>
        </w:rPr>
        <w:t>% boost)</w:t>
      </w:r>
      <w:r w:rsidR="001C020C">
        <w:rPr>
          <w:rFonts w:eastAsiaTheme="minorEastAsia"/>
          <w:szCs w:val="20"/>
        </w:rPr>
        <w:t>, equivalent</w:t>
      </w:r>
      <w:r w:rsidR="00F92B2E" w:rsidRPr="00296DD2">
        <w:rPr>
          <w:rFonts w:eastAsiaTheme="minorEastAsia"/>
          <w:szCs w:val="20"/>
        </w:rPr>
        <w:t xml:space="preserve"> to a total of $10.7 trillion and accounting for almost 70% of the global economic impact. </w:t>
      </w:r>
    </w:p>
    <w:p w14:paraId="0EF17C91" w14:textId="09CA3768" w:rsidR="00F92B2E" w:rsidRPr="00296DD2" w:rsidRDefault="00F92B2E" w:rsidP="00F92B2E">
      <w:pPr>
        <w:pStyle w:val="ListParagraph"/>
        <w:numPr>
          <w:ilvl w:val="0"/>
          <w:numId w:val="19"/>
        </w:numPr>
        <w:shd w:val="clear" w:color="auto" w:fill="FFFFFF"/>
        <w:spacing w:before="100" w:beforeAutospacing="1" w:after="100" w:afterAutospacing="1" w:line="240" w:lineRule="auto"/>
        <w:ind w:right="-7"/>
        <w:rPr>
          <w:rFonts w:ascii="Georgia" w:hAnsi="Georgia"/>
          <w:color w:val="auto"/>
          <w:sz w:val="20"/>
          <w:szCs w:val="20"/>
        </w:rPr>
      </w:pPr>
      <w:r w:rsidRPr="00296DD2">
        <w:rPr>
          <w:rFonts w:ascii="Georgia" w:hAnsi="Georgia"/>
          <w:color w:val="auto"/>
          <w:sz w:val="20"/>
          <w:szCs w:val="20"/>
        </w:rPr>
        <w:t>North America will experience productivity gains faster than China</w:t>
      </w:r>
      <w:r w:rsidR="003A2C5E" w:rsidRPr="00296DD2">
        <w:rPr>
          <w:rFonts w:ascii="Georgia" w:hAnsi="Georgia"/>
          <w:color w:val="auto"/>
          <w:sz w:val="20"/>
          <w:szCs w:val="20"/>
        </w:rPr>
        <w:t xml:space="preserve"> initially</w:t>
      </w:r>
      <w:r w:rsidR="001C020C" w:rsidRPr="00296DD2">
        <w:rPr>
          <w:rFonts w:ascii="Georgia" w:hAnsi="Georgia"/>
          <w:color w:val="auto"/>
          <w:sz w:val="20"/>
          <w:szCs w:val="20"/>
        </w:rPr>
        <w:t>, driven</w:t>
      </w:r>
      <w:r w:rsidRPr="00296DD2">
        <w:rPr>
          <w:rFonts w:ascii="Georgia" w:hAnsi="Georgia"/>
          <w:color w:val="auto"/>
          <w:sz w:val="20"/>
          <w:szCs w:val="20"/>
        </w:rPr>
        <w:t xml:space="preserve"> by </w:t>
      </w:r>
      <w:r w:rsidR="007C38F1">
        <w:rPr>
          <w:rFonts w:ascii="Georgia" w:hAnsi="Georgia"/>
          <w:color w:val="auto"/>
          <w:sz w:val="20"/>
          <w:szCs w:val="20"/>
        </w:rPr>
        <w:t>its</w:t>
      </w:r>
      <w:r w:rsidR="007C38F1" w:rsidRPr="00296DD2">
        <w:rPr>
          <w:rFonts w:ascii="Georgia" w:hAnsi="Georgia"/>
          <w:color w:val="auto"/>
          <w:sz w:val="20"/>
          <w:szCs w:val="20"/>
        </w:rPr>
        <w:t xml:space="preserve"> </w:t>
      </w:r>
      <w:r w:rsidRPr="00296DD2">
        <w:rPr>
          <w:rFonts w:ascii="Georgia" w:hAnsi="Georgia"/>
          <w:color w:val="auto"/>
          <w:sz w:val="20"/>
          <w:szCs w:val="20"/>
        </w:rPr>
        <w:t xml:space="preserve">readiness for AI and the high fraction of jobs that are susceptible to replacement by more-productive technologies. </w:t>
      </w:r>
    </w:p>
    <w:p w14:paraId="02CC8ACB" w14:textId="10898824" w:rsidR="00F92B2E" w:rsidRPr="00296DD2" w:rsidRDefault="00F92B2E" w:rsidP="00F92B2E">
      <w:pPr>
        <w:pStyle w:val="ListParagraph"/>
        <w:numPr>
          <w:ilvl w:val="0"/>
          <w:numId w:val="19"/>
        </w:numPr>
        <w:shd w:val="clear" w:color="auto" w:fill="FFFFFF"/>
        <w:spacing w:before="100" w:beforeAutospacing="1" w:after="100" w:afterAutospacing="1" w:line="240" w:lineRule="auto"/>
        <w:ind w:right="-7"/>
        <w:rPr>
          <w:rFonts w:ascii="Georgia" w:hAnsi="Georgia"/>
          <w:color w:val="auto"/>
          <w:sz w:val="20"/>
          <w:szCs w:val="20"/>
          <w:lang w:eastAsia="en-GB"/>
        </w:rPr>
      </w:pPr>
      <w:r w:rsidRPr="00296DD2">
        <w:rPr>
          <w:rFonts w:ascii="Georgia" w:hAnsi="Georgia"/>
          <w:color w:val="auto"/>
          <w:sz w:val="20"/>
          <w:szCs w:val="20"/>
          <w:lang w:eastAsia="en-GB"/>
        </w:rPr>
        <w:t xml:space="preserve">China will begin to pull ahead of the US’s AI productivity gains in ten years, after it catches up on a slower build up to the technology and expertise needed. </w:t>
      </w:r>
    </w:p>
    <w:p w14:paraId="07742228" w14:textId="77777777" w:rsidR="00F92B2E" w:rsidRPr="003C6132" w:rsidRDefault="00F92B2E" w:rsidP="00F92B2E">
      <w:pPr>
        <w:pStyle w:val="ListParagraph"/>
        <w:numPr>
          <w:ilvl w:val="0"/>
          <w:numId w:val="19"/>
        </w:numPr>
        <w:shd w:val="clear" w:color="auto" w:fill="FFFFFF"/>
        <w:spacing w:before="100" w:beforeAutospacing="1" w:after="100" w:afterAutospacing="1" w:line="240" w:lineRule="auto"/>
        <w:ind w:right="430"/>
        <w:rPr>
          <w:rFonts w:ascii="Georgia" w:hAnsi="Georgia"/>
          <w:sz w:val="20"/>
          <w:szCs w:val="20"/>
          <w:lang w:val="en-US"/>
        </w:rPr>
      </w:pPr>
      <w:r w:rsidRPr="003C6132">
        <w:rPr>
          <w:rFonts w:ascii="Georgia" w:eastAsiaTheme="minorEastAsia" w:hAnsi="Georgia"/>
          <w:sz w:val="20"/>
          <w:szCs w:val="20"/>
        </w:rPr>
        <w:t xml:space="preserve">Europe and Developed Asia will also experience significant economic gains from AI (9-12% of GDP in 2030) </w:t>
      </w:r>
    </w:p>
    <w:p w14:paraId="0D4F01BF" w14:textId="77777777" w:rsidR="00F92B2E" w:rsidRPr="001C020C" w:rsidRDefault="00F92B2E" w:rsidP="00F92B2E">
      <w:pPr>
        <w:pStyle w:val="ListParagraph"/>
        <w:numPr>
          <w:ilvl w:val="0"/>
          <w:numId w:val="19"/>
        </w:numPr>
        <w:shd w:val="clear" w:color="auto" w:fill="FFFFFF"/>
        <w:spacing w:before="100" w:beforeAutospacing="1" w:after="100" w:afterAutospacing="1" w:line="240" w:lineRule="auto"/>
        <w:ind w:right="430"/>
        <w:rPr>
          <w:rFonts w:ascii="Georgia" w:hAnsi="Georgia"/>
          <w:color w:val="auto"/>
          <w:sz w:val="20"/>
          <w:szCs w:val="20"/>
          <w:lang w:val="en-US"/>
        </w:rPr>
      </w:pPr>
      <w:r w:rsidRPr="001C020C">
        <w:rPr>
          <w:rFonts w:ascii="Georgia" w:eastAsiaTheme="minorEastAsia" w:hAnsi="Georgia"/>
          <w:color w:val="auto"/>
          <w:sz w:val="20"/>
          <w:szCs w:val="20"/>
        </w:rPr>
        <w:t>Developing countries will experience more modest increases (less than 6% of GDP) due the much lower rates of adoption of AI technologies expected (including Latin America, Africa).</w:t>
      </w:r>
      <w:r w:rsidRPr="001C020C">
        <w:rPr>
          <w:rFonts w:ascii="Georgia" w:eastAsiaTheme="minorEastAsia" w:hAnsi="Georgia"/>
          <w:color w:val="auto"/>
          <w:sz w:val="20"/>
          <w:szCs w:val="20"/>
        </w:rPr>
        <w:tab/>
      </w:r>
    </w:p>
    <w:p w14:paraId="3366B52F" w14:textId="7CCB4EFE" w:rsidR="00F92B2E" w:rsidRPr="003C6132" w:rsidRDefault="00F92B2E" w:rsidP="00F92B2E">
      <w:pPr>
        <w:ind w:left="-90"/>
        <w:rPr>
          <w:szCs w:val="20"/>
          <w:lang w:eastAsia="en-GB"/>
        </w:rPr>
      </w:pPr>
      <w:r w:rsidRPr="003C6132">
        <w:rPr>
          <w:i/>
          <w:szCs w:val="20"/>
          <w:lang w:eastAsia="en-GB"/>
        </w:rPr>
        <w:t>“</w:t>
      </w:r>
      <w:r w:rsidRPr="003C6132">
        <w:rPr>
          <w:szCs w:val="20"/>
          <w:lang w:eastAsia="en-GB"/>
        </w:rPr>
        <w:t xml:space="preserve">The </w:t>
      </w:r>
      <w:r w:rsidRPr="003C6132">
        <w:rPr>
          <w:szCs w:val="20"/>
        </w:rPr>
        <w:t xml:space="preserve">analysis highlights how the value of AI enhancing and augmenting what enterprises can do is large, if not larger than automation.” comments </w:t>
      </w:r>
      <w:proofErr w:type="spellStart"/>
      <w:r w:rsidRPr="003C6132">
        <w:rPr>
          <w:szCs w:val="20"/>
        </w:rPr>
        <w:t>Anand</w:t>
      </w:r>
      <w:proofErr w:type="spellEnd"/>
      <w:r w:rsidRPr="003C6132">
        <w:rPr>
          <w:szCs w:val="20"/>
        </w:rPr>
        <w:t xml:space="preserve"> Rao, Global Leader of Artificial Intelligence at PwC. “It </w:t>
      </w:r>
      <w:r w:rsidRPr="003C6132">
        <w:rPr>
          <w:szCs w:val="20"/>
          <w:lang w:eastAsia="en-GB"/>
        </w:rPr>
        <w:t>demonstrates how big a game changer AI is likely to be</w:t>
      </w:r>
      <w:r w:rsidR="00A3691F">
        <w:rPr>
          <w:szCs w:val="20"/>
          <w:lang w:eastAsia="en-GB"/>
        </w:rPr>
        <w:t xml:space="preserve"> – transforming our lives as individuals, enterprises and as a society</w:t>
      </w:r>
      <w:r w:rsidR="00296DD2">
        <w:rPr>
          <w:szCs w:val="20"/>
          <w:lang w:eastAsia="en-GB"/>
        </w:rPr>
        <w:t>.</w:t>
      </w:r>
      <w:r w:rsidRPr="003C6132">
        <w:rPr>
          <w:szCs w:val="20"/>
          <w:lang w:eastAsia="en-GB"/>
        </w:rPr>
        <w:t xml:space="preserve">” </w:t>
      </w:r>
    </w:p>
    <w:p w14:paraId="4AA9DF81" w14:textId="4D5FA2CD" w:rsidR="006A1583" w:rsidRPr="003C6132" w:rsidRDefault="006A1583" w:rsidP="006A1583">
      <w:pPr>
        <w:shd w:val="clear" w:color="auto" w:fill="FFFFFF"/>
        <w:spacing w:before="100" w:beforeAutospacing="1" w:after="100" w:afterAutospacing="1" w:line="240" w:lineRule="auto"/>
        <w:ind w:left="-90" w:right="-7"/>
        <w:rPr>
          <w:szCs w:val="20"/>
        </w:rPr>
      </w:pPr>
      <w:r w:rsidRPr="003C6132">
        <w:rPr>
          <w:szCs w:val="20"/>
          <w:lang w:eastAsia="en-GB"/>
        </w:rPr>
        <w:lastRenderedPageBreak/>
        <w:t xml:space="preserve">Included in the analysis, the </w:t>
      </w:r>
      <w:r w:rsidRPr="003C6132">
        <w:rPr>
          <w:i/>
          <w:szCs w:val="20"/>
          <w:lang w:eastAsia="en-GB"/>
        </w:rPr>
        <w:t>PwC AI Impact Index</w:t>
      </w:r>
      <w:r w:rsidRPr="003C6132">
        <w:rPr>
          <w:szCs w:val="20"/>
          <w:lang w:eastAsia="en-GB"/>
        </w:rPr>
        <w:t xml:space="preserve"> pinpoints three business areas with the greatest AI potential in each of eight sectors. Areas identified include </w:t>
      </w:r>
      <w:r w:rsidR="00A3691F">
        <w:rPr>
          <w:szCs w:val="20"/>
          <w:lang w:eastAsia="en-GB"/>
        </w:rPr>
        <w:t>image-based diagnostics</w:t>
      </w:r>
      <w:r w:rsidRPr="003C6132">
        <w:rPr>
          <w:szCs w:val="20"/>
          <w:lang w:eastAsia="en-GB"/>
        </w:rPr>
        <w:t>, on demand production and autonomous traffic control.</w:t>
      </w:r>
      <w:r w:rsidRPr="003C6132">
        <w:rPr>
          <w:i/>
          <w:szCs w:val="20"/>
          <w:lang w:eastAsia="en-GB"/>
        </w:rPr>
        <w:t xml:space="preserve"> </w:t>
      </w:r>
    </w:p>
    <w:p w14:paraId="2B35D2E0" w14:textId="250A43E7" w:rsidR="00205618" w:rsidRPr="003C6132" w:rsidRDefault="006A1583" w:rsidP="006A1583">
      <w:pPr>
        <w:shd w:val="clear" w:color="auto" w:fill="FFFFFF"/>
        <w:spacing w:before="100" w:beforeAutospacing="1" w:after="100" w:afterAutospacing="1" w:line="240" w:lineRule="auto"/>
        <w:ind w:left="-90" w:right="-7"/>
        <w:rPr>
          <w:szCs w:val="20"/>
          <w:lang w:val="en-US"/>
        </w:rPr>
      </w:pPr>
      <w:r w:rsidRPr="003C6132">
        <w:rPr>
          <w:szCs w:val="20"/>
          <w:lang w:eastAsia="en-GB"/>
        </w:rPr>
        <w:t>Overall, t</w:t>
      </w:r>
      <w:r w:rsidR="009A4DA2" w:rsidRPr="003C6132">
        <w:rPr>
          <w:szCs w:val="20"/>
          <w:lang w:eastAsia="en-GB"/>
        </w:rPr>
        <w:t xml:space="preserve">he biggest </w:t>
      </w:r>
      <w:r w:rsidR="007C38F1">
        <w:rPr>
          <w:szCs w:val="20"/>
          <w:lang w:eastAsia="en-GB"/>
        </w:rPr>
        <w:t xml:space="preserve">absolute </w:t>
      </w:r>
      <w:r w:rsidR="009A4DA2" w:rsidRPr="003C6132">
        <w:rPr>
          <w:szCs w:val="20"/>
          <w:lang w:eastAsia="en-GB"/>
        </w:rPr>
        <w:t>sector gains will be in retail</w:t>
      </w:r>
      <w:r w:rsidR="00A3691F">
        <w:rPr>
          <w:szCs w:val="20"/>
          <w:lang w:eastAsia="en-GB"/>
        </w:rPr>
        <w:t>, financial services,</w:t>
      </w:r>
      <w:r w:rsidR="009A4DA2" w:rsidRPr="003C6132">
        <w:rPr>
          <w:szCs w:val="20"/>
          <w:lang w:eastAsia="en-GB"/>
        </w:rPr>
        <w:t xml:space="preserve"> and healthcare as AI increases productivity, product value and consumption</w:t>
      </w:r>
      <w:r w:rsidRPr="003C6132">
        <w:rPr>
          <w:szCs w:val="20"/>
          <w:lang w:eastAsia="en-GB"/>
        </w:rPr>
        <w:t>. By 2030, an additional $9trn of GDP will be added from product enhancements and shifts in consumer demand, behaviour, as AI driven consumption gains overtake those of productivity.</w:t>
      </w:r>
      <w:r w:rsidR="00205618" w:rsidRPr="003C6132">
        <w:rPr>
          <w:szCs w:val="20"/>
          <w:lang w:eastAsia="en-GB"/>
        </w:rPr>
        <w:t xml:space="preserve"> </w:t>
      </w:r>
    </w:p>
    <w:p w14:paraId="74D7E41A" w14:textId="334351F5" w:rsidR="0065081B" w:rsidRPr="003A2C5E" w:rsidRDefault="006A1583" w:rsidP="00871118">
      <w:pPr>
        <w:shd w:val="clear" w:color="auto" w:fill="FFFFFF"/>
        <w:spacing w:line="240" w:lineRule="auto"/>
        <w:ind w:left="-90" w:right="430"/>
        <w:rPr>
          <w:szCs w:val="20"/>
        </w:rPr>
      </w:pPr>
      <w:r w:rsidRPr="003A2C5E">
        <w:rPr>
          <w:szCs w:val="20"/>
        </w:rPr>
        <w:t xml:space="preserve">Gerard </w:t>
      </w:r>
      <w:proofErr w:type="spellStart"/>
      <w:r w:rsidRPr="003A2C5E">
        <w:rPr>
          <w:szCs w:val="20"/>
        </w:rPr>
        <w:t>Ver</w:t>
      </w:r>
      <w:r w:rsidR="007C38F1">
        <w:rPr>
          <w:szCs w:val="20"/>
        </w:rPr>
        <w:t>w</w:t>
      </w:r>
      <w:r w:rsidRPr="003A2C5E">
        <w:rPr>
          <w:szCs w:val="20"/>
        </w:rPr>
        <w:t>eij</w:t>
      </w:r>
      <w:proofErr w:type="spellEnd"/>
      <w:r w:rsidR="00C045A4" w:rsidRPr="003A2C5E">
        <w:rPr>
          <w:szCs w:val="20"/>
        </w:rPr>
        <w:t xml:space="preserve">, </w:t>
      </w:r>
      <w:r w:rsidR="0025502F" w:rsidRPr="003A2C5E">
        <w:rPr>
          <w:szCs w:val="20"/>
        </w:rPr>
        <w:t xml:space="preserve">Global Data &amp; Analytics Leader, </w:t>
      </w:r>
      <w:r w:rsidR="00C045A4" w:rsidRPr="003A2C5E">
        <w:rPr>
          <w:szCs w:val="20"/>
        </w:rPr>
        <w:t>PwC, comments</w:t>
      </w:r>
      <w:r w:rsidR="00871118" w:rsidRPr="003A2C5E">
        <w:rPr>
          <w:szCs w:val="20"/>
        </w:rPr>
        <w:t>:</w:t>
      </w:r>
    </w:p>
    <w:p w14:paraId="054ACB66" w14:textId="77777777" w:rsidR="003A2C5E" w:rsidRPr="003C6132" w:rsidRDefault="003A2C5E" w:rsidP="00871118">
      <w:pPr>
        <w:shd w:val="clear" w:color="auto" w:fill="FFFFFF"/>
        <w:spacing w:line="240" w:lineRule="auto"/>
        <w:ind w:left="-90" w:right="430"/>
        <w:rPr>
          <w:szCs w:val="20"/>
          <w:highlight w:val="yellow"/>
        </w:rPr>
      </w:pPr>
    </w:p>
    <w:p w14:paraId="5A45E958" w14:textId="68F5620B" w:rsidR="003A2C5E" w:rsidRDefault="003A2C5E" w:rsidP="003A2C5E">
      <w:pPr>
        <w:shd w:val="clear" w:color="auto" w:fill="FFFFFF"/>
        <w:spacing w:line="240" w:lineRule="auto"/>
        <w:ind w:left="-90"/>
        <w:rPr>
          <w:rFonts w:eastAsia="Times New Roman" w:cs="Arial"/>
          <w:color w:val="000000"/>
          <w:szCs w:val="20"/>
          <w:shd w:val="clear" w:color="auto" w:fill="FFFFFF"/>
          <w:lang w:val="en-US"/>
        </w:rPr>
      </w:pPr>
      <w:r w:rsidRPr="003A2C5E">
        <w:rPr>
          <w:rFonts w:eastAsia="Times New Roman" w:cs="Arial"/>
          <w:color w:val="000000"/>
          <w:szCs w:val="20"/>
          <w:shd w:val="clear" w:color="auto" w:fill="FFFFFF"/>
          <w:lang w:val="en-US"/>
        </w:rPr>
        <w:t xml:space="preserve">“No sector or business is in any way immune from the impact of AI. The impact on productivity alone could be competitively transformational and even disruptive. Businesses that fail to apply AI, could quickly find themselves being undercut on turnaround times as well as costs and experience, and </w:t>
      </w:r>
      <w:r w:rsidR="007C38F1">
        <w:rPr>
          <w:rFonts w:eastAsia="Times New Roman" w:cs="Arial"/>
          <w:color w:val="000000"/>
          <w:szCs w:val="20"/>
          <w:shd w:val="clear" w:color="auto" w:fill="FFFFFF"/>
          <w:lang w:val="en-US"/>
        </w:rPr>
        <w:t xml:space="preserve">may </w:t>
      </w:r>
      <w:r w:rsidRPr="003A2C5E">
        <w:rPr>
          <w:rFonts w:eastAsia="Times New Roman" w:cs="Arial"/>
          <w:color w:val="000000"/>
          <w:szCs w:val="20"/>
          <w:shd w:val="clear" w:color="auto" w:fill="FFFFFF"/>
          <w:lang w:val="en-US"/>
        </w:rPr>
        <w:t>los</w:t>
      </w:r>
      <w:r w:rsidR="007C38F1">
        <w:rPr>
          <w:rFonts w:eastAsia="Times New Roman" w:cs="Arial"/>
          <w:color w:val="000000"/>
          <w:szCs w:val="20"/>
          <w:shd w:val="clear" w:color="auto" w:fill="FFFFFF"/>
          <w:lang w:val="en-US"/>
        </w:rPr>
        <w:t xml:space="preserve">e </w:t>
      </w:r>
      <w:r w:rsidRPr="003A2C5E">
        <w:rPr>
          <w:rFonts w:eastAsia="Times New Roman" w:cs="Arial"/>
          <w:color w:val="000000"/>
          <w:szCs w:val="20"/>
          <w:shd w:val="clear" w:color="auto" w:fill="FFFFFF"/>
          <w:lang w:val="en-US"/>
        </w:rPr>
        <w:t>a significant amount of their market share as a result.</w:t>
      </w:r>
    </w:p>
    <w:p w14:paraId="350B7E90" w14:textId="77777777" w:rsidR="003A2C5E" w:rsidRDefault="003A2C5E" w:rsidP="003A2C5E">
      <w:pPr>
        <w:shd w:val="clear" w:color="auto" w:fill="FFFFFF"/>
        <w:spacing w:line="240" w:lineRule="auto"/>
        <w:ind w:left="-90"/>
        <w:rPr>
          <w:rFonts w:ascii="Arial" w:eastAsia="Times New Roman" w:hAnsi="Arial" w:cs="Arial"/>
          <w:color w:val="222222"/>
          <w:sz w:val="19"/>
          <w:szCs w:val="19"/>
          <w:lang w:val="en-US"/>
        </w:rPr>
      </w:pPr>
    </w:p>
    <w:p w14:paraId="28A60CEE" w14:textId="5A4C1D43" w:rsidR="003A2C5E" w:rsidRPr="003A2C5E" w:rsidRDefault="003A2C5E" w:rsidP="003A2C5E">
      <w:pPr>
        <w:shd w:val="clear" w:color="auto" w:fill="FFFFFF"/>
        <w:spacing w:line="240" w:lineRule="auto"/>
        <w:ind w:left="-90"/>
        <w:rPr>
          <w:rFonts w:ascii="Arial" w:eastAsia="Times New Roman" w:hAnsi="Arial" w:cs="Arial"/>
          <w:color w:val="222222"/>
          <w:sz w:val="19"/>
          <w:szCs w:val="19"/>
          <w:lang w:val="en-US"/>
        </w:rPr>
      </w:pPr>
      <w:r w:rsidRPr="003A2C5E">
        <w:rPr>
          <w:rFonts w:eastAsia="Times New Roman" w:cs="Arial"/>
          <w:color w:val="000000"/>
          <w:szCs w:val="20"/>
          <w:lang w:val="en-US"/>
        </w:rPr>
        <w:t>“The big challenge is how to secure the right talent, technology and access to data to make the most of this opportunity.”</w:t>
      </w:r>
    </w:p>
    <w:p w14:paraId="05E28EE7" w14:textId="77777777" w:rsidR="00871118" w:rsidRPr="003C6132" w:rsidRDefault="00871118" w:rsidP="00871118">
      <w:pPr>
        <w:pStyle w:val="ListParagraph"/>
        <w:spacing w:after="0" w:line="240" w:lineRule="auto"/>
        <w:ind w:left="-90"/>
        <w:rPr>
          <w:rFonts w:ascii="Georgia" w:hAnsi="Georgia"/>
          <w:sz w:val="20"/>
          <w:szCs w:val="20"/>
        </w:rPr>
      </w:pPr>
    </w:p>
    <w:p w14:paraId="517C4DBD" w14:textId="3F150DDA" w:rsidR="0025502F" w:rsidRPr="003C6132" w:rsidRDefault="0025502F" w:rsidP="0025502F">
      <w:pPr>
        <w:pStyle w:val="ListParagraph"/>
        <w:spacing w:after="0" w:line="240" w:lineRule="auto"/>
        <w:ind w:left="-90"/>
        <w:rPr>
          <w:rFonts w:ascii="Georgia" w:hAnsi="Georgia"/>
          <w:sz w:val="20"/>
          <w:szCs w:val="20"/>
        </w:rPr>
      </w:pPr>
      <w:r w:rsidRPr="003C6132">
        <w:rPr>
          <w:rFonts w:ascii="Georgia" w:hAnsi="Georgia"/>
          <w:sz w:val="20"/>
          <w:szCs w:val="20"/>
        </w:rPr>
        <w:t xml:space="preserve">The analysis underlines how the scale of the opportunity of AI needs to be underpinned by both more robust governance and new operating models to realise its full potential. A recent paper from PwC UK on Responsible AI warned effective controls need to be built into the design and implementation phase to ensure AI’s positive potential is secured, and address stakeholder concerns about it operating beyond the boundaries of reasonable control. </w:t>
      </w:r>
    </w:p>
    <w:p w14:paraId="12153757" w14:textId="77777777" w:rsidR="0025502F" w:rsidRDefault="0025502F" w:rsidP="0025502F">
      <w:pPr>
        <w:pStyle w:val="ListParagraph"/>
        <w:spacing w:after="0" w:line="240" w:lineRule="auto"/>
        <w:ind w:left="-90"/>
        <w:rPr>
          <w:rFonts w:ascii="Georgia" w:hAnsi="Georgia"/>
          <w:sz w:val="20"/>
          <w:szCs w:val="20"/>
        </w:rPr>
      </w:pPr>
    </w:p>
    <w:p w14:paraId="39577BEF" w14:textId="250C475D" w:rsidR="003C6132" w:rsidRPr="003C6132" w:rsidRDefault="001C020C" w:rsidP="0025502F">
      <w:pPr>
        <w:pStyle w:val="ListParagraph"/>
        <w:spacing w:after="0" w:line="240" w:lineRule="auto"/>
        <w:ind w:left="-90"/>
        <w:rPr>
          <w:rFonts w:ascii="Georgia" w:hAnsi="Georgia"/>
          <w:sz w:val="20"/>
          <w:szCs w:val="20"/>
        </w:rPr>
      </w:pPr>
      <w:r>
        <w:rPr>
          <w:rFonts w:ascii="Georgia" w:hAnsi="Georgia"/>
          <w:sz w:val="20"/>
          <w:szCs w:val="20"/>
        </w:rPr>
        <w:t>E</w:t>
      </w:r>
      <w:r w:rsidR="003C6132">
        <w:rPr>
          <w:rFonts w:ascii="Georgia" w:hAnsi="Georgia"/>
          <w:sz w:val="20"/>
          <w:szCs w:val="20"/>
        </w:rPr>
        <w:t>nds</w:t>
      </w:r>
      <w:r>
        <w:rPr>
          <w:rFonts w:ascii="Georgia" w:hAnsi="Georgia"/>
          <w:sz w:val="20"/>
          <w:szCs w:val="20"/>
        </w:rPr>
        <w:br/>
      </w:r>
    </w:p>
    <w:p w14:paraId="4C442CED" w14:textId="2D1F7628" w:rsidR="00FC2E08" w:rsidRPr="003C6132" w:rsidRDefault="00FC2E08" w:rsidP="0065081B">
      <w:pPr>
        <w:ind w:left="-90"/>
        <w:rPr>
          <w:b/>
          <w:szCs w:val="20"/>
        </w:rPr>
      </w:pPr>
      <w:r w:rsidRPr="003C6132">
        <w:rPr>
          <w:b/>
          <w:szCs w:val="20"/>
        </w:rPr>
        <w:t>Notes</w:t>
      </w:r>
    </w:p>
    <w:p w14:paraId="0CB519B7" w14:textId="5B38F94E" w:rsidR="00651B4E" w:rsidRPr="00006512" w:rsidRDefault="00C27D3D" w:rsidP="007D1F3F">
      <w:pPr>
        <w:pStyle w:val="ListParagraph"/>
        <w:numPr>
          <w:ilvl w:val="0"/>
          <w:numId w:val="16"/>
        </w:numPr>
        <w:shd w:val="clear" w:color="auto" w:fill="FFFFFF"/>
        <w:spacing w:before="100" w:beforeAutospacing="1" w:after="100" w:afterAutospacing="1" w:line="240" w:lineRule="auto"/>
        <w:ind w:right="430"/>
        <w:rPr>
          <w:rFonts w:ascii="Georgia" w:hAnsi="Georgia"/>
          <w:bCs/>
          <w:sz w:val="20"/>
          <w:szCs w:val="20"/>
          <w:lang w:eastAsia="en-GB"/>
        </w:rPr>
      </w:pPr>
      <w:r w:rsidRPr="00006512">
        <w:rPr>
          <w:rFonts w:ascii="Georgia" w:hAnsi="Georgia"/>
          <w:sz w:val="20"/>
          <w:szCs w:val="20"/>
        </w:rPr>
        <w:t>The report draws on input from s</w:t>
      </w:r>
      <w:r w:rsidR="00FC2E08" w:rsidRPr="00006512">
        <w:rPr>
          <w:rFonts w:ascii="Georgia" w:hAnsi="Georgia"/>
          <w:sz w:val="20"/>
          <w:szCs w:val="20"/>
        </w:rPr>
        <w:t xml:space="preserve">ector experts and </w:t>
      </w:r>
      <w:r w:rsidR="00FC2E08" w:rsidRPr="00006512">
        <w:rPr>
          <w:rFonts w:ascii="Georgia" w:hAnsi="Georgia"/>
          <w:sz w:val="20"/>
          <w:szCs w:val="20"/>
          <w:lang w:eastAsia="en-GB"/>
        </w:rPr>
        <w:t xml:space="preserve">partners </w:t>
      </w:r>
      <w:r w:rsidR="007C38F1" w:rsidRPr="00006512">
        <w:rPr>
          <w:rFonts w:ascii="Georgia" w:hAnsi="Georgia"/>
          <w:sz w:val="20"/>
          <w:szCs w:val="20"/>
          <w:lang w:eastAsia="en-GB"/>
        </w:rPr>
        <w:t xml:space="preserve">at </w:t>
      </w:r>
      <w:proofErr w:type="spellStart"/>
      <w:r w:rsidR="00FC2E08" w:rsidRPr="00006512">
        <w:rPr>
          <w:rFonts w:ascii="Georgia" w:hAnsi="Georgia"/>
          <w:iCs/>
          <w:sz w:val="20"/>
          <w:szCs w:val="20"/>
          <w:lang w:eastAsia="en-GB"/>
        </w:rPr>
        <w:t>Fraunhofer</w:t>
      </w:r>
      <w:proofErr w:type="spellEnd"/>
      <w:r w:rsidR="00FC2E08" w:rsidRPr="00006512">
        <w:rPr>
          <w:rFonts w:ascii="Georgia" w:hAnsi="Georgia"/>
          <w:sz w:val="20"/>
          <w:szCs w:val="20"/>
          <w:lang w:eastAsia="en-GB"/>
        </w:rPr>
        <w:t>, a global leader in emerging technology research and development</w:t>
      </w:r>
      <w:r w:rsidRPr="00006512">
        <w:rPr>
          <w:rFonts w:ascii="Georgia" w:hAnsi="Georgia"/>
          <w:sz w:val="20"/>
          <w:szCs w:val="20"/>
          <w:lang w:eastAsia="en-GB"/>
        </w:rPr>
        <w:t>. Future reports will focus on specific sectors, along with functional areas such as marketing, finance and talent management. We’ll also be publishing the detailed economic projections.</w:t>
      </w:r>
    </w:p>
    <w:p w14:paraId="56391587" w14:textId="52BEF650" w:rsidR="00651B4E" w:rsidRPr="00006512" w:rsidRDefault="00651B4E" w:rsidP="00651B4E">
      <w:pPr>
        <w:pStyle w:val="ListParagraph"/>
        <w:numPr>
          <w:ilvl w:val="0"/>
          <w:numId w:val="16"/>
        </w:numPr>
        <w:shd w:val="clear" w:color="auto" w:fill="FFFFFF"/>
        <w:spacing w:after="0" w:line="240" w:lineRule="auto"/>
        <w:ind w:right="430"/>
        <w:rPr>
          <w:rFonts w:ascii="Georgia" w:hAnsi="Georgia"/>
          <w:sz w:val="20"/>
          <w:szCs w:val="20"/>
          <w:lang w:eastAsia="en-GB"/>
        </w:rPr>
      </w:pPr>
      <w:r w:rsidRPr="00006512">
        <w:rPr>
          <w:rFonts w:ascii="Georgia" w:hAnsi="Georgia"/>
          <w:bCs/>
          <w:sz w:val="20"/>
          <w:szCs w:val="20"/>
          <w:lang w:eastAsia="en-GB"/>
        </w:rPr>
        <w:t>In the PwC AI Impact Index, three areas with the biggest potential for AI impact are identified</w:t>
      </w:r>
      <w:r w:rsidR="0025502F" w:rsidRPr="00006512">
        <w:rPr>
          <w:rFonts w:ascii="Georgia" w:hAnsi="Georgia"/>
          <w:bCs/>
          <w:sz w:val="20"/>
          <w:szCs w:val="20"/>
          <w:lang w:eastAsia="en-GB"/>
        </w:rPr>
        <w:t xml:space="preserve"> in eight sectors</w:t>
      </w:r>
      <w:r w:rsidRPr="00006512">
        <w:rPr>
          <w:rFonts w:ascii="Georgia" w:hAnsi="Georgia"/>
          <w:bCs/>
          <w:sz w:val="20"/>
          <w:szCs w:val="20"/>
          <w:lang w:eastAsia="en-GB"/>
        </w:rPr>
        <w:t xml:space="preserve">. </w:t>
      </w:r>
    </w:p>
    <w:p w14:paraId="2819EEEB" w14:textId="66FBB954" w:rsidR="00651B4E" w:rsidRPr="00006512" w:rsidRDefault="00651B4E" w:rsidP="00651B4E">
      <w:pPr>
        <w:pStyle w:val="ListParagraph"/>
        <w:numPr>
          <w:ilvl w:val="1"/>
          <w:numId w:val="16"/>
        </w:numPr>
        <w:spacing w:after="0" w:line="240" w:lineRule="auto"/>
        <w:rPr>
          <w:rFonts w:ascii="Georgia" w:hAnsi="Georgia"/>
          <w:sz w:val="20"/>
          <w:szCs w:val="20"/>
          <w:lang w:eastAsia="en-GB"/>
        </w:rPr>
      </w:pPr>
      <w:r w:rsidRPr="00006512">
        <w:rPr>
          <w:rFonts w:ascii="Georgia" w:hAnsi="Georgia"/>
          <w:sz w:val="20"/>
          <w:szCs w:val="20"/>
          <w:lang w:eastAsia="en-GB"/>
        </w:rPr>
        <w:t>Healthcare: Data-driven diagnostic support: Pandemic identification: Imaging diagnostics (radiology, pathology)</w:t>
      </w:r>
    </w:p>
    <w:p w14:paraId="05EF76CE" w14:textId="7FF576B0" w:rsidR="00651B4E" w:rsidRPr="00006512" w:rsidRDefault="00651B4E" w:rsidP="00651B4E">
      <w:pPr>
        <w:pStyle w:val="ListParagraph"/>
        <w:numPr>
          <w:ilvl w:val="1"/>
          <w:numId w:val="16"/>
        </w:numPr>
        <w:spacing w:after="0" w:line="240" w:lineRule="auto"/>
        <w:rPr>
          <w:rFonts w:ascii="Georgia" w:hAnsi="Georgia"/>
          <w:sz w:val="20"/>
          <w:szCs w:val="20"/>
          <w:lang w:eastAsia="en-GB"/>
        </w:rPr>
      </w:pPr>
      <w:r w:rsidRPr="00006512">
        <w:rPr>
          <w:rFonts w:ascii="Georgia" w:hAnsi="Georgia"/>
          <w:sz w:val="20"/>
          <w:szCs w:val="20"/>
          <w:lang w:eastAsia="en-GB"/>
        </w:rPr>
        <w:t xml:space="preserve">Automotive: </w:t>
      </w:r>
      <w:r w:rsidRPr="00006512">
        <w:rPr>
          <w:rFonts w:ascii="Georgia" w:hAnsi="Georgia"/>
          <w:sz w:val="20"/>
          <w:szCs w:val="20"/>
        </w:rPr>
        <w:t>Autonomous fleets for ride sharing; Smart cars/driver assist; Predictive</w:t>
      </w:r>
      <w:r w:rsidR="007C38F1" w:rsidRPr="00006512">
        <w:rPr>
          <w:rFonts w:ascii="Georgia" w:hAnsi="Georgia"/>
          <w:sz w:val="20"/>
          <w:szCs w:val="20"/>
        </w:rPr>
        <w:t xml:space="preserve"> and autonomous</w:t>
      </w:r>
      <w:r w:rsidRPr="00006512">
        <w:rPr>
          <w:rFonts w:ascii="Georgia" w:hAnsi="Georgia"/>
          <w:sz w:val="20"/>
          <w:szCs w:val="20"/>
        </w:rPr>
        <w:t xml:space="preserve"> maintenance </w:t>
      </w:r>
    </w:p>
    <w:p w14:paraId="4EAD709C" w14:textId="77777777" w:rsidR="00651B4E" w:rsidRPr="00006512" w:rsidRDefault="00651B4E" w:rsidP="00651B4E">
      <w:pPr>
        <w:pStyle w:val="ListParagraph"/>
        <w:numPr>
          <w:ilvl w:val="1"/>
          <w:numId w:val="16"/>
        </w:numPr>
        <w:spacing w:after="0" w:line="240" w:lineRule="auto"/>
        <w:rPr>
          <w:rFonts w:ascii="Georgia" w:hAnsi="Georgia"/>
          <w:sz w:val="20"/>
          <w:szCs w:val="20"/>
          <w:lang w:eastAsia="en-GB"/>
        </w:rPr>
      </w:pPr>
      <w:r w:rsidRPr="00006512">
        <w:rPr>
          <w:rFonts w:ascii="Georgia" w:hAnsi="Georgia"/>
          <w:sz w:val="20"/>
          <w:szCs w:val="20"/>
          <w:lang w:eastAsia="en-GB"/>
        </w:rPr>
        <w:t xml:space="preserve">Financial services: </w:t>
      </w:r>
      <w:r w:rsidRPr="00006512">
        <w:rPr>
          <w:rFonts w:ascii="Georgia" w:hAnsi="Georgia"/>
          <w:sz w:val="20"/>
          <w:szCs w:val="20"/>
        </w:rPr>
        <w:t>Personalised financial planning; Fraud detection and anti-money laundering; Transaction automation</w:t>
      </w:r>
    </w:p>
    <w:p w14:paraId="6EC5FE37" w14:textId="52B9F9E4" w:rsidR="00651B4E" w:rsidRPr="00006512" w:rsidRDefault="00651B4E" w:rsidP="00651B4E">
      <w:pPr>
        <w:pStyle w:val="ListParagraph"/>
        <w:numPr>
          <w:ilvl w:val="1"/>
          <w:numId w:val="16"/>
        </w:numPr>
        <w:spacing w:after="0" w:line="240" w:lineRule="auto"/>
        <w:rPr>
          <w:rFonts w:ascii="Georgia" w:hAnsi="Georgia"/>
          <w:sz w:val="20"/>
          <w:szCs w:val="20"/>
          <w:lang w:eastAsia="en-GB"/>
        </w:rPr>
      </w:pPr>
      <w:r w:rsidRPr="00006512">
        <w:rPr>
          <w:rFonts w:ascii="Georgia" w:hAnsi="Georgia" w:cs="CharterITC-Regu"/>
          <w:sz w:val="20"/>
          <w:szCs w:val="20"/>
        </w:rPr>
        <w:t>Retail: P</w:t>
      </w:r>
      <w:r w:rsidRPr="00006512">
        <w:rPr>
          <w:rFonts w:ascii="Georgia" w:hAnsi="Georgia"/>
          <w:sz w:val="20"/>
          <w:szCs w:val="20"/>
        </w:rPr>
        <w:t>ersonalised design and production; Customer insights generation</w:t>
      </w:r>
      <w:r w:rsidRPr="00006512">
        <w:rPr>
          <w:rStyle w:val="CommentReference"/>
          <w:rFonts w:ascii="Georgia" w:hAnsi="Georgia"/>
          <w:sz w:val="20"/>
          <w:szCs w:val="20"/>
        </w:rPr>
        <w:t xml:space="preserve">; </w:t>
      </w:r>
      <w:r w:rsidRPr="00006512">
        <w:rPr>
          <w:rFonts w:ascii="Georgia" w:hAnsi="Georgia"/>
          <w:sz w:val="20"/>
          <w:szCs w:val="20"/>
        </w:rPr>
        <w:t xml:space="preserve">Inventory and delivery management </w:t>
      </w:r>
    </w:p>
    <w:p w14:paraId="3CB67340" w14:textId="77777777" w:rsidR="00651B4E" w:rsidRPr="00006512" w:rsidRDefault="00651B4E" w:rsidP="00651B4E">
      <w:pPr>
        <w:pStyle w:val="ListParagraph"/>
        <w:numPr>
          <w:ilvl w:val="1"/>
          <w:numId w:val="16"/>
        </w:numPr>
        <w:spacing w:after="0" w:line="240" w:lineRule="auto"/>
        <w:rPr>
          <w:rFonts w:ascii="Georgia" w:hAnsi="Georgia"/>
          <w:sz w:val="20"/>
          <w:szCs w:val="20"/>
        </w:rPr>
      </w:pPr>
      <w:r w:rsidRPr="00006512">
        <w:rPr>
          <w:rFonts w:ascii="Georgia" w:hAnsi="Georgia" w:cs="CharterITC-Regu"/>
          <w:sz w:val="20"/>
          <w:szCs w:val="20"/>
        </w:rPr>
        <w:t xml:space="preserve">Technology, communications and entertainment: </w:t>
      </w:r>
      <w:r w:rsidRPr="00006512">
        <w:rPr>
          <w:rFonts w:ascii="Georgia" w:hAnsi="Georgia"/>
          <w:sz w:val="20"/>
          <w:szCs w:val="20"/>
          <w:lang w:eastAsia="en-GB"/>
        </w:rPr>
        <w:t>M</w:t>
      </w:r>
      <w:r w:rsidRPr="00006512">
        <w:rPr>
          <w:rFonts w:ascii="Georgia" w:hAnsi="Georgia"/>
          <w:sz w:val="20"/>
          <w:szCs w:val="20"/>
        </w:rPr>
        <w:t>edia archiving and search; Content creation (marketing, film, music, etc.); Personalized marketing and advertising</w:t>
      </w:r>
    </w:p>
    <w:p w14:paraId="3E702E0D" w14:textId="77777777" w:rsidR="00651B4E" w:rsidRPr="00006512" w:rsidRDefault="00651B4E" w:rsidP="00651B4E">
      <w:pPr>
        <w:pStyle w:val="ListParagraph"/>
        <w:numPr>
          <w:ilvl w:val="1"/>
          <w:numId w:val="16"/>
        </w:numPr>
        <w:spacing w:after="0" w:line="240" w:lineRule="auto"/>
        <w:rPr>
          <w:rFonts w:ascii="Georgia" w:hAnsi="Georgia"/>
          <w:sz w:val="20"/>
          <w:szCs w:val="20"/>
        </w:rPr>
      </w:pPr>
      <w:r w:rsidRPr="00006512">
        <w:rPr>
          <w:rFonts w:ascii="Georgia" w:hAnsi="Georgia" w:cs="CharterITC-Regu"/>
          <w:sz w:val="20"/>
          <w:szCs w:val="20"/>
        </w:rPr>
        <w:t xml:space="preserve">Manufacturing; </w:t>
      </w:r>
      <w:r w:rsidRPr="00006512">
        <w:rPr>
          <w:rFonts w:ascii="Georgia" w:hAnsi="Georgia"/>
          <w:sz w:val="20"/>
          <w:szCs w:val="20"/>
        </w:rPr>
        <w:t>Enhanced monitoring and auto-correction ; Supply chain and production optimisation; On-demand production</w:t>
      </w:r>
    </w:p>
    <w:p w14:paraId="70A36D5B" w14:textId="77777777" w:rsidR="00651B4E" w:rsidRPr="00006512" w:rsidRDefault="00651B4E" w:rsidP="00651B4E">
      <w:pPr>
        <w:pStyle w:val="ListParagraph"/>
        <w:numPr>
          <w:ilvl w:val="1"/>
          <w:numId w:val="16"/>
        </w:numPr>
        <w:spacing w:after="0" w:line="240" w:lineRule="auto"/>
        <w:rPr>
          <w:rFonts w:ascii="Georgia" w:hAnsi="Georgia"/>
          <w:sz w:val="20"/>
          <w:szCs w:val="20"/>
          <w:lang w:eastAsia="en-GB"/>
        </w:rPr>
      </w:pPr>
      <w:r w:rsidRPr="00006512">
        <w:rPr>
          <w:rFonts w:ascii="Georgia" w:hAnsi="Georgia" w:cs="CharterITC-Regu"/>
          <w:sz w:val="20"/>
          <w:szCs w:val="20"/>
        </w:rPr>
        <w:t>Energy: S</w:t>
      </w:r>
      <w:r w:rsidRPr="00006512">
        <w:rPr>
          <w:rFonts w:ascii="Georgia" w:hAnsi="Georgia"/>
          <w:sz w:val="20"/>
          <w:szCs w:val="20"/>
        </w:rPr>
        <w:t xml:space="preserve">mart metering; More efficient grid operation and storage; Intelligent infrastructure maintenance </w:t>
      </w:r>
    </w:p>
    <w:p w14:paraId="48A72495" w14:textId="4B7EFCAA" w:rsidR="00651B4E" w:rsidRPr="00006512" w:rsidRDefault="00651B4E" w:rsidP="00651B4E">
      <w:pPr>
        <w:pStyle w:val="ListParagraph"/>
        <w:numPr>
          <w:ilvl w:val="1"/>
          <w:numId w:val="16"/>
        </w:numPr>
        <w:spacing w:after="0" w:line="240" w:lineRule="auto"/>
        <w:rPr>
          <w:rFonts w:ascii="Georgia" w:hAnsi="Georgia"/>
          <w:sz w:val="20"/>
          <w:szCs w:val="20"/>
        </w:rPr>
      </w:pPr>
      <w:r w:rsidRPr="00006512">
        <w:rPr>
          <w:rFonts w:ascii="Georgia" w:hAnsi="Georgia" w:cs="CharterITC-Regu"/>
          <w:sz w:val="20"/>
          <w:szCs w:val="20"/>
        </w:rPr>
        <w:t xml:space="preserve">Transport and logistics; </w:t>
      </w:r>
      <w:r w:rsidR="007C38F1" w:rsidRPr="00006512">
        <w:rPr>
          <w:rFonts w:ascii="Georgia" w:hAnsi="Georgia" w:cs="CharterITC-Regu"/>
          <w:sz w:val="20"/>
          <w:szCs w:val="20"/>
        </w:rPr>
        <w:t xml:space="preserve">Autonomous trucking and delivery: </w:t>
      </w:r>
      <w:r w:rsidRPr="00006512">
        <w:rPr>
          <w:rFonts w:ascii="Georgia" w:hAnsi="Georgia" w:cs="CharterITC-Regu"/>
          <w:sz w:val="20"/>
          <w:szCs w:val="20"/>
        </w:rPr>
        <w:t>T</w:t>
      </w:r>
      <w:r w:rsidRPr="00006512">
        <w:rPr>
          <w:rFonts w:ascii="Georgia" w:hAnsi="Georgia"/>
          <w:sz w:val="20"/>
          <w:szCs w:val="20"/>
        </w:rPr>
        <w:t>raffic control and reduced congestion; Enhanced security</w:t>
      </w:r>
    </w:p>
    <w:p w14:paraId="20103870" w14:textId="594724E1" w:rsidR="00A3691F" w:rsidRPr="00296DD2" w:rsidRDefault="00A3691F" w:rsidP="003C6132">
      <w:pPr>
        <w:pStyle w:val="ListParagraph"/>
        <w:numPr>
          <w:ilvl w:val="0"/>
          <w:numId w:val="16"/>
        </w:numPr>
        <w:shd w:val="clear" w:color="auto" w:fill="FFFFFF"/>
        <w:spacing w:before="100" w:beforeAutospacing="1" w:after="100" w:afterAutospacing="1" w:line="240" w:lineRule="auto"/>
        <w:ind w:right="430"/>
        <w:rPr>
          <w:rFonts w:ascii="Georgia" w:hAnsi="Georgia"/>
          <w:sz w:val="20"/>
          <w:szCs w:val="20"/>
          <w:lang w:eastAsia="en-GB"/>
        </w:rPr>
      </w:pPr>
      <w:r>
        <w:rPr>
          <w:rFonts w:ascii="Georgia" w:hAnsi="Georgia" w:cs="Arial"/>
          <w:color w:val="404041"/>
          <w:spacing w:val="1"/>
          <w:sz w:val="20"/>
          <w:szCs w:val="20"/>
          <w:shd w:val="clear" w:color="auto" w:fill="FFFFFF"/>
        </w:rPr>
        <w:lastRenderedPageBreak/>
        <w:t xml:space="preserve">‘A Strategist’s Guide to Artificial Intelligence’ </w:t>
      </w:r>
      <w:r w:rsidR="007C38F1">
        <w:rPr>
          <w:rFonts w:ascii="Georgia" w:hAnsi="Georgia" w:cs="Arial"/>
          <w:color w:val="404041"/>
          <w:spacing w:val="1"/>
          <w:sz w:val="20"/>
          <w:szCs w:val="20"/>
          <w:shd w:val="clear" w:color="auto" w:fill="FFFFFF"/>
        </w:rPr>
        <w:t xml:space="preserve">published by PwC Strategy &amp; Business </w:t>
      </w:r>
      <w:r>
        <w:rPr>
          <w:rFonts w:ascii="Georgia" w:hAnsi="Georgia" w:cs="Arial"/>
          <w:color w:val="404041"/>
          <w:spacing w:val="1"/>
          <w:sz w:val="20"/>
          <w:szCs w:val="20"/>
          <w:shd w:val="clear" w:color="auto" w:fill="FFFFFF"/>
        </w:rPr>
        <w:t>details how organizations to get ready to exploit the opportunities from AI. Find out more here</w:t>
      </w:r>
    </w:p>
    <w:p w14:paraId="442556D8" w14:textId="0C192B7F" w:rsidR="00A3691F" w:rsidRPr="00296DD2" w:rsidRDefault="00362E19" w:rsidP="00296DD2">
      <w:pPr>
        <w:pStyle w:val="ListParagraph"/>
        <w:shd w:val="clear" w:color="auto" w:fill="FFFFFF"/>
        <w:spacing w:before="100" w:beforeAutospacing="1" w:after="100" w:afterAutospacing="1" w:line="240" w:lineRule="auto"/>
        <w:ind w:left="630" w:right="430"/>
        <w:rPr>
          <w:rFonts w:ascii="Georgia" w:hAnsi="Georgia"/>
          <w:sz w:val="20"/>
          <w:szCs w:val="20"/>
          <w:lang w:eastAsia="en-GB"/>
        </w:rPr>
      </w:pPr>
      <w:hyperlink r:id="rId8" w:history="1">
        <w:r w:rsidR="004A5835" w:rsidRPr="00C66DB1">
          <w:rPr>
            <w:rStyle w:val="Hyperlink"/>
            <w:rFonts w:ascii="Georgia" w:hAnsi="Georgia"/>
            <w:sz w:val="20"/>
            <w:szCs w:val="20"/>
            <w:lang w:eastAsia="en-GB"/>
          </w:rPr>
          <w:t>https://www.strategy-business.com/article/A-Strategists-Guide-to-Artificial-Intelligence?gko=0abb5</w:t>
        </w:r>
      </w:hyperlink>
    </w:p>
    <w:p w14:paraId="3DE7FF0A" w14:textId="73C22CE2" w:rsidR="003C6132" w:rsidRPr="003C6132" w:rsidRDefault="00F92B2E" w:rsidP="003C6132">
      <w:pPr>
        <w:pStyle w:val="ListParagraph"/>
        <w:numPr>
          <w:ilvl w:val="0"/>
          <w:numId w:val="16"/>
        </w:numPr>
        <w:shd w:val="clear" w:color="auto" w:fill="FFFFFF"/>
        <w:spacing w:before="100" w:beforeAutospacing="1" w:after="100" w:afterAutospacing="1" w:line="240" w:lineRule="auto"/>
        <w:ind w:right="430"/>
        <w:rPr>
          <w:rFonts w:ascii="Georgia" w:hAnsi="Georgia"/>
          <w:sz w:val="20"/>
          <w:szCs w:val="20"/>
          <w:lang w:eastAsia="en-GB"/>
        </w:rPr>
      </w:pPr>
      <w:r w:rsidRPr="003C6132">
        <w:rPr>
          <w:rFonts w:ascii="Georgia" w:hAnsi="Georgia" w:cs="Arial"/>
          <w:color w:val="404041"/>
          <w:spacing w:val="1"/>
          <w:sz w:val="20"/>
          <w:szCs w:val="20"/>
          <w:shd w:val="clear" w:color="auto" w:fill="FFFFFF"/>
        </w:rPr>
        <w:t xml:space="preserve">PwC </w:t>
      </w:r>
      <w:r w:rsidR="0025502F" w:rsidRPr="003C6132">
        <w:rPr>
          <w:rFonts w:ascii="Georgia" w:hAnsi="Georgia" w:cs="Arial"/>
          <w:color w:val="404041"/>
          <w:spacing w:val="1"/>
          <w:sz w:val="20"/>
          <w:szCs w:val="20"/>
          <w:shd w:val="clear" w:color="auto" w:fill="FFFFFF"/>
        </w:rPr>
        <w:t>R</w:t>
      </w:r>
      <w:r w:rsidRPr="003C6132">
        <w:rPr>
          <w:rFonts w:ascii="Georgia" w:hAnsi="Georgia" w:cs="Arial"/>
          <w:color w:val="404041"/>
          <w:spacing w:val="1"/>
          <w:sz w:val="20"/>
          <w:szCs w:val="20"/>
          <w:shd w:val="clear" w:color="auto" w:fill="FFFFFF"/>
        </w:rPr>
        <w:t xml:space="preserve">esponsible AI framework </w:t>
      </w:r>
      <w:r w:rsidR="0025502F" w:rsidRPr="003C6132">
        <w:rPr>
          <w:rFonts w:ascii="Georgia" w:hAnsi="Georgia" w:cs="Arial"/>
          <w:color w:val="404041"/>
          <w:spacing w:val="1"/>
          <w:sz w:val="20"/>
          <w:szCs w:val="20"/>
          <w:shd w:val="clear" w:color="auto" w:fill="FFFFFF"/>
        </w:rPr>
        <w:t xml:space="preserve">is designed </w:t>
      </w:r>
      <w:r w:rsidRPr="003C6132">
        <w:rPr>
          <w:rFonts w:ascii="Georgia" w:hAnsi="Georgia" w:cs="Arial"/>
          <w:color w:val="404041"/>
          <w:spacing w:val="1"/>
          <w:sz w:val="20"/>
          <w:szCs w:val="20"/>
          <w:shd w:val="clear" w:color="auto" w:fill="FFFFFF"/>
        </w:rPr>
        <w:t xml:space="preserve">to strengthen confidence in how to effectively deploy AI solutions and have trust in their outputs. It provides a practical mechanism for ensuring effective monitoring and stewardship of AI outcomes. Find out more here </w:t>
      </w:r>
      <w:hyperlink r:id="rId9" w:history="1">
        <w:r w:rsidR="003C6132" w:rsidRPr="003C6132">
          <w:rPr>
            <w:rStyle w:val="Hyperlink"/>
            <w:rFonts w:ascii="Georgia" w:hAnsi="Georgia" w:cs="Arial"/>
            <w:spacing w:val="1"/>
            <w:sz w:val="20"/>
            <w:szCs w:val="20"/>
            <w:shd w:val="clear" w:color="auto" w:fill="FFFFFF"/>
          </w:rPr>
          <w:t>https://www.pwc.co.uk/services/audit-assurance/insights/responsible-ai-how-to-build-trust-and-confidence.html</w:t>
        </w:r>
      </w:hyperlink>
    </w:p>
    <w:p w14:paraId="6571E87D" w14:textId="1464612A" w:rsidR="003C6132" w:rsidRPr="003C6132" w:rsidRDefault="008949AB" w:rsidP="00296DD2">
      <w:pPr>
        <w:pStyle w:val="ListParagraph"/>
        <w:numPr>
          <w:ilvl w:val="0"/>
          <w:numId w:val="16"/>
        </w:numPr>
        <w:shd w:val="clear" w:color="auto" w:fill="FFFFFF"/>
        <w:spacing w:before="100" w:beforeAutospacing="1" w:after="100" w:afterAutospacing="1" w:line="240" w:lineRule="auto"/>
        <w:ind w:right="430"/>
        <w:rPr>
          <w:rFonts w:ascii="Georgia" w:hAnsi="Georgia"/>
          <w:sz w:val="20"/>
          <w:szCs w:val="20"/>
          <w:lang w:eastAsia="en-GB"/>
        </w:rPr>
      </w:pPr>
      <w:r w:rsidRPr="00296DD2">
        <w:rPr>
          <w:rFonts w:ascii="Georgia" w:hAnsi="Georgia"/>
          <w:sz w:val="20"/>
          <w:szCs w:val="20"/>
          <w:lang w:eastAsia="en-GB"/>
        </w:rPr>
        <w:t>Methodology</w:t>
      </w:r>
      <w:r w:rsidRPr="003C6132">
        <w:rPr>
          <w:rFonts w:ascii="Georgia" w:hAnsi="Georgia"/>
          <w:sz w:val="20"/>
          <w:szCs w:val="20"/>
          <w:lang w:eastAsia="en-GB"/>
        </w:rPr>
        <w:t xml:space="preserve">: </w:t>
      </w:r>
      <w:r w:rsidRPr="003C6132">
        <w:rPr>
          <w:rFonts w:ascii="Georgia" w:hAnsi="Georgia"/>
          <w:bCs/>
          <w:sz w:val="20"/>
          <w:szCs w:val="20"/>
        </w:rPr>
        <w:t>To estimate AI impact, our team conducted a dual-phased t</w:t>
      </w:r>
      <w:r w:rsidR="003C6132">
        <w:rPr>
          <w:rFonts w:ascii="Georgia" w:hAnsi="Georgia"/>
          <w:bCs/>
          <w:sz w:val="20"/>
          <w:szCs w:val="20"/>
        </w:rPr>
        <w:t xml:space="preserve">op-down and bottom-up analysis combining </w:t>
      </w:r>
      <w:r w:rsidR="007C38F1">
        <w:rPr>
          <w:rFonts w:ascii="Georgia" w:hAnsi="Georgia"/>
          <w:bCs/>
          <w:sz w:val="20"/>
          <w:szCs w:val="20"/>
        </w:rPr>
        <w:t xml:space="preserve">a </w:t>
      </w:r>
      <w:r w:rsidR="003C6132">
        <w:rPr>
          <w:rFonts w:ascii="Georgia" w:hAnsi="Georgia"/>
          <w:bCs/>
          <w:sz w:val="20"/>
          <w:szCs w:val="20"/>
        </w:rPr>
        <w:t xml:space="preserve">detailed </w:t>
      </w:r>
      <w:r w:rsidR="00006512">
        <w:rPr>
          <w:rFonts w:ascii="Georgia" w:hAnsi="Georgia"/>
          <w:bCs/>
          <w:sz w:val="20"/>
          <w:szCs w:val="20"/>
        </w:rPr>
        <w:t>assessment of</w:t>
      </w:r>
      <w:r w:rsidR="003C6132">
        <w:rPr>
          <w:rFonts w:ascii="Georgia" w:hAnsi="Georgia"/>
          <w:bCs/>
          <w:sz w:val="20"/>
          <w:szCs w:val="20"/>
        </w:rPr>
        <w:t xml:space="preserve"> the current and future use of AI and </w:t>
      </w:r>
      <w:r w:rsidR="007C38F1">
        <w:rPr>
          <w:rFonts w:ascii="Georgia" w:hAnsi="Georgia"/>
          <w:bCs/>
          <w:sz w:val="20"/>
          <w:szCs w:val="20"/>
        </w:rPr>
        <w:t xml:space="preserve">an exploration </w:t>
      </w:r>
      <w:r w:rsidR="003C6132">
        <w:rPr>
          <w:rFonts w:ascii="Georgia" w:hAnsi="Georgia"/>
          <w:bCs/>
          <w:sz w:val="20"/>
          <w:szCs w:val="20"/>
        </w:rPr>
        <w:t xml:space="preserve">of the economic impact in terms of </w:t>
      </w:r>
      <w:r w:rsidRPr="003C6132">
        <w:rPr>
          <w:rFonts w:ascii="Georgia" w:hAnsi="Georgia" w:cs="Arial"/>
          <w:sz w:val="20"/>
          <w:szCs w:val="20"/>
          <w:lang w:eastAsia="en-GB"/>
        </w:rPr>
        <w:t>new jobs, new products, and other secondary effects.</w:t>
      </w:r>
      <w:r w:rsidRPr="003C6132">
        <w:rPr>
          <w:rFonts w:ascii="Georgia" w:hAnsi="Georgia"/>
          <w:bCs/>
          <w:sz w:val="20"/>
          <w:szCs w:val="20"/>
        </w:rPr>
        <w:t xml:space="preserve"> </w:t>
      </w:r>
      <w:r w:rsidR="003C6132">
        <w:rPr>
          <w:rFonts w:ascii="Georgia" w:hAnsi="Georgia"/>
          <w:bCs/>
          <w:sz w:val="20"/>
          <w:szCs w:val="20"/>
        </w:rPr>
        <w:t xml:space="preserve">Further details can be found at </w:t>
      </w:r>
      <w:r w:rsidR="00296DD2" w:rsidRPr="00296DD2">
        <w:rPr>
          <w:rFonts w:ascii="Georgia" w:hAnsi="Georgia"/>
          <w:bCs/>
          <w:sz w:val="20"/>
          <w:szCs w:val="20"/>
        </w:rPr>
        <w:t>http://press.pwc.com/</w:t>
      </w:r>
    </w:p>
    <w:p w14:paraId="0BBD78D0" w14:textId="5DF0E364" w:rsidR="003465BC" w:rsidRPr="003C6132" w:rsidRDefault="003465BC" w:rsidP="003C6132">
      <w:pPr>
        <w:shd w:val="clear" w:color="auto" w:fill="FFFFFF"/>
        <w:spacing w:before="100" w:beforeAutospacing="1" w:after="100" w:afterAutospacing="1" w:line="240" w:lineRule="auto"/>
        <w:ind w:left="-90" w:right="430"/>
        <w:rPr>
          <w:szCs w:val="20"/>
          <w:lang w:eastAsia="en-GB"/>
        </w:rPr>
      </w:pPr>
      <w:r w:rsidRPr="003C6132">
        <w:rPr>
          <w:b/>
          <w:i/>
          <w:szCs w:val="20"/>
        </w:rPr>
        <w:t xml:space="preserve">About PwC </w:t>
      </w:r>
    </w:p>
    <w:p w14:paraId="7ED0813A" w14:textId="77777777" w:rsidR="003465BC" w:rsidRPr="003C6132" w:rsidRDefault="003465BC" w:rsidP="00871118">
      <w:pPr>
        <w:spacing w:line="276" w:lineRule="auto"/>
        <w:ind w:left="-90" w:right="202"/>
        <w:rPr>
          <w:rFonts w:cs="Georgia"/>
          <w:color w:val="000000"/>
          <w:szCs w:val="20"/>
        </w:rPr>
      </w:pPr>
      <w:r w:rsidRPr="003C6132">
        <w:rPr>
          <w:rFonts w:cs="Georgia"/>
          <w:color w:val="000000"/>
          <w:szCs w:val="20"/>
        </w:rPr>
        <w:t>At PwC, our purpose is to build trust in society and solve important problems. We’re a network of firms in 157 countries with more than 223,000 people who are committed to delivering quality in assurance, advisory and tax services. Find out more and tell us what matters to you by visiting us at www.pwc.com.</w:t>
      </w:r>
    </w:p>
    <w:p w14:paraId="1FFA7AB8" w14:textId="77777777" w:rsidR="003465BC" w:rsidRPr="003C6132" w:rsidRDefault="003465BC" w:rsidP="00871118">
      <w:pPr>
        <w:ind w:left="-90"/>
        <w:rPr>
          <w:rFonts w:cs="Georgia"/>
          <w:szCs w:val="20"/>
        </w:rPr>
      </w:pPr>
    </w:p>
    <w:p w14:paraId="233C7D94" w14:textId="77777777" w:rsidR="001F1C09" w:rsidRPr="003C6132" w:rsidRDefault="001F1C09" w:rsidP="00871118">
      <w:pPr>
        <w:ind w:left="-90"/>
        <w:rPr>
          <w:rFonts w:cs="Georgia"/>
          <w:szCs w:val="20"/>
        </w:rPr>
      </w:pPr>
      <w:r w:rsidRPr="003C6132">
        <w:rPr>
          <w:rFonts w:cs="Georgia"/>
          <w:szCs w:val="20"/>
        </w:rPr>
        <w:t>PwC refers to the PwC network and/or one or more of its member firms, each of which is a separate legal entity. Please see www.pwc.com/structure for further details.</w:t>
      </w:r>
    </w:p>
    <w:p w14:paraId="74E9010C" w14:textId="77777777" w:rsidR="000354FE" w:rsidRPr="003C6132" w:rsidRDefault="000354FE" w:rsidP="00871118">
      <w:pPr>
        <w:ind w:left="-90"/>
        <w:rPr>
          <w:rFonts w:cs="Georgia"/>
          <w:szCs w:val="20"/>
        </w:rPr>
      </w:pPr>
    </w:p>
    <w:p w14:paraId="316DCB94" w14:textId="30FD4B2F" w:rsidR="004E7BD7" w:rsidRPr="003C6132" w:rsidRDefault="000354FE" w:rsidP="00871118">
      <w:pPr>
        <w:ind w:left="-90"/>
        <w:rPr>
          <w:szCs w:val="20"/>
        </w:rPr>
      </w:pPr>
      <w:r w:rsidRPr="003C6132">
        <w:rPr>
          <w:rFonts w:cs="Georgia"/>
          <w:szCs w:val="20"/>
        </w:rPr>
        <w:t>© 2017 PwC. All rights reserved</w:t>
      </w:r>
    </w:p>
    <w:p w14:paraId="5C27B73E" w14:textId="77777777" w:rsidR="004E7BD7" w:rsidRPr="003C6132" w:rsidRDefault="004E7BD7" w:rsidP="000354FE">
      <w:pPr>
        <w:spacing w:line="240" w:lineRule="auto"/>
        <w:rPr>
          <w:szCs w:val="20"/>
        </w:rPr>
      </w:pPr>
    </w:p>
    <w:sectPr w:rsidR="004E7BD7" w:rsidRPr="003C6132" w:rsidSect="0065081B">
      <w:headerReference w:type="even" r:id="rId10"/>
      <w:headerReference w:type="default" r:id="rId11"/>
      <w:footerReference w:type="even" r:id="rId12"/>
      <w:footerReference w:type="default" r:id="rId13"/>
      <w:headerReference w:type="first" r:id="rId14"/>
      <w:pgSz w:w="11907" w:h="16839"/>
      <w:pgMar w:top="2790" w:right="1107" w:bottom="1411" w:left="1987"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F1959" w14:textId="77777777" w:rsidR="00362E19" w:rsidRDefault="00362E19">
      <w:pPr>
        <w:spacing w:line="240" w:lineRule="auto"/>
      </w:pPr>
      <w:r>
        <w:separator/>
      </w:r>
    </w:p>
  </w:endnote>
  <w:endnote w:type="continuationSeparator" w:id="0">
    <w:p w14:paraId="6DB24B01" w14:textId="77777777" w:rsidR="00362E19" w:rsidRDefault="00362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harterITC-Regu">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6B73" w14:textId="77777777" w:rsidR="00F079CB" w:rsidRDefault="00D965F8">
    <w:pPr>
      <w:pStyle w:val="Footer"/>
    </w:pPr>
    <w:r>
      <w:fldChar w:fldCharType="begin"/>
    </w:r>
    <w:r>
      <w:instrText xml:space="preserve"> PAGE  \* MERGEFORMAT </w:instrText>
    </w:r>
    <w:r>
      <w:fldChar w:fldCharType="separate"/>
    </w:r>
    <w:r w:rsidR="002A1113">
      <w:rPr>
        <w:noProof/>
      </w:rPr>
      <w:t>2</w:t>
    </w:r>
    <w:r>
      <w:rPr>
        <w:noProof/>
      </w:rPr>
      <w:fldChar w:fldCharType="end"/>
    </w:r>
    <w:r w:rsidR="00F079CB">
      <w:t xml:space="preserve"> of </w:t>
    </w:r>
    <w:fldSimple w:instr=" NUMPAGES  \* MERGEFORMAT ">
      <w:r w:rsidR="002A1113">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50B5" w14:textId="77777777" w:rsidR="00F079CB" w:rsidRDefault="00D965F8">
    <w:pPr>
      <w:pStyle w:val="Footer"/>
    </w:pPr>
    <w:r>
      <w:fldChar w:fldCharType="begin"/>
    </w:r>
    <w:r>
      <w:instrText xml:space="preserve"> PAGE  \* MERGEFORMAT </w:instrText>
    </w:r>
    <w:r>
      <w:fldChar w:fldCharType="separate"/>
    </w:r>
    <w:r w:rsidR="002A1113">
      <w:rPr>
        <w:noProof/>
      </w:rPr>
      <w:t>3</w:t>
    </w:r>
    <w:r>
      <w:rPr>
        <w:noProof/>
      </w:rPr>
      <w:fldChar w:fldCharType="end"/>
    </w:r>
    <w:r w:rsidR="00F079CB">
      <w:t xml:space="preserve"> of </w:t>
    </w:r>
    <w:fldSimple w:instr=" NUMPAGES  \* MERGEFORMAT ">
      <w:r w:rsidR="002A1113">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C4B4C" w14:textId="77777777" w:rsidR="00362E19" w:rsidRDefault="00362E19">
      <w:pPr>
        <w:spacing w:line="240" w:lineRule="auto"/>
      </w:pPr>
      <w:r>
        <w:separator/>
      </w:r>
    </w:p>
  </w:footnote>
  <w:footnote w:type="continuationSeparator" w:id="0">
    <w:p w14:paraId="1A1A74AB" w14:textId="77777777" w:rsidR="00362E19" w:rsidRDefault="00362E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6A7A4" w14:textId="77777777" w:rsidR="00F079CB" w:rsidRDefault="00F079CB">
    <w:pPr>
      <w:pStyle w:val="Header"/>
    </w:pPr>
    <w:r>
      <w:rPr>
        <w:noProof/>
        <w:lang w:val="en-US"/>
      </w:rPr>
      <w:drawing>
        <wp:anchor distT="0" distB="0" distL="114300" distR="114300" simplePos="0" relativeHeight="251658752" behindDoc="0" locked="1" layoutInCell="1" allowOverlap="1" wp14:anchorId="4D03E19C" wp14:editId="28F2EB73">
          <wp:simplePos x="0" y="0"/>
          <wp:positionH relativeFrom="page">
            <wp:posOffset>431165</wp:posOffset>
          </wp:positionH>
          <wp:positionV relativeFrom="page">
            <wp:posOffset>490855</wp:posOffset>
          </wp:positionV>
          <wp:extent cx="1410970" cy="12687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0489EC10" w14:textId="77777777" w:rsidR="00F079CB" w:rsidRDefault="00F07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8D89D" w14:textId="77777777" w:rsidR="00F079CB" w:rsidRDefault="00F079CB">
    <w:pPr>
      <w:pStyle w:val="Header"/>
    </w:pPr>
    <w:r>
      <w:rPr>
        <w:noProof/>
        <w:lang w:val="en-US"/>
      </w:rPr>
      <w:drawing>
        <wp:anchor distT="0" distB="0" distL="114300" distR="114300" simplePos="0" relativeHeight="251657728" behindDoc="0" locked="1" layoutInCell="1" allowOverlap="1" wp14:anchorId="0A3F6316" wp14:editId="3CC90155">
          <wp:simplePos x="0" y="0"/>
          <wp:positionH relativeFrom="page">
            <wp:posOffset>431165</wp:posOffset>
          </wp:positionH>
          <wp:positionV relativeFrom="page">
            <wp:posOffset>490855</wp:posOffset>
          </wp:positionV>
          <wp:extent cx="1410970" cy="12687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53AAD5A7" w14:textId="77777777" w:rsidR="00F079CB" w:rsidRDefault="00F079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EF7B" w14:textId="77777777" w:rsidR="00F079CB" w:rsidRDefault="00F079CB">
    <w:pPr>
      <w:pStyle w:val="Header"/>
    </w:pPr>
    <w:r>
      <w:rPr>
        <w:noProof/>
        <w:lang w:val="en-US"/>
      </w:rPr>
      <w:drawing>
        <wp:anchor distT="0" distB="0" distL="114300" distR="114300" simplePos="0" relativeHeight="251656704" behindDoc="0" locked="1" layoutInCell="1" allowOverlap="1" wp14:anchorId="0644F884" wp14:editId="1EFEA33E">
          <wp:simplePos x="0" y="0"/>
          <wp:positionH relativeFrom="page">
            <wp:posOffset>431165</wp:posOffset>
          </wp:positionH>
          <wp:positionV relativeFrom="page">
            <wp:posOffset>490855</wp:posOffset>
          </wp:positionV>
          <wp:extent cx="1410970" cy="1268730"/>
          <wp:effectExtent l="0" t="0" r="0" b="0"/>
          <wp:wrapNone/>
          <wp:docPr id="13"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1E9"/>
    <w:multiLevelType w:val="hybridMultilevel"/>
    <w:tmpl w:val="85BC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B83"/>
    <w:multiLevelType w:val="hybridMultilevel"/>
    <w:tmpl w:val="E0A0F0F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F2072B7"/>
    <w:multiLevelType w:val="hybridMultilevel"/>
    <w:tmpl w:val="4270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812FF"/>
    <w:multiLevelType w:val="hybridMultilevel"/>
    <w:tmpl w:val="D4F0BA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F6A82"/>
    <w:multiLevelType w:val="hybridMultilevel"/>
    <w:tmpl w:val="7C1E2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E0152"/>
    <w:multiLevelType w:val="hybridMultilevel"/>
    <w:tmpl w:val="EEA0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F26BA"/>
    <w:multiLevelType w:val="hybridMultilevel"/>
    <w:tmpl w:val="E404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77C61"/>
    <w:multiLevelType w:val="hybridMultilevel"/>
    <w:tmpl w:val="B9D0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00F4F"/>
    <w:multiLevelType w:val="hybridMultilevel"/>
    <w:tmpl w:val="DBC8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66F7F"/>
    <w:multiLevelType w:val="hybridMultilevel"/>
    <w:tmpl w:val="6AE0A0F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EA76C46"/>
    <w:multiLevelType w:val="hybridMultilevel"/>
    <w:tmpl w:val="EB3C0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91AB8"/>
    <w:multiLevelType w:val="hybridMultilevel"/>
    <w:tmpl w:val="5BE85DA8"/>
    <w:lvl w:ilvl="0" w:tplc="77B01260">
      <w:start w:val="1"/>
      <w:numFmt w:val="bullet"/>
      <w:lvlText w:val="•"/>
      <w:lvlJc w:val="left"/>
      <w:pPr>
        <w:tabs>
          <w:tab w:val="num" w:pos="720"/>
        </w:tabs>
        <w:ind w:left="720" w:hanging="360"/>
      </w:pPr>
      <w:rPr>
        <w:rFonts w:ascii="Arial" w:hAnsi="Arial" w:hint="default"/>
      </w:rPr>
    </w:lvl>
    <w:lvl w:ilvl="1" w:tplc="695A0086" w:tentative="1">
      <w:start w:val="1"/>
      <w:numFmt w:val="bullet"/>
      <w:lvlText w:val="•"/>
      <w:lvlJc w:val="left"/>
      <w:pPr>
        <w:tabs>
          <w:tab w:val="num" w:pos="1440"/>
        </w:tabs>
        <w:ind w:left="1440" w:hanging="360"/>
      </w:pPr>
      <w:rPr>
        <w:rFonts w:ascii="Arial" w:hAnsi="Arial" w:hint="default"/>
      </w:rPr>
    </w:lvl>
    <w:lvl w:ilvl="2" w:tplc="756C22F2" w:tentative="1">
      <w:start w:val="1"/>
      <w:numFmt w:val="bullet"/>
      <w:lvlText w:val="•"/>
      <w:lvlJc w:val="left"/>
      <w:pPr>
        <w:tabs>
          <w:tab w:val="num" w:pos="2160"/>
        </w:tabs>
        <w:ind w:left="2160" w:hanging="360"/>
      </w:pPr>
      <w:rPr>
        <w:rFonts w:ascii="Arial" w:hAnsi="Arial" w:hint="default"/>
      </w:rPr>
    </w:lvl>
    <w:lvl w:ilvl="3" w:tplc="DEE6D26C" w:tentative="1">
      <w:start w:val="1"/>
      <w:numFmt w:val="bullet"/>
      <w:lvlText w:val="•"/>
      <w:lvlJc w:val="left"/>
      <w:pPr>
        <w:tabs>
          <w:tab w:val="num" w:pos="2880"/>
        </w:tabs>
        <w:ind w:left="2880" w:hanging="360"/>
      </w:pPr>
      <w:rPr>
        <w:rFonts w:ascii="Arial" w:hAnsi="Arial" w:hint="default"/>
      </w:rPr>
    </w:lvl>
    <w:lvl w:ilvl="4" w:tplc="28222E58" w:tentative="1">
      <w:start w:val="1"/>
      <w:numFmt w:val="bullet"/>
      <w:lvlText w:val="•"/>
      <w:lvlJc w:val="left"/>
      <w:pPr>
        <w:tabs>
          <w:tab w:val="num" w:pos="3600"/>
        </w:tabs>
        <w:ind w:left="3600" w:hanging="360"/>
      </w:pPr>
      <w:rPr>
        <w:rFonts w:ascii="Arial" w:hAnsi="Arial" w:hint="default"/>
      </w:rPr>
    </w:lvl>
    <w:lvl w:ilvl="5" w:tplc="6C52F44A" w:tentative="1">
      <w:start w:val="1"/>
      <w:numFmt w:val="bullet"/>
      <w:lvlText w:val="•"/>
      <w:lvlJc w:val="left"/>
      <w:pPr>
        <w:tabs>
          <w:tab w:val="num" w:pos="4320"/>
        </w:tabs>
        <w:ind w:left="4320" w:hanging="360"/>
      </w:pPr>
      <w:rPr>
        <w:rFonts w:ascii="Arial" w:hAnsi="Arial" w:hint="default"/>
      </w:rPr>
    </w:lvl>
    <w:lvl w:ilvl="6" w:tplc="5DEE0F5A" w:tentative="1">
      <w:start w:val="1"/>
      <w:numFmt w:val="bullet"/>
      <w:lvlText w:val="•"/>
      <w:lvlJc w:val="left"/>
      <w:pPr>
        <w:tabs>
          <w:tab w:val="num" w:pos="5040"/>
        </w:tabs>
        <w:ind w:left="5040" w:hanging="360"/>
      </w:pPr>
      <w:rPr>
        <w:rFonts w:ascii="Arial" w:hAnsi="Arial" w:hint="default"/>
      </w:rPr>
    </w:lvl>
    <w:lvl w:ilvl="7" w:tplc="516CF022" w:tentative="1">
      <w:start w:val="1"/>
      <w:numFmt w:val="bullet"/>
      <w:lvlText w:val="•"/>
      <w:lvlJc w:val="left"/>
      <w:pPr>
        <w:tabs>
          <w:tab w:val="num" w:pos="5760"/>
        </w:tabs>
        <w:ind w:left="5760" w:hanging="360"/>
      </w:pPr>
      <w:rPr>
        <w:rFonts w:ascii="Arial" w:hAnsi="Arial" w:hint="default"/>
      </w:rPr>
    </w:lvl>
    <w:lvl w:ilvl="8" w:tplc="E6C0158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2814AD4"/>
    <w:multiLevelType w:val="hybridMultilevel"/>
    <w:tmpl w:val="DA56BB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2A939E3"/>
    <w:multiLevelType w:val="hybridMultilevel"/>
    <w:tmpl w:val="CF00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957E7"/>
    <w:multiLevelType w:val="hybridMultilevel"/>
    <w:tmpl w:val="08D2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570A3"/>
    <w:multiLevelType w:val="hybridMultilevel"/>
    <w:tmpl w:val="CF8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006A6"/>
    <w:multiLevelType w:val="hybridMultilevel"/>
    <w:tmpl w:val="9F9E0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42052"/>
    <w:multiLevelType w:val="hybridMultilevel"/>
    <w:tmpl w:val="31B6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E3C53"/>
    <w:multiLevelType w:val="hybridMultilevel"/>
    <w:tmpl w:val="08E82C7E"/>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9"/>
  </w:num>
  <w:num w:numId="2">
    <w:abstractNumId w:val="3"/>
  </w:num>
  <w:num w:numId="3">
    <w:abstractNumId w:val="15"/>
  </w:num>
  <w:num w:numId="4">
    <w:abstractNumId w:val="2"/>
  </w:num>
  <w:num w:numId="5">
    <w:abstractNumId w:val="5"/>
  </w:num>
  <w:num w:numId="6">
    <w:abstractNumId w:val="0"/>
  </w:num>
  <w:num w:numId="7">
    <w:abstractNumId w:val="12"/>
  </w:num>
  <w:num w:numId="8">
    <w:abstractNumId w:val="13"/>
  </w:num>
  <w:num w:numId="9">
    <w:abstractNumId w:val="10"/>
  </w:num>
  <w:num w:numId="10">
    <w:abstractNumId w:val="4"/>
  </w:num>
  <w:num w:numId="11">
    <w:abstractNumId w:val="6"/>
  </w:num>
  <w:num w:numId="12">
    <w:abstractNumId w:val="7"/>
  </w:num>
  <w:num w:numId="13">
    <w:abstractNumId w:val="8"/>
  </w:num>
  <w:num w:numId="14">
    <w:abstractNumId w:val="14"/>
  </w:num>
  <w:num w:numId="15">
    <w:abstractNumId w:val="11"/>
  </w:num>
  <w:num w:numId="16">
    <w:abstractNumId w:val="18"/>
  </w:num>
  <w:num w:numId="17">
    <w:abstractNumId w:val="16"/>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7A"/>
    <w:rsid w:val="000015BB"/>
    <w:rsid w:val="00006512"/>
    <w:rsid w:val="00017857"/>
    <w:rsid w:val="000354FE"/>
    <w:rsid w:val="00045E63"/>
    <w:rsid w:val="00051186"/>
    <w:rsid w:val="000847E9"/>
    <w:rsid w:val="000B022E"/>
    <w:rsid w:val="000B2BDE"/>
    <w:rsid w:val="000C44D3"/>
    <w:rsid w:val="000E5A02"/>
    <w:rsid w:val="000F3FA7"/>
    <w:rsid w:val="0013143A"/>
    <w:rsid w:val="0016742F"/>
    <w:rsid w:val="00183EAA"/>
    <w:rsid w:val="00185D84"/>
    <w:rsid w:val="00196C57"/>
    <w:rsid w:val="00196D17"/>
    <w:rsid w:val="001A3C5B"/>
    <w:rsid w:val="001A66C6"/>
    <w:rsid w:val="001A6880"/>
    <w:rsid w:val="001C020C"/>
    <w:rsid w:val="001E1E45"/>
    <w:rsid w:val="001F1C09"/>
    <w:rsid w:val="00205618"/>
    <w:rsid w:val="00213D01"/>
    <w:rsid w:val="00213E8B"/>
    <w:rsid w:val="00222BE9"/>
    <w:rsid w:val="00223511"/>
    <w:rsid w:val="00235A51"/>
    <w:rsid w:val="0023637C"/>
    <w:rsid w:val="00241DAB"/>
    <w:rsid w:val="00250CC6"/>
    <w:rsid w:val="0025502F"/>
    <w:rsid w:val="00281711"/>
    <w:rsid w:val="00283609"/>
    <w:rsid w:val="00290F44"/>
    <w:rsid w:val="00296DD2"/>
    <w:rsid w:val="00297219"/>
    <w:rsid w:val="002A1113"/>
    <w:rsid w:val="002B05A0"/>
    <w:rsid w:val="002B33E4"/>
    <w:rsid w:val="002C4FEA"/>
    <w:rsid w:val="002D01FB"/>
    <w:rsid w:val="002E1ED6"/>
    <w:rsid w:val="00310E2B"/>
    <w:rsid w:val="00312167"/>
    <w:rsid w:val="00345C98"/>
    <w:rsid w:val="003465BC"/>
    <w:rsid w:val="00362E19"/>
    <w:rsid w:val="00365CB3"/>
    <w:rsid w:val="0038785C"/>
    <w:rsid w:val="00392A33"/>
    <w:rsid w:val="00393176"/>
    <w:rsid w:val="003A2C5E"/>
    <w:rsid w:val="003B31B9"/>
    <w:rsid w:val="003C6132"/>
    <w:rsid w:val="003D5114"/>
    <w:rsid w:val="003D6E63"/>
    <w:rsid w:val="003E6603"/>
    <w:rsid w:val="0041278A"/>
    <w:rsid w:val="00444540"/>
    <w:rsid w:val="00460562"/>
    <w:rsid w:val="00467878"/>
    <w:rsid w:val="004A07BD"/>
    <w:rsid w:val="004A5835"/>
    <w:rsid w:val="004A66D8"/>
    <w:rsid w:val="004C1695"/>
    <w:rsid w:val="004C32DE"/>
    <w:rsid w:val="004C5C0B"/>
    <w:rsid w:val="004D61EC"/>
    <w:rsid w:val="004E7BD7"/>
    <w:rsid w:val="004F34AF"/>
    <w:rsid w:val="004F666C"/>
    <w:rsid w:val="00536B0E"/>
    <w:rsid w:val="00540E97"/>
    <w:rsid w:val="00563706"/>
    <w:rsid w:val="00575B8C"/>
    <w:rsid w:val="00586F6B"/>
    <w:rsid w:val="005A1160"/>
    <w:rsid w:val="005E10F1"/>
    <w:rsid w:val="0063694A"/>
    <w:rsid w:val="00636B2C"/>
    <w:rsid w:val="0063750A"/>
    <w:rsid w:val="006444EE"/>
    <w:rsid w:val="0065081B"/>
    <w:rsid w:val="00651063"/>
    <w:rsid w:val="00651128"/>
    <w:rsid w:val="00651B4E"/>
    <w:rsid w:val="006573B6"/>
    <w:rsid w:val="00663A9B"/>
    <w:rsid w:val="00667367"/>
    <w:rsid w:val="006A1583"/>
    <w:rsid w:val="006B020B"/>
    <w:rsid w:val="006B03FC"/>
    <w:rsid w:val="006F5058"/>
    <w:rsid w:val="006F6980"/>
    <w:rsid w:val="007150D9"/>
    <w:rsid w:val="00725F5F"/>
    <w:rsid w:val="00727727"/>
    <w:rsid w:val="00734D7A"/>
    <w:rsid w:val="00737FEA"/>
    <w:rsid w:val="00741F8D"/>
    <w:rsid w:val="00786047"/>
    <w:rsid w:val="0079225E"/>
    <w:rsid w:val="007C38F1"/>
    <w:rsid w:val="0081144A"/>
    <w:rsid w:val="008263C1"/>
    <w:rsid w:val="00832C2A"/>
    <w:rsid w:val="0083618E"/>
    <w:rsid w:val="00860C8B"/>
    <w:rsid w:val="0086333A"/>
    <w:rsid w:val="00871118"/>
    <w:rsid w:val="00875FA7"/>
    <w:rsid w:val="00887E09"/>
    <w:rsid w:val="0089033D"/>
    <w:rsid w:val="008949AB"/>
    <w:rsid w:val="00897462"/>
    <w:rsid w:val="008A51AC"/>
    <w:rsid w:val="008A7070"/>
    <w:rsid w:val="008B308F"/>
    <w:rsid w:val="008E226A"/>
    <w:rsid w:val="008F4AB0"/>
    <w:rsid w:val="00912E25"/>
    <w:rsid w:val="009324FA"/>
    <w:rsid w:val="00953BD0"/>
    <w:rsid w:val="00975CFC"/>
    <w:rsid w:val="009A4DA2"/>
    <w:rsid w:val="009C1ADD"/>
    <w:rsid w:val="009C5FEA"/>
    <w:rsid w:val="009E37FE"/>
    <w:rsid w:val="00A0689C"/>
    <w:rsid w:val="00A1362D"/>
    <w:rsid w:val="00A3691F"/>
    <w:rsid w:val="00A757C2"/>
    <w:rsid w:val="00AA3ED2"/>
    <w:rsid w:val="00AB6085"/>
    <w:rsid w:val="00B13C6E"/>
    <w:rsid w:val="00B42CD0"/>
    <w:rsid w:val="00B604B2"/>
    <w:rsid w:val="00B67D8E"/>
    <w:rsid w:val="00B74C6A"/>
    <w:rsid w:val="00B95400"/>
    <w:rsid w:val="00BA191A"/>
    <w:rsid w:val="00BC601E"/>
    <w:rsid w:val="00C00F94"/>
    <w:rsid w:val="00C045A4"/>
    <w:rsid w:val="00C10DCB"/>
    <w:rsid w:val="00C17CFC"/>
    <w:rsid w:val="00C27D3D"/>
    <w:rsid w:val="00C510CE"/>
    <w:rsid w:val="00C65BA6"/>
    <w:rsid w:val="00C76C70"/>
    <w:rsid w:val="00C877C1"/>
    <w:rsid w:val="00C91AE7"/>
    <w:rsid w:val="00C93A41"/>
    <w:rsid w:val="00C93A60"/>
    <w:rsid w:val="00D14598"/>
    <w:rsid w:val="00D154A9"/>
    <w:rsid w:val="00D32971"/>
    <w:rsid w:val="00D516F9"/>
    <w:rsid w:val="00D558DF"/>
    <w:rsid w:val="00D669A2"/>
    <w:rsid w:val="00D66C9F"/>
    <w:rsid w:val="00D86233"/>
    <w:rsid w:val="00D965F8"/>
    <w:rsid w:val="00DA22C4"/>
    <w:rsid w:val="00DC1F72"/>
    <w:rsid w:val="00DD1F9B"/>
    <w:rsid w:val="00E22FBB"/>
    <w:rsid w:val="00E3795A"/>
    <w:rsid w:val="00E536E3"/>
    <w:rsid w:val="00EB2380"/>
    <w:rsid w:val="00EC61BF"/>
    <w:rsid w:val="00EE5CC0"/>
    <w:rsid w:val="00EF550D"/>
    <w:rsid w:val="00F079CB"/>
    <w:rsid w:val="00F432F4"/>
    <w:rsid w:val="00F562FD"/>
    <w:rsid w:val="00F6052D"/>
    <w:rsid w:val="00F65E06"/>
    <w:rsid w:val="00F76254"/>
    <w:rsid w:val="00F768B8"/>
    <w:rsid w:val="00F76EC7"/>
    <w:rsid w:val="00F92B2E"/>
    <w:rsid w:val="00FA66C2"/>
    <w:rsid w:val="00FC1F86"/>
    <w:rsid w:val="00FC2E08"/>
    <w:rsid w:val="00FC337A"/>
    <w:rsid w:val="00FC3AB8"/>
    <w:rsid w:val="00FD2F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A9CB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D7A"/>
    <w:pPr>
      <w:spacing w:line="240" w:lineRule="atLeast"/>
    </w:pPr>
    <w:rPr>
      <w:rFonts w:ascii="Georgia" w:hAnsi="Georgia"/>
      <w:sz w:val="20"/>
      <w:lang w:val="en-GB"/>
    </w:rPr>
  </w:style>
  <w:style w:type="paragraph" w:styleId="Heading1">
    <w:name w:val="heading 1"/>
    <w:basedOn w:val="Normal"/>
    <w:next w:val="Normal"/>
    <w:link w:val="Heading1Char"/>
    <w:uiPriority w:val="99"/>
    <w:qFormat/>
    <w:rsid w:val="00734D7A"/>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4D7A"/>
    <w:rPr>
      <w:rFonts w:ascii="Cambria" w:hAnsi="Cambria" w:cs="Times New Roman"/>
      <w:b/>
      <w:bCs/>
      <w:kern w:val="32"/>
      <w:sz w:val="32"/>
      <w:szCs w:val="32"/>
    </w:rPr>
  </w:style>
  <w:style w:type="paragraph" w:styleId="Header">
    <w:name w:val="header"/>
    <w:basedOn w:val="Normal"/>
    <w:link w:val="HeaderChar"/>
    <w:rsid w:val="00734D7A"/>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734D7A"/>
    <w:rPr>
      <w:rFonts w:cs="Times New Roman"/>
    </w:rPr>
  </w:style>
  <w:style w:type="paragraph" w:styleId="Footer">
    <w:name w:val="footer"/>
    <w:basedOn w:val="Normal"/>
    <w:link w:val="FooterChar"/>
    <w:uiPriority w:val="99"/>
    <w:semiHidden/>
    <w:rsid w:val="00734D7A"/>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734D7A"/>
    <w:rPr>
      <w:rFonts w:cs="Times New Roman"/>
    </w:rPr>
  </w:style>
  <w:style w:type="paragraph" w:styleId="BodyText">
    <w:name w:val="Body Text"/>
    <w:basedOn w:val="Normal"/>
    <w:link w:val="BodyTextChar"/>
    <w:uiPriority w:val="99"/>
    <w:rsid w:val="00734D7A"/>
    <w:pPr>
      <w:spacing w:after="240"/>
    </w:pPr>
  </w:style>
  <w:style w:type="character" w:customStyle="1" w:styleId="BodyTextChar">
    <w:name w:val="Body Text Char"/>
    <w:basedOn w:val="DefaultParagraphFont"/>
    <w:link w:val="BodyText"/>
    <w:uiPriority w:val="99"/>
    <w:locked/>
    <w:rsid w:val="00734D7A"/>
    <w:rPr>
      <w:rFonts w:ascii="Georgia" w:hAnsi="Georgia" w:cs="Times New Roman"/>
      <w:sz w:val="20"/>
    </w:rPr>
  </w:style>
  <w:style w:type="paragraph" w:styleId="Title">
    <w:name w:val="Title"/>
    <w:basedOn w:val="Normal"/>
    <w:next w:val="Normal"/>
    <w:link w:val="TitleChar"/>
    <w:uiPriority w:val="99"/>
    <w:qFormat/>
    <w:rsid w:val="00734D7A"/>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734D7A"/>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734D7A"/>
    <w:pPr>
      <w:spacing w:line="200" w:lineRule="atLeast"/>
    </w:pPr>
    <w:rPr>
      <w:i/>
      <w:sz w:val="18"/>
    </w:rPr>
  </w:style>
  <w:style w:type="character" w:customStyle="1" w:styleId="AddressChar">
    <w:name w:val="Address Char"/>
    <w:basedOn w:val="DefaultParagraphFont"/>
    <w:link w:val="Address"/>
    <w:uiPriority w:val="99"/>
    <w:locked/>
    <w:rsid w:val="00734D7A"/>
    <w:rPr>
      <w:rFonts w:ascii="Georgia" w:hAnsi="Georgia" w:cs="Times New Roman"/>
      <w:i/>
      <w:sz w:val="18"/>
    </w:rPr>
  </w:style>
  <w:style w:type="paragraph" w:customStyle="1" w:styleId="Disclaimer">
    <w:name w:val="Disclaimer"/>
    <w:basedOn w:val="Normal"/>
    <w:link w:val="DisclaimerChar"/>
    <w:uiPriority w:val="99"/>
    <w:rsid w:val="00734D7A"/>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734D7A"/>
    <w:rPr>
      <w:rFonts w:ascii="Arial" w:hAnsi="Arial" w:cs="Arial"/>
      <w:sz w:val="12"/>
    </w:rPr>
  </w:style>
  <w:style w:type="paragraph" w:styleId="BalloonText">
    <w:name w:val="Balloon Text"/>
    <w:basedOn w:val="Normal"/>
    <w:link w:val="BalloonTextChar"/>
    <w:uiPriority w:val="99"/>
    <w:semiHidden/>
    <w:rsid w:val="00734D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4D7A"/>
    <w:rPr>
      <w:rFonts w:ascii="Tahoma" w:hAnsi="Tahoma" w:cs="Tahoma"/>
      <w:sz w:val="16"/>
      <w:szCs w:val="16"/>
      <w:lang w:eastAsia="en-US"/>
    </w:rPr>
  </w:style>
  <w:style w:type="character" w:styleId="Hyperlink">
    <w:name w:val="Hyperlink"/>
    <w:basedOn w:val="DefaultParagraphFont"/>
    <w:uiPriority w:val="99"/>
    <w:rsid w:val="00734D7A"/>
    <w:rPr>
      <w:rFonts w:cs="Times New Roman"/>
      <w:color w:val="0000FF"/>
      <w:u w:val="single"/>
    </w:rPr>
  </w:style>
  <w:style w:type="paragraph" w:styleId="NormalWeb">
    <w:name w:val="Normal (Web)"/>
    <w:basedOn w:val="Normal"/>
    <w:uiPriority w:val="99"/>
    <w:unhideWhenUsed/>
    <w:rsid w:val="00734D7A"/>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locked/>
    <w:rsid w:val="00734D7A"/>
    <w:rPr>
      <w:b/>
      <w:bCs/>
    </w:rPr>
  </w:style>
  <w:style w:type="paragraph" w:styleId="BodyText3">
    <w:name w:val="Body Text 3"/>
    <w:basedOn w:val="Normal"/>
    <w:link w:val="BodyText3Char"/>
    <w:uiPriority w:val="99"/>
    <w:unhideWhenUsed/>
    <w:rsid w:val="00734D7A"/>
    <w:pPr>
      <w:spacing w:after="120"/>
    </w:pPr>
    <w:rPr>
      <w:sz w:val="16"/>
      <w:szCs w:val="16"/>
    </w:rPr>
  </w:style>
  <w:style w:type="character" w:customStyle="1" w:styleId="BodyText3Char">
    <w:name w:val="Body Text 3 Char"/>
    <w:basedOn w:val="DefaultParagraphFont"/>
    <w:link w:val="BodyText3"/>
    <w:uiPriority w:val="99"/>
    <w:rsid w:val="00734D7A"/>
    <w:rPr>
      <w:rFonts w:ascii="Georgia" w:hAnsi="Georgia"/>
      <w:sz w:val="16"/>
      <w:szCs w:val="16"/>
      <w:lang w:val="en-GB"/>
    </w:rPr>
  </w:style>
  <w:style w:type="paragraph" w:customStyle="1" w:styleId="ReleaseBodyText">
    <w:name w:val="Release Body Text"/>
    <w:rsid w:val="002D01FB"/>
    <w:rPr>
      <w:rFonts w:ascii="Arial" w:eastAsia="Times New Roman" w:hAnsi="Arial" w:cs="Arial"/>
      <w:sz w:val="20"/>
      <w:szCs w:val="20"/>
      <w:lang w:val="en-GB"/>
    </w:rPr>
  </w:style>
  <w:style w:type="paragraph" w:styleId="ListParagraph">
    <w:name w:val="List Paragraph"/>
    <w:basedOn w:val="Normal"/>
    <w:uiPriority w:val="34"/>
    <w:unhideWhenUsed/>
    <w:qFormat/>
    <w:rsid w:val="00D669A2"/>
    <w:pPr>
      <w:spacing w:after="240"/>
      <w:ind w:left="720"/>
      <w:contextualSpacing/>
    </w:pPr>
    <w:rPr>
      <w:rFonts w:ascii="Calibri" w:eastAsia="Times New Roman" w:hAnsi="Calibri"/>
      <w:color w:val="000000"/>
      <w:sz w:val="21"/>
      <w:szCs w:val="21"/>
      <w:lang w:eastAsia="zh-CN"/>
    </w:rPr>
  </w:style>
  <w:style w:type="paragraph" w:styleId="Revision">
    <w:name w:val="Revision"/>
    <w:hidden/>
    <w:uiPriority w:val="99"/>
    <w:semiHidden/>
    <w:rsid w:val="00392A33"/>
    <w:rPr>
      <w:rFonts w:ascii="Georgia" w:hAnsi="Georgia"/>
      <w:sz w:val="20"/>
      <w:lang w:val="en-GB"/>
    </w:rPr>
  </w:style>
  <w:style w:type="character" w:styleId="FollowedHyperlink">
    <w:name w:val="FollowedHyperlink"/>
    <w:basedOn w:val="DefaultParagraphFont"/>
    <w:uiPriority w:val="99"/>
    <w:semiHidden/>
    <w:unhideWhenUsed/>
    <w:rsid w:val="003E6603"/>
    <w:rPr>
      <w:color w:val="800080" w:themeColor="followedHyperlink"/>
      <w:u w:val="single"/>
    </w:rPr>
  </w:style>
  <w:style w:type="table" w:styleId="TableGrid">
    <w:name w:val="Table Grid"/>
    <w:basedOn w:val="TableNormal"/>
    <w:locked/>
    <w:rsid w:val="00644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362D"/>
    <w:rPr>
      <w:sz w:val="16"/>
      <w:szCs w:val="16"/>
    </w:rPr>
  </w:style>
  <w:style w:type="paragraph" w:styleId="CommentText">
    <w:name w:val="annotation text"/>
    <w:basedOn w:val="Normal"/>
    <w:link w:val="CommentTextChar"/>
    <w:uiPriority w:val="99"/>
    <w:unhideWhenUsed/>
    <w:rsid w:val="00A1362D"/>
    <w:pPr>
      <w:spacing w:line="240" w:lineRule="auto"/>
    </w:pPr>
    <w:rPr>
      <w:szCs w:val="20"/>
    </w:rPr>
  </w:style>
  <w:style w:type="character" w:customStyle="1" w:styleId="CommentTextChar">
    <w:name w:val="Comment Text Char"/>
    <w:basedOn w:val="DefaultParagraphFont"/>
    <w:link w:val="CommentText"/>
    <w:uiPriority w:val="99"/>
    <w:rsid w:val="00A1362D"/>
    <w:rPr>
      <w:rFonts w:ascii="Georgia" w:hAnsi="Georgia"/>
      <w:sz w:val="20"/>
      <w:szCs w:val="20"/>
      <w:lang w:val="en-GB"/>
    </w:rPr>
  </w:style>
  <w:style w:type="paragraph" w:styleId="CommentSubject">
    <w:name w:val="annotation subject"/>
    <w:basedOn w:val="CommentText"/>
    <w:next w:val="CommentText"/>
    <w:link w:val="CommentSubjectChar"/>
    <w:uiPriority w:val="99"/>
    <w:semiHidden/>
    <w:unhideWhenUsed/>
    <w:rsid w:val="00A1362D"/>
    <w:rPr>
      <w:b/>
      <w:bCs/>
    </w:rPr>
  </w:style>
  <w:style w:type="character" w:customStyle="1" w:styleId="CommentSubjectChar">
    <w:name w:val="Comment Subject Char"/>
    <w:basedOn w:val="CommentTextChar"/>
    <w:link w:val="CommentSubject"/>
    <w:uiPriority w:val="99"/>
    <w:semiHidden/>
    <w:rsid w:val="00A1362D"/>
    <w:rPr>
      <w:rFonts w:ascii="Georgia" w:hAnsi="Georgia"/>
      <w:b/>
      <w:bCs/>
      <w:sz w:val="20"/>
      <w:szCs w:val="20"/>
      <w:lang w:val="en-GB"/>
    </w:rPr>
  </w:style>
  <w:style w:type="character" w:customStyle="1" w:styleId="m5756426008317594898gmail-il">
    <w:name w:val="m_5756426008317594898gmail-il"/>
    <w:basedOn w:val="DefaultParagraphFont"/>
    <w:rsid w:val="00FA6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36518">
      <w:bodyDiv w:val="1"/>
      <w:marLeft w:val="0"/>
      <w:marRight w:val="0"/>
      <w:marTop w:val="0"/>
      <w:marBottom w:val="0"/>
      <w:divBdr>
        <w:top w:val="none" w:sz="0" w:space="0" w:color="auto"/>
        <w:left w:val="none" w:sz="0" w:space="0" w:color="auto"/>
        <w:bottom w:val="none" w:sz="0" w:space="0" w:color="auto"/>
        <w:right w:val="none" w:sz="0" w:space="0" w:color="auto"/>
      </w:divBdr>
    </w:div>
    <w:div w:id="407115982">
      <w:bodyDiv w:val="1"/>
      <w:marLeft w:val="0"/>
      <w:marRight w:val="0"/>
      <w:marTop w:val="0"/>
      <w:marBottom w:val="0"/>
      <w:divBdr>
        <w:top w:val="none" w:sz="0" w:space="0" w:color="auto"/>
        <w:left w:val="none" w:sz="0" w:space="0" w:color="auto"/>
        <w:bottom w:val="none" w:sz="0" w:space="0" w:color="auto"/>
        <w:right w:val="none" w:sz="0" w:space="0" w:color="auto"/>
      </w:divBdr>
      <w:divsChild>
        <w:div w:id="506099054">
          <w:marLeft w:val="0"/>
          <w:marRight w:val="0"/>
          <w:marTop w:val="0"/>
          <w:marBottom w:val="0"/>
          <w:divBdr>
            <w:top w:val="none" w:sz="0" w:space="0" w:color="auto"/>
            <w:left w:val="none" w:sz="0" w:space="0" w:color="auto"/>
            <w:bottom w:val="none" w:sz="0" w:space="0" w:color="auto"/>
            <w:right w:val="none" w:sz="0" w:space="0" w:color="auto"/>
          </w:divBdr>
        </w:div>
      </w:divsChild>
    </w:div>
    <w:div w:id="1012495308">
      <w:bodyDiv w:val="1"/>
      <w:marLeft w:val="0"/>
      <w:marRight w:val="0"/>
      <w:marTop w:val="0"/>
      <w:marBottom w:val="0"/>
      <w:divBdr>
        <w:top w:val="none" w:sz="0" w:space="0" w:color="auto"/>
        <w:left w:val="none" w:sz="0" w:space="0" w:color="auto"/>
        <w:bottom w:val="none" w:sz="0" w:space="0" w:color="auto"/>
        <w:right w:val="none" w:sz="0" w:space="0" w:color="auto"/>
      </w:divBdr>
      <w:divsChild>
        <w:div w:id="1619608085">
          <w:marLeft w:val="0"/>
          <w:marRight w:val="0"/>
          <w:marTop w:val="0"/>
          <w:marBottom w:val="0"/>
          <w:divBdr>
            <w:top w:val="none" w:sz="0" w:space="0" w:color="auto"/>
            <w:left w:val="none" w:sz="0" w:space="0" w:color="auto"/>
            <w:bottom w:val="none" w:sz="0" w:space="0" w:color="auto"/>
            <w:right w:val="none" w:sz="0" w:space="0" w:color="auto"/>
          </w:divBdr>
        </w:div>
      </w:divsChild>
    </w:div>
    <w:div w:id="1047872593">
      <w:bodyDiv w:val="1"/>
      <w:marLeft w:val="0"/>
      <w:marRight w:val="0"/>
      <w:marTop w:val="0"/>
      <w:marBottom w:val="0"/>
      <w:divBdr>
        <w:top w:val="none" w:sz="0" w:space="0" w:color="auto"/>
        <w:left w:val="none" w:sz="0" w:space="0" w:color="auto"/>
        <w:bottom w:val="none" w:sz="0" w:space="0" w:color="auto"/>
        <w:right w:val="none" w:sz="0" w:space="0" w:color="auto"/>
      </w:divBdr>
      <w:divsChild>
        <w:div w:id="946161320">
          <w:marLeft w:val="288"/>
          <w:marRight w:val="0"/>
          <w:marTop w:val="0"/>
          <w:marBottom w:val="180"/>
          <w:divBdr>
            <w:top w:val="none" w:sz="0" w:space="0" w:color="auto"/>
            <w:left w:val="none" w:sz="0" w:space="0" w:color="auto"/>
            <w:bottom w:val="none" w:sz="0" w:space="0" w:color="auto"/>
            <w:right w:val="none" w:sz="0" w:space="0" w:color="auto"/>
          </w:divBdr>
        </w:div>
      </w:divsChild>
    </w:div>
    <w:div w:id="1076122726">
      <w:bodyDiv w:val="1"/>
      <w:marLeft w:val="0"/>
      <w:marRight w:val="0"/>
      <w:marTop w:val="0"/>
      <w:marBottom w:val="0"/>
      <w:divBdr>
        <w:top w:val="none" w:sz="0" w:space="0" w:color="auto"/>
        <w:left w:val="none" w:sz="0" w:space="0" w:color="auto"/>
        <w:bottom w:val="none" w:sz="0" w:space="0" w:color="auto"/>
        <w:right w:val="none" w:sz="0" w:space="0" w:color="auto"/>
      </w:divBdr>
    </w:div>
    <w:div w:id="1134642684">
      <w:bodyDiv w:val="1"/>
      <w:marLeft w:val="0"/>
      <w:marRight w:val="0"/>
      <w:marTop w:val="0"/>
      <w:marBottom w:val="0"/>
      <w:divBdr>
        <w:top w:val="none" w:sz="0" w:space="0" w:color="auto"/>
        <w:left w:val="none" w:sz="0" w:space="0" w:color="auto"/>
        <w:bottom w:val="none" w:sz="0" w:space="0" w:color="auto"/>
        <w:right w:val="none" w:sz="0" w:space="0" w:color="auto"/>
      </w:divBdr>
      <w:divsChild>
        <w:div w:id="918906025">
          <w:marLeft w:val="0"/>
          <w:marRight w:val="0"/>
          <w:marTop w:val="0"/>
          <w:marBottom w:val="0"/>
          <w:divBdr>
            <w:top w:val="none" w:sz="0" w:space="0" w:color="auto"/>
            <w:left w:val="none" w:sz="0" w:space="0" w:color="auto"/>
            <w:bottom w:val="none" w:sz="0" w:space="0" w:color="auto"/>
            <w:right w:val="none" w:sz="0" w:space="0" w:color="auto"/>
          </w:divBdr>
          <w:divsChild>
            <w:div w:id="1830974493">
              <w:marLeft w:val="0"/>
              <w:marRight w:val="0"/>
              <w:marTop w:val="0"/>
              <w:marBottom w:val="0"/>
              <w:divBdr>
                <w:top w:val="none" w:sz="0" w:space="0" w:color="auto"/>
                <w:left w:val="none" w:sz="0" w:space="0" w:color="auto"/>
                <w:bottom w:val="none" w:sz="0" w:space="0" w:color="auto"/>
                <w:right w:val="none" w:sz="0" w:space="0" w:color="auto"/>
              </w:divBdr>
              <w:divsChild>
                <w:div w:id="102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19836">
      <w:bodyDiv w:val="1"/>
      <w:marLeft w:val="0"/>
      <w:marRight w:val="0"/>
      <w:marTop w:val="0"/>
      <w:marBottom w:val="0"/>
      <w:divBdr>
        <w:top w:val="none" w:sz="0" w:space="0" w:color="auto"/>
        <w:left w:val="none" w:sz="0" w:space="0" w:color="auto"/>
        <w:bottom w:val="none" w:sz="0" w:space="0" w:color="auto"/>
        <w:right w:val="none" w:sz="0" w:space="0" w:color="auto"/>
      </w:divBdr>
    </w:div>
    <w:div w:id="1432430809">
      <w:bodyDiv w:val="1"/>
      <w:marLeft w:val="0"/>
      <w:marRight w:val="0"/>
      <w:marTop w:val="0"/>
      <w:marBottom w:val="0"/>
      <w:divBdr>
        <w:top w:val="none" w:sz="0" w:space="0" w:color="auto"/>
        <w:left w:val="none" w:sz="0" w:space="0" w:color="auto"/>
        <w:bottom w:val="none" w:sz="0" w:space="0" w:color="auto"/>
        <w:right w:val="none" w:sz="0" w:space="0" w:color="auto"/>
      </w:divBdr>
    </w:div>
    <w:div w:id="1611014536">
      <w:bodyDiv w:val="1"/>
      <w:marLeft w:val="0"/>
      <w:marRight w:val="0"/>
      <w:marTop w:val="0"/>
      <w:marBottom w:val="0"/>
      <w:divBdr>
        <w:top w:val="none" w:sz="0" w:space="0" w:color="auto"/>
        <w:left w:val="none" w:sz="0" w:space="0" w:color="auto"/>
        <w:bottom w:val="none" w:sz="0" w:space="0" w:color="auto"/>
        <w:right w:val="none" w:sz="0" w:space="0" w:color="auto"/>
      </w:divBdr>
    </w:div>
    <w:div w:id="1803301230">
      <w:bodyDiv w:val="1"/>
      <w:marLeft w:val="0"/>
      <w:marRight w:val="0"/>
      <w:marTop w:val="0"/>
      <w:marBottom w:val="0"/>
      <w:divBdr>
        <w:top w:val="none" w:sz="0" w:space="0" w:color="auto"/>
        <w:left w:val="none" w:sz="0" w:space="0" w:color="auto"/>
        <w:bottom w:val="none" w:sz="0" w:space="0" w:color="auto"/>
        <w:right w:val="none" w:sz="0" w:space="0" w:color="auto"/>
      </w:divBdr>
      <w:divsChild>
        <w:div w:id="863442753">
          <w:marLeft w:val="0"/>
          <w:marRight w:val="0"/>
          <w:marTop w:val="0"/>
          <w:marBottom w:val="0"/>
          <w:divBdr>
            <w:top w:val="none" w:sz="0" w:space="0" w:color="auto"/>
            <w:left w:val="none" w:sz="0" w:space="0" w:color="auto"/>
            <w:bottom w:val="none" w:sz="0" w:space="0" w:color="auto"/>
            <w:right w:val="none" w:sz="0" w:space="0" w:color="auto"/>
          </w:divBdr>
        </w:div>
        <w:div w:id="575284180">
          <w:marLeft w:val="0"/>
          <w:marRight w:val="0"/>
          <w:marTop w:val="0"/>
          <w:marBottom w:val="0"/>
          <w:divBdr>
            <w:top w:val="none" w:sz="0" w:space="0" w:color="auto"/>
            <w:left w:val="none" w:sz="0" w:space="0" w:color="auto"/>
            <w:bottom w:val="none" w:sz="0" w:space="0" w:color="auto"/>
            <w:right w:val="none" w:sz="0" w:space="0" w:color="auto"/>
          </w:divBdr>
        </w:div>
        <w:div w:id="316157754">
          <w:marLeft w:val="0"/>
          <w:marRight w:val="0"/>
          <w:marTop w:val="0"/>
          <w:marBottom w:val="0"/>
          <w:divBdr>
            <w:top w:val="none" w:sz="0" w:space="0" w:color="auto"/>
            <w:left w:val="none" w:sz="0" w:space="0" w:color="auto"/>
            <w:bottom w:val="none" w:sz="0" w:space="0" w:color="auto"/>
            <w:right w:val="none" w:sz="0" w:space="0" w:color="auto"/>
          </w:divBdr>
        </w:div>
      </w:divsChild>
    </w:div>
    <w:div w:id="194861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egy-business.com/article/A-Strategists-Guide-to-Artificial-Intelligence?gko=0abb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wc.co.uk/services/audit-assurance/insights/responsible-ai-how-to-build-trust-and-confidence.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5ABA-DB55-4D2A-99F4-D25B1DE6F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3</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 Hollingdale</dc:creator>
  <cp:lastModifiedBy>Rowena J Mearley</cp:lastModifiedBy>
  <cp:revision>2</cp:revision>
  <cp:lastPrinted>2017-06-25T16:00:00Z</cp:lastPrinted>
  <dcterms:created xsi:type="dcterms:W3CDTF">2017-06-25T17:31:00Z</dcterms:created>
  <dcterms:modified xsi:type="dcterms:W3CDTF">2017-06-25T17:31:00Z</dcterms:modified>
</cp:coreProperties>
</file>