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826" w:rsidRPr="003C1D19" w:rsidRDefault="00F00A04" w:rsidP="00934826">
      <w:pPr>
        <w:pStyle w:val="Title"/>
        <w:spacing w:after="0"/>
        <w:rPr>
          <w:rFonts w:ascii="Georgia" w:hAnsi="Georgia"/>
          <w:sz w:val="20"/>
          <w:szCs w:val="20"/>
        </w:rPr>
      </w:pPr>
      <w:r w:rsidRPr="003C1D19">
        <w:rPr>
          <w:rFonts w:ascii="Georgia" w:hAnsi="Georgia"/>
          <w:sz w:val="20"/>
          <w:szCs w:val="20"/>
        </w:rPr>
        <w:br/>
      </w:r>
      <w:r w:rsidR="00934826" w:rsidRPr="003C1D19">
        <w:rPr>
          <w:rFonts w:ascii="Georgia" w:hAnsi="Georgia"/>
          <w:sz w:val="20"/>
          <w:szCs w:val="20"/>
        </w:rPr>
        <w:t>News release</w:t>
      </w:r>
    </w:p>
    <w:p w:rsidR="00934826" w:rsidRPr="003C1D19" w:rsidRDefault="00934826" w:rsidP="00934826">
      <w:pPr>
        <w:rPr>
          <w:szCs w:val="20"/>
        </w:rPr>
      </w:pPr>
    </w:p>
    <w:tbl>
      <w:tblPr>
        <w:tblW w:w="14252" w:type="dxa"/>
        <w:tblLayout w:type="fixed"/>
        <w:tblLook w:val="0000" w:firstRow="0" w:lastRow="0" w:firstColumn="0" w:lastColumn="0" w:noHBand="0" w:noVBand="0"/>
      </w:tblPr>
      <w:tblGrid>
        <w:gridCol w:w="2268"/>
        <w:gridCol w:w="6102"/>
        <w:gridCol w:w="5882"/>
      </w:tblGrid>
      <w:tr w:rsidR="00934826" w:rsidRPr="003C1D19" w:rsidTr="00F00A04">
        <w:trPr>
          <w:gridAfter w:val="1"/>
          <w:wAfter w:w="5882" w:type="dxa"/>
        </w:trPr>
        <w:tc>
          <w:tcPr>
            <w:tcW w:w="2268" w:type="dxa"/>
          </w:tcPr>
          <w:p w:rsidR="00934826" w:rsidRPr="003C1D19" w:rsidRDefault="00934826" w:rsidP="00F00A04">
            <w:pPr>
              <w:spacing w:line="240" w:lineRule="auto"/>
              <w:ind w:left="-108"/>
              <w:rPr>
                <w:i/>
                <w:szCs w:val="20"/>
              </w:rPr>
            </w:pPr>
            <w:r w:rsidRPr="003C1D19">
              <w:rPr>
                <w:i/>
                <w:szCs w:val="20"/>
              </w:rPr>
              <w:t>Date</w:t>
            </w:r>
          </w:p>
        </w:tc>
        <w:tc>
          <w:tcPr>
            <w:tcW w:w="6102" w:type="dxa"/>
          </w:tcPr>
          <w:p w:rsidR="00934826" w:rsidRPr="003C1D19" w:rsidRDefault="00AF6ED7" w:rsidP="001E2DAC">
            <w:pPr>
              <w:spacing w:line="240" w:lineRule="auto"/>
              <w:rPr>
                <w:b/>
                <w:szCs w:val="20"/>
              </w:rPr>
            </w:pPr>
            <w:r>
              <w:rPr>
                <w:b/>
                <w:szCs w:val="20"/>
              </w:rPr>
              <w:t xml:space="preserve">Embargoed until: 00.01, </w:t>
            </w:r>
            <w:r w:rsidR="006B0290" w:rsidRPr="003C1D19">
              <w:rPr>
                <w:b/>
                <w:szCs w:val="20"/>
              </w:rPr>
              <w:t>20</w:t>
            </w:r>
            <w:r w:rsidR="00671EC4" w:rsidRPr="003C1D19">
              <w:rPr>
                <w:b/>
                <w:szCs w:val="20"/>
              </w:rPr>
              <w:t xml:space="preserve"> Feb</w:t>
            </w:r>
            <w:r w:rsidR="00853BC3" w:rsidRPr="003C1D19">
              <w:rPr>
                <w:b/>
                <w:szCs w:val="20"/>
              </w:rPr>
              <w:t>ruary</w:t>
            </w:r>
            <w:r w:rsidR="00671EC4" w:rsidRPr="003C1D19">
              <w:rPr>
                <w:b/>
                <w:szCs w:val="20"/>
              </w:rPr>
              <w:t xml:space="preserve"> 2017</w:t>
            </w:r>
          </w:p>
        </w:tc>
      </w:tr>
      <w:tr w:rsidR="00934826" w:rsidRPr="003C1D19" w:rsidTr="00F00A04">
        <w:tc>
          <w:tcPr>
            <w:tcW w:w="2268" w:type="dxa"/>
          </w:tcPr>
          <w:p w:rsidR="00934826" w:rsidRPr="003C1D19" w:rsidRDefault="00934826" w:rsidP="000354F3">
            <w:pPr>
              <w:spacing w:line="240" w:lineRule="auto"/>
              <w:rPr>
                <w:i/>
                <w:szCs w:val="20"/>
              </w:rPr>
            </w:pPr>
          </w:p>
        </w:tc>
        <w:tc>
          <w:tcPr>
            <w:tcW w:w="6102" w:type="dxa"/>
          </w:tcPr>
          <w:p w:rsidR="00934826" w:rsidRPr="003C1D19" w:rsidRDefault="00934826" w:rsidP="000354F3">
            <w:pPr>
              <w:rPr>
                <w:b/>
                <w:color w:val="000000" w:themeColor="text1"/>
                <w:szCs w:val="20"/>
              </w:rPr>
            </w:pPr>
          </w:p>
        </w:tc>
        <w:tc>
          <w:tcPr>
            <w:tcW w:w="5882" w:type="dxa"/>
          </w:tcPr>
          <w:p w:rsidR="00934826" w:rsidRPr="003C1D19" w:rsidRDefault="00934826" w:rsidP="000354F3">
            <w:pPr>
              <w:spacing w:line="240" w:lineRule="auto"/>
              <w:rPr>
                <w:szCs w:val="20"/>
              </w:rPr>
            </w:pPr>
          </w:p>
        </w:tc>
      </w:tr>
    </w:tbl>
    <w:tbl>
      <w:tblPr>
        <w:tblpPr w:leftFromText="180" w:rightFromText="180" w:vertAnchor="text" w:tblpY="1"/>
        <w:tblOverlap w:val="never"/>
        <w:tblW w:w="0" w:type="auto"/>
        <w:tblLayout w:type="fixed"/>
        <w:tblLook w:val="0000" w:firstRow="0" w:lastRow="0" w:firstColumn="0" w:lastColumn="0" w:noHBand="0" w:noVBand="0"/>
      </w:tblPr>
      <w:tblGrid>
        <w:gridCol w:w="2268"/>
        <w:gridCol w:w="5882"/>
      </w:tblGrid>
      <w:tr w:rsidR="00934826" w:rsidRPr="003C1D19" w:rsidTr="000354F3">
        <w:trPr>
          <w:trHeight w:val="821"/>
        </w:trPr>
        <w:tc>
          <w:tcPr>
            <w:tcW w:w="2268" w:type="dxa"/>
            <w:shd w:val="clear" w:color="auto" w:fill="auto"/>
          </w:tcPr>
          <w:p w:rsidR="00934826" w:rsidRPr="003C1D19" w:rsidRDefault="00934826" w:rsidP="00F00A04">
            <w:pPr>
              <w:ind w:left="-108"/>
              <w:rPr>
                <w:i/>
                <w:szCs w:val="20"/>
              </w:rPr>
            </w:pPr>
            <w:r w:rsidRPr="003C1D19">
              <w:rPr>
                <w:i/>
                <w:szCs w:val="20"/>
              </w:rPr>
              <w:t>Contact</w:t>
            </w:r>
          </w:p>
        </w:tc>
        <w:tc>
          <w:tcPr>
            <w:tcW w:w="5882" w:type="dxa"/>
            <w:shd w:val="clear" w:color="auto" w:fill="auto"/>
          </w:tcPr>
          <w:tbl>
            <w:tblPr>
              <w:tblpPr w:leftFromText="180" w:rightFromText="180" w:vertAnchor="text" w:tblpY="1"/>
              <w:tblOverlap w:val="never"/>
              <w:tblW w:w="10440" w:type="dxa"/>
              <w:tblLayout w:type="fixed"/>
              <w:tblLook w:val="0000" w:firstRow="0" w:lastRow="0" w:firstColumn="0" w:lastColumn="0" w:noHBand="0" w:noVBand="0"/>
            </w:tblPr>
            <w:tblGrid>
              <w:gridCol w:w="5220"/>
              <w:gridCol w:w="5220"/>
            </w:tblGrid>
            <w:tr w:rsidR="00F00A04" w:rsidRPr="003C1D19" w:rsidTr="00F00A04">
              <w:tc>
                <w:tcPr>
                  <w:tcW w:w="5220" w:type="dxa"/>
                </w:tcPr>
                <w:p w:rsidR="00F00A04" w:rsidRPr="003C1D19" w:rsidRDefault="00FD6C7F" w:rsidP="00F00A04">
                  <w:pPr>
                    <w:tabs>
                      <w:tab w:val="left" w:pos="1440"/>
                    </w:tabs>
                    <w:ind w:left="1440" w:hanging="1440"/>
                    <w:rPr>
                      <w:rFonts w:cs="Arial"/>
                      <w:bCs/>
                      <w:color w:val="000000"/>
                      <w:szCs w:val="20"/>
                      <w:lang w:val="it-IT"/>
                    </w:rPr>
                  </w:pPr>
                  <w:r w:rsidRPr="003C1D19">
                    <w:rPr>
                      <w:rFonts w:cs="Arial"/>
                      <w:bCs/>
                      <w:color w:val="000000"/>
                      <w:szCs w:val="20"/>
                      <w:lang w:val="it-IT"/>
                    </w:rPr>
                    <w:t>Rowena Mearley</w:t>
                  </w:r>
                  <w:r w:rsidR="0039030D" w:rsidRPr="003C1D19">
                    <w:rPr>
                      <w:rFonts w:cs="Arial"/>
                      <w:bCs/>
                      <w:color w:val="000000"/>
                      <w:szCs w:val="20"/>
                      <w:lang w:val="it-IT"/>
                    </w:rPr>
                    <w:t xml:space="preserve">, Global </w:t>
                  </w:r>
                  <w:r w:rsidR="00F00A04" w:rsidRPr="003C1D19">
                    <w:rPr>
                      <w:rFonts w:cs="Arial"/>
                      <w:bCs/>
                      <w:color w:val="000000"/>
                      <w:szCs w:val="20"/>
                      <w:lang w:val="it-IT"/>
                    </w:rPr>
                    <w:t xml:space="preserve">Media Relations, </w:t>
                  </w:r>
                  <w:r w:rsidR="0039030D" w:rsidRPr="003C1D19">
                    <w:rPr>
                      <w:rFonts w:cs="Arial"/>
                      <w:bCs/>
                      <w:color w:val="000000"/>
                      <w:szCs w:val="20"/>
                      <w:lang w:val="it-IT"/>
                    </w:rPr>
                    <w:t>PwC</w:t>
                  </w:r>
                </w:p>
                <w:p w:rsidR="00F00A04" w:rsidRPr="003C1D19" w:rsidRDefault="00F00A04" w:rsidP="00F00A04">
                  <w:pPr>
                    <w:tabs>
                      <w:tab w:val="left" w:pos="1440"/>
                    </w:tabs>
                    <w:ind w:left="1440" w:hanging="1440"/>
                    <w:rPr>
                      <w:rFonts w:cs="Arial"/>
                      <w:bCs/>
                      <w:color w:val="000000"/>
                      <w:szCs w:val="20"/>
                      <w:lang w:val="it-IT"/>
                    </w:rPr>
                  </w:pPr>
                  <w:r w:rsidRPr="003C1D19">
                    <w:rPr>
                      <w:rFonts w:cs="Arial"/>
                      <w:bCs/>
                      <w:color w:val="000000"/>
                      <w:szCs w:val="20"/>
                      <w:lang w:val="it-IT"/>
                    </w:rPr>
                    <w:t xml:space="preserve">Tel: </w:t>
                  </w:r>
                  <w:r w:rsidR="00FD6C7F" w:rsidRPr="003C1D19">
                    <w:rPr>
                      <w:rFonts w:cs="Arial"/>
                      <w:bCs/>
                      <w:color w:val="000000"/>
                      <w:szCs w:val="20"/>
                      <w:lang w:val="it-IT"/>
                    </w:rPr>
                    <w:t>+ 1 347 501 0931</w:t>
                  </w:r>
                </w:p>
                <w:p w:rsidR="00F00A04" w:rsidRPr="003C1D19" w:rsidRDefault="00F00A04" w:rsidP="00F00A04">
                  <w:pPr>
                    <w:tabs>
                      <w:tab w:val="left" w:pos="1440"/>
                    </w:tabs>
                    <w:ind w:left="1440" w:hanging="1440"/>
                    <w:rPr>
                      <w:rFonts w:cs="Arial"/>
                      <w:bCs/>
                      <w:color w:val="000000"/>
                      <w:szCs w:val="20"/>
                      <w:lang w:val="it-IT"/>
                    </w:rPr>
                  </w:pPr>
                  <w:r w:rsidRPr="003C1D19">
                    <w:rPr>
                      <w:rFonts w:cs="Arial"/>
                      <w:bCs/>
                      <w:color w:val="000000"/>
                      <w:szCs w:val="20"/>
                      <w:lang w:val="it-IT"/>
                    </w:rPr>
                    <w:t xml:space="preserve">e-mail: </w:t>
                  </w:r>
                  <w:r w:rsidR="00FD6C7F" w:rsidRPr="003C1D19">
                    <w:rPr>
                      <w:rFonts w:cs="Arial"/>
                      <w:bCs/>
                      <w:color w:val="000000"/>
                      <w:szCs w:val="20"/>
                      <w:lang w:val="it-IT"/>
                    </w:rPr>
                    <w:t>rowena.j.mearley@pwc.com</w:t>
                  </w:r>
                </w:p>
                <w:p w:rsidR="00F00A04" w:rsidRPr="003C1D19" w:rsidRDefault="00F00A04" w:rsidP="00F00A04">
                  <w:pPr>
                    <w:pStyle w:val="Header"/>
                    <w:tabs>
                      <w:tab w:val="left" w:pos="1440"/>
                    </w:tabs>
                    <w:rPr>
                      <w:szCs w:val="20"/>
                      <w:lang w:val="it-IT"/>
                    </w:rPr>
                  </w:pPr>
                </w:p>
              </w:tc>
              <w:tc>
                <w:tcPr>
                  <w:tcW w:w="5220" w:type="dxa"/>
                  <w:shd w:val="clear" w:color="auto" w:fill="auto"/>
                </w:tcPr>
                <w:p w:rsidR="00F00A04" w:rsidRPr="003C1D19" w:rsidRDefault="00F00A04" w:rsidP="00F00A04">
                  <w:pPr>
                    <w:rPr>
                      <w:i/>
                      <w:szCs w:val="20"/>
                    </w:rPr>
                  </w:pPr>
                </w:p>
              </w:tc>
            </w:tr>
          </w:tbl>
          <w:p w:rsidR="00934826" w:rsidRPr="003C1D19" w:rsidRDefault="00934826" w:rsidP="000354F3">
            <w:pPr>
              <w:rPr>
                <w:szCs w:val="20"/>
                <w:lang w:val="pt-PT"/>
              </w:rPr>
            </w:pPr>
          </w:p>
        </w:tc>
      </w:tr>
      <w:tr w:rsidR="00934826" w:rsidRPr="003C1D19" w:rsidTr="000354F3">
        <w:trPr>
          <w:trHeight w:val="255"/>
        </w:trPr>
        <w:tc>
          <w:tcPr>
            <w:tcW w:w="2268" w:type="dxa"/>
            <w:shd w:val="clear" w:color="auto" w:fill="auto"/>
          </w:tcPr>
          <w:p w:rsidR="00934826" w:rsidRPr="003C1D19" w:rsidRDefault="00934826" w:rsidP="00F00A04">
            <w:pPr>
              <w:ind w:left="-108"/>
              <w:rPr>
                <w:i/>
                <w:szCs w:val="20"/>
              </w:rPr>
            </w:pPr>
            <w:r w:rsidRPr="003C1D19">
              <w:rPr>
                <w:i/>
                <w:szCs w:val="20"/>
              </w:rPr>
              <w:t xml:space="preserve">Pages </w:t>
            </w:r>
          </w:p>
        </w:tc>
        <w:tc>
          <w:tcPr>
            <w:tcW w:w="5882" w:type="dxa"/>
            <w:shd w:val="clear" w:color="auto" w:fill="auto"/>
          </w:tcPr>
          <w:p w:rsidR="00FD6C7F" w:rsidRPr="003C1D19" w:rsidRDefault="00FD6C7F" w:rsidP="00FD6C7F">
            <w:pPr>
              <w:rPr>
                <w:color w:val="000000" w:themeColor="text1"/>
                <w:szCs w:val="20"/>
              </w:rPr>
            </w:pPr>
            <w:r w:rsidRPr="003C1D19">
              <w:rPr>
                <w:color w:val="000000" w:themeColor="text1"/>
                <w:szCs w:val="20"/>
              </w:rPr>
              <w:t xml:space="preserve">More details: </w:t>
            </w:r>
            <w:r w:rsidRPr="003C1D19">
              <w:rPr>
                <w:szCs w:val="20"/>
              </w:rPr>
              <w:t>http://press.pwc.com/</w:t>
            </w:r>
          </w:p>
          <w:p w:rsidR="00FD6C7F" w:rsidRPr="003C1D19" w:rsidRDefault="00FD6C7F" w:rsidP="00FD6C7F">
            <w:pPr>
              <w:ind w:right="-90"/>
              <w:rPr>
                <w:color w:val="000000" w:themeColor="text1"/>
                <w:szCs w:val="20"/>
              </w:rPr>
            </w:pPr>
            <w:r w:rsidRPr="003C1D19">
              <w:rPr>
                <w:noProof/>
                <w:szCs w:val="20"/>
                <w:lang w:eastAsia="en-GB"/>
              </w:rPr>
              <mc:AlternateContent>
                <mc:Choice Requires="wps">
                  <w:drawing>
                    <wp:anchor distT="4294967293" distB="4294967293" distL="114300" distR="114300" simplePos="0" relativeHeight="251659264" behindDoc="0" locked="0" layoutInCell="1" allowOverlap="1" wp14:anchorId="5B45B632" wp14:editId="1C6B8358">
                      <wp:simplePos x="0" y="0"/>
                      <wp:positionH relativeFrom="margin">
                        <wp:posOffset>-1527810</wp:posOffset>
                      </wp:positionH>
                      <wp:positionV relativeFrom="page">
                        <wp:posOffset>380228</wp:posOffset>
                      </wp:positionV>
                      <wp:extent cx="5779135" cy="0"/>
                      <wp:effectExtent l="0" t="0" r="3111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9525">
                                <a:solidFill>
                                  <a:schemeClr val="accent6">
                                    <a:lumMod val="75000"/>
                                    <a:lumOff val="0"/>
                                  </a:schemeClr>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20CDB" id="Line 3" o:spid="_x0000_s1026" style="position:absolute;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page;mso-width-percent:0;mso-height-percent:0;mso-width-relative:page;mso-height-relative:page" from="-120.3pt,29.95pt" to="334.7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" strokecolor="#a72316 [2409]">
                      <w10:wrap anchorx="margin" anchory="page"/>
                    </v:line>
                  </w:pict>
                </mc:Fallback>
              </mc:AlternateContent>
            </w:r>
            <w:r w:rsidRPr="003C1D19">
              <w:rPr>
                <w:color w:val="000000" w:themeColor="text1"/>
                <w:szCs w:val="20"/>
              </w:rPr>
              <w:t>Follow/retweet: @</w:t>
            </w:r>
            <w:proofErr w:type="spellStart"/>
            <w:r w:rsidRPr="003C1D19">
              <w:rPr>
                <w:color w:val="000000" w:themeColor="text1"/>
                <w:szCs w:val="20"/>
              </w:rPr>
              <w:t>pwc</w:t>
            </w:r>
            <w:proofErr w:type="spellEnd"/>
          </w:p>
          <w:p w:rsidR="00934826" w:rsidRPr="003C1D19" w:rsidRDefault="00934826" w:rsidP="0039030D">
            <w:pPr>
              <w:rPr>
                <w:szCs w:val="20"/>
              </w:rPr>
            </w:pPr>
          </w:p>
        </w:tc>
      </w:tr>
    </w:tbl>
    <w:p w:rsidR="002F48CE" w:rsidRPr="003C1D19" w:rsidRDefault="00934826" w:rsidP="006B0290">
      <w:pPr>
        <w:spacing w:line="240" w:lineRule="auto"/>
        <w:jc w:val="center"/>
        <w:rPr>
          <w:rFonts w:cs="Arial"/>
          <w:sz w:val="26"/>
          <w:szCs w:val="26"/>
          <w:lang w:val="en"/>
        </w:rPr>
      </w:pPr>
      <w:r w:rsidRPr="003C1D19">
        <w:rPr>
          <w:rFonts w:cs="Arial"/>
          <w:b/>
          <w:i/>
          <w:iCs/>
          <w:szCs w:val="20"/>
        </w:rPr>
        <w:br w:type="textWrapping" w:clear="all"/>
      </w:r>
    </w:p>
    <w:p w:rsidR="007D5C07" w:rsidRPr="003C1D19" w:rsidRDefault="00BA2438" w:rsidP="00CB705F">
      <w:pPr>
        <w:spacing w:line="240" w:lineRule="auto"/>
        <w:ind w:right="-90"/>
        <w:jc w:val="center"/>
        <w:rPr>
          <w:rFonts w:cs="Arial"/>
          <w:b/>
          <w:sz w:val="26"/>
          <w:szCs w:val="26"/>
          <w:lang w:val="en"/>
        </w:rPr>
      </w:pPr>
      <w:r w:rsidRPr="003C1D19">
        <w:rPr>
          <w:rFonts w:cs="Arial"/>
          <w:b/>
          <w:sz w:val="26"/>
          <w:szCs w:val="26"/>
          <w:lang w:val="en"/>
        </w:rPr>
        <w:t xml:space="preserve">Asset &amp; Wealth Management confidence high </w:t>
      </w:r>
      <w:r w:rsidR="003C1D19" w:rsidRPr="003C1D19">
        <w:rPr>
          <w:rFonts w:cs="Arial"/>
          <w:b/>
          <w:sz w:val="26"/>
          <w:szCs w:val="26"/>
          <w:lang w:val="en"/>
        </w:rPr>
        <w:t xml:space="preserve">but </w:t>
      </w:r>
      <w:r w:rsidR="009B7B61">
        <w:rPr>
          <w:rFonts w:cs="Arial"/>
          <w:b/>
          <w:sz w:val="26"/>
          <w:szCs w:val="26"/>
          <w:lang w:val="en"/>
        </w:rPr>
        <w:t xml:space="preserve">slow adoption </w:t>
      </w:r>
      <w:proofErr w:type="gramStart"/>
      <w:r w:rsidR="009B7B61">
        <w:rPr>
          <w:rFonts w:cs="Arial"/>
          <w:b/>
          <w:sz w:val="26"/>
          <w:szCs w:val="26"/>
          <w:lang w:val="en"/>
        </w:rPr>
        <w:t>of  technology</w:t>
      </w:r>
      <w:proofErr w:type="gramEnd"/>
      <w:r w:rsidR="009B7B61">
        <w:rPr>
          <w:rFonts w:cs="Arial"/>
          <w:b/>
          <w:sz w:val="26"/>
          <w:szCs w:val="26"/>
          <w:lang w:val="en"/>
        </w:rPr>
        <w:t xml:space="preserve"> change could threaten growth </w:t>
      </w:r>
      <w:bookmarkStart w:id="0" w:name="_GoBack"/>
      <w:bookmarkEnd w:id="0"/>
      <w:r w:rsidR="003C1D19" w:rsidRPr="003C1D19">
        <w:rPr>
          <w:rFonts w:cs="Arial"/>
          <w:b/>
          <w:sz w:val="26"/>
          <w:szCs w:val="26"/>
          <w:lang w:val="en"/>
        </w:rPr>
        <w:br/>
      </w:r>
    </w:p>
    <w:p w:rsidR="003C1D19" w:rsidRPr="003C1D19" w:rsidRDefault="003C1D19" w:rsidP="003C1D19">
      <w:pPr>
        <w:pStyle w:val="ListParagraph"/>
        <w:numPr>
          <w:ilvl w:val="0"/>
          <w:numId w:val="20"/>
        </w:numPr>
        <w:spacing w:line="240" w:lineRule="auto"/>
        <w:ind w:right="-90"/>
        <w:jc w:val="center"/>
        <w:rPr>
          <w:rFonts w:ascii="Georgia" w:hAnsi="Georgia" w:cs="Arial"/>
          <w:i/>
          <w:sz w:val="20"/>
          <w:szCs w:val="20"/>
          <w:lang w:val="en"/>
        </w:rPr>
      </w:pPr>
      <w:r w:rsidRPr="003C1D19">
        <w:rPr>
          <w:rFonts w:ascii="Georgia" w:hAnsi="Georgia" w:cs="Arial"/>
          <w:i/>
          <w:sz w:val="20"/>
          <w:szCs w:val="20"/>
          <w:lang w:val="en"/>
        </w:rPr>
        <w:t>65% say technology will impact or reshape competition within five years</w:t>
      </w:r>
    </w:p>
    <w:p w:rsidR="003C1D19" w:rsidRPr="003C1D19" w:rsidRDefault="003C1D19" w:rsidP="003C1D19">
      <w:pPr>
        <w:pStyle w:val="ListParagraph"/>
        <w:numPr>
          <w:ilvl w:val="0"/>
          <w:numId w:val="20"/>
        </w:numPr>
        <w:spacing w:line="240" w:lineRule="auto"/>
        <w:ind w:right="-90"/>
        <w:jc w:val="center"/>
        <w:rPr>
          <w:rFonts w:ascii="Georgia" w:hAnsi="Georgia" w:cstheme="minorHAnsi"/>
          <w:sz w:val="20"/>
          <w:szCs w:val="20"/>
          <w:lang w:val="en"/>
        </w:rPr>
      </w:pPr>
      <w:r w:rsidRPr="003C1D19">
        <w:rPr>
          <w:rFonts w:ascii="Georgia" w:hAnsi="Georgia" w:cs="Arial"/>
          <w:i/>
          <w:sz w:val="20"/>
          <w:szCs w:val="20"/>
          <w:lang w:val="en"/>
        </w:rPr>
        <w:t xml:space="preserve">Only 10% are </w:t>
      </w:r>
      <w:r w:rsidR="006E1EDF" w:rsidRPr="003C1D19">
        <w:rPr>
          <w:rFonts w:ascii="Georgia" w:hAnsi="Georgia" w:cs="Arial"/>
          <w:i/>
          <w:sz w:val="20"/>
          <w:szCs w:val="20"/>
          <w:lang w:val="en"/>
        </w:rPr>
        <w:t>priorit</w:t>
      </w:r>
      <w:r w:rsidR="006E1EDF">
        <w:rPr>
          <w:rFonts w:ascii="Georgia" w:hAnsi="Georgia" w:cs="Arial"/>
          <w:i/>
          <w:sz w:val="20"/>
          <w:szCs w:val="20"/>
          <w:lang w:val="en"/>
        </w:rPr>
        <w:t>i</w:t>
      </w:r>
      <w:r w:rsidR="006E1EDF" w:rsidRPr="003C1D19">
        <w:rPr>
          <w:rFonts w:ascii="Georgia" w:hAnsi="Georgia" w:cs="Arial"/>
          <w:i/>
          <w:sz w:val="20"/>
          <w:szCs w:val="20"/>
          <w:lang w:val="en"/>
        </w:rPr>
        <w:t>zing</w:t>
      </w:r>
      <w:r w:rsidRPr="003C1D19">
        <w:rPr>
          <w:rFonts w:ascii="Georgia" w:hAnsi="Georgia" w:cs="Arial"/>
          <w:i/>
          <w:sz w:val="20"/>
          <w:szCs w:val="20"/>
          <w:lang w:val="en"/>
        </w:rPr>
        <w:t xml:space="preserve"> improving digital skills and capabilities.</w:t>
      </w:r>
    </w:p>
    <w:p w:rsidR="007D5C07" w:rsidRPr="003C1D19" w:rsidRDefault="007D5C07" w:rsidP="003C1D19">
      <w:pPr>
        <w:spacing w:line="240" w:lineRule="auto"/>
        <w:ind w:right="-90"/>
        <w:rPr>
          <w:rFonts w:cstheme="minorHAnsi"/>
          <w:szCs w:val="20"/>
          <w:lang w:val="en"/>
        </w:rPr>
      </w:pPr>
      <w:r w:rsidRPr="003C1D19">
        <w:rPr>
          <w:rFonts w:cstheme="minorHAnsi"/>
          <w:szCs w:val="20"/>
          <w:lang w:val="en"/>
        </w:rPr>
        <w:t>Confidence in the 12 month and three year outlook for revenue growth in asset and wealth management has grown</w:t>
      </w:r>
      <w:r w:rsidR="003A7905" w:rsidRPr="003C1D19">
        <w:rPr>
          <w:rFonts w:cstheme="minorHAnsi"/>
          <w:szCs w:val="20"/>
          <w:lang w:val="en"/>
        </w:rPr>
        <w:t xml:space="preserve"> again</w:t>
      </w:r>
      <w:r w:rsidRPr="003C1D19">
        <w:rPr>
          <w:rFonts w:cstheme="minorHAnsi"/>
          <w:szCs w:val="20"/>
          <w:lang w:val="en"/>
        </w:rPr>
        <w:t xml:space="preserve">, </w:t>
      </w:r>
      <w:r w:rsidR="00F151FA" w:rsidRPr="003C1D19">
        <w:rPr>
          <w:rFonts w:cstheme="minorHAnsi"/>
          <w:szCs w:val="20"/>
          <w:lang w:val="en"/>
        </w:rPr>
        <w:t xml:space="preserve">with almost two thirds (64%) of the industry planning recruitment. </w:t>
      </w:r>
    </w:p>
    <w:p w:rsidR="007D5C07" w:rsidRPr="003C1D19" w:rsidRDefault="007D5C07" w:rsidP="007D5C07">
      <w:pPr>
        <w:spacing w:line="240" w:lineRule="auto"/>
        <w:ind w:right="-90"/>
        <w:rPr>
          <w:rFonts w:cstheme="minorHAnsi"/>
          <w:szCs w:val="20"/>
          <w:lang w:val="en"/>
        </w:rPr>
      </w:pPr>
    </w:p>
    <w:p w:rsidR="003A7905" w:rsidRPr="003C1D19" w:rsidRDefault="007D5C07" w:rsidP="00F151FA">
      <w:pPr>
        <w:spacing w:line="240" w:lineRule="auto"/>
        <w:ind w:right="-90"/>
        <w:rPr>
          <w:rFonts w:cs="Arial"/>
          <w:szCs w:val="20"/>
          <w:lang w:val="en"/>
        </w:rPr>
      </w:pPr>
      <w:r w:rsidRPr="003C1D19">
        <w:rPr>
          <w:rFonts w:cstheme="minorHAnsi"/>
          <w:szCs w:val="20"/>
          <w:lang w:val="en"/>
        </w:rPr>
        <w:t xml:space="preserve">In PwC’s annual survey of the sector’s CEO’s views on the outlook for the industry, </w:t>
      </w:r>
      <w:r w:rsidR="00F151FA" w:rsidRPr="003C1D19">
        <w:rPr>
          <w:rFonts w:cs="Arial"/>
          <w:szCs w:val="20"/>
          <w:lang w:val="en"/>
        </w:rPr>
        <w:t>92% are confident or very confident about the growth outlook over the next 12 months, higher than the average across financial services sector (</w:t>
      </w:r>
      <w:r w:rsidR="003A7905" w:rsidRPr="003C1D19">
        <w:rPr>
          <w:rFonts w:cs="Arial"/>
          <w:szCs w:val="20"/>
          <w:lang w:val="en"/>
        </w:rPr>
        <w:t>86%</w:t>
      </w:r>
      <w:r w:rsidR="00F151FA" w:rsidRPr="003C1D19">
        <w:rPr>
          <w:rFonts w:cs="Arial"/>
          <w:szCs w:val="20"/>
          <w:lang w:val="en"/>
        </w:rPr>
        <w:t xml:space="preserve">). </w:t>
      </w:r>
    </w:p>
    <w:p w:rsidR="003A7905" w:rsidRPr="003C1D19" w:rsidRDefault="003A7905" w:rsidP="00F151FA">
      <w:pPr>
        <w:spacing w:line="240" w:lineRule="auto"/>
        <w:ind w:right="-90"/>
        <w:rPr>
          <w:rFonts w:cs="Arial"/>
          <w:szCs w:val="20"/>
          <w:lang w:val="en"/>
        </w:rPr>
      </w:pPr>
    </w:p>
    <w:p w:rsidR="001B0303" w:rsidRPr="003C1D19" w:rsidRDefault="007D5C07" w:rsidP="007D5C07">
      <w:pPr>
        <w:spacing w:line="240" w:lineRule="auto"/>
        <w:ind w:right="-90"/>
        <w:rPr>
          <w:rFonts w:cstheme="minorHAnsi"/>
          <w:szCs w:val="20"/>
          <w:lang w:val="en"/>
        </w:rPr>
      </w:pPr>
      <w:r w:rsidRPr="003C1D19">
        <w:rPr>
          <w:rFonts w:cstheme="minorHAnsi"/>
          <w:szCs w:val="20"/>
          <w:lang w:val="en"/>
        </w:rPr>
        <w:t xml:space="preserve">185 CEOs from 45 countries </w:t>
      </w:r>
      <w:r w:rsidR="00F151FA" w:rsidRPr="003C1D19">
        <w:rPr>
          <w:rFonts w:cstheme="minorHAnsi"/>
          <w:szCs w:val="20"/>
          <w:lang w:val="en"/>
        </w:rPr>
        <w:t>were surveyed, revealing</w:t>
      </w:r>
      <w:r w:rsidRPr="003C1D19">
        <w:rPr>
          <w:rFonts w:cstheme="minorHAnsi"/>
          <w:szCs w:val="20"/>
          <w:lang w:val="en"/>
        </w:rPr>
        <w:t xml:space="preserve"> an industry that’s </w:t>
      </w:r>
      <w:r w:rsidR="00F151FA" w:rsidRPr="003C1D19">
        <w:rPr>
          <w:rFonts w:cstheme="minorHAnsi"/>
          <w:szCs w:val="20"/>
          <w:lang w:val="en"/>
        </w:rPr>
        <w:t xml:space="preserve">confident about its growth, yet shows signs it is slow to innovate and adapt to opportunities in the sector including technology. </w:t>
      </w:r>
      <w:r w:rsidR="003A7905" w:rsidRPr="003C1D19">
        <w:rPr>
          <w:rFonts w:cstheme="minorHAnsi"/>
          <w:szCs w:val="20"/>
          <w:lang w:val="en"/>
        </w:rPr>
        <w:t>Only 10% of AWM CEOs plan to strengthen their digital capabilities, compared with 23% across Financial</w:t>
      </w:r>
      <w:r w:rsidR="001B0303" w:rsidRPr="003C1D19">
        <w:rPr>
          <w:rFonts w:cstheme="minorHAnsi"/>
          <w:szCs w:val="20"/>
          <w:lang w:val="en"/>
        </w:rPr>
        <w:t xml:space="preserve"> Services, despite two thirds of CEOs being concerned about the speed of technological change as a threat to growth. </w:t>
      </w:r>
    </w:p>
    <w:p w:rsidR="001B0303" w:rsidRPr="003C1D19" w:rsidRDefault="001B0303" w:rsidP="007D5C07">
      <w:pPr>
        <w:spacing w:line="240" w:lineRule="auto"/>
        <w:ind w:right="-90"/>
        <w:rPr>
          <w:rFonts w:cstheme="minorHAnsi"/>
          <w:szCs w:val="20"/>
          <w:lang w:val="en"/>
        </w:rPr>
      </w:pPr>
    </w:p>
    <w:p w:rsidR="001B0303" w:rsidRPr="003C1D19" w:rsidRDefault="0085067C" w:rsidP="007D5C07">
      <w:pPr>
        <w:spacing w:line="240" w:lineRule="auto"/>
        <w:ind w:right="-90"/>
        <w:rPr>
          <w:rFonts w:cstheme="minorHAnsi"/>
          <w:szCs w:val="20"/>
          <w:lang w:val="en"/>
        </w:rPr>
      </w:pPr>
      <w:r w:rsidRPr="003C1D19">
        <w:rPr>
          <w:rFonts w:cstheme="minorHAnsi"/>
          <w:szCs w:val="20"/>
          <w:lang w:val="en"/>
        </w:rPr>
        <w:t xml:space="preserve">The majority of business leaders in the sector plan to increase their workforce (64%) in the year ahead, higher than other segments in the Financial Services sector. 68% </w:t>
      </w:r>
      <w:r w:rsidR="003C1D19">
        <w:rPr>
          <w:rFonts w:cstheme="minorHAnsi"/>
          <w:szCs w:val="20"/>
          <w:lang w:val="en"/>
        </w:rPr>
        <w:t>admit</w:t>
      </w:r>
      <w:r w:rsidRPr="003C1D19">
        <w:rPr>
          <w:rFonts w:cstheme="minorHAnsi"/>
          <w:szCs w:val="20"/>
          <w:lang w:val="en"/>
        </w:rPr>
        <w:t xml:space="preserve"> they have </w:t>
      </w:r>
      <w:r w:rsidR="003C1D19">
        <w:rPr>
          <w:rFonts w:cstheme="minorHAnsi"/>
          <w:szCs w:val="20"/>
          <w:lang w:val="en"/>
        </w:rPr>
        <w:t xml:space="preserve">already </w:t>
      </w:r>
      <w:r w:rsidRPr="003C1D19">
        <w:rPr>
          <w:rFonts w:cstheme="minorHAnsi"/>
          <w:szCs w:val="20"/>
          <w:lang w:val="en"/>
        </w:rPr>
        <w:t xml:space="preserve">changed their people strategy to recruit, develop and retain the skills needed in the future. </w:t>
      </w:r>
    </w:p>
    <w:p w:rsidR="003C1D19" w:rsidRPr="003C1D19" w:rsidRDefault="003C1D19" w:rsidP="007D5C07">
      <w:pPr>
        <w:spacing w:line="240" w:lineRule="auto"/>
        <w:ind w:right="-90"/>
        <w:rPr>
          <w:rFonts w:cstheme="minorHAnsi"/>
          <w:szCs w:val="20"/>
          <w:lang w:val="en"/>
        </w:rPr>
      </w:pPr>
    </w:p>
    <w:p w:rsidR="003C1D19" w:rsidRPr="003C1D19" w:rsidRDefault="003C1D19" w:rsidP="007D5C07">
      <w:pPr>
        <w:spacing w:line="240" w:lineRule="auto"/>
        <w:ind w:right="-90"/>
        <w:rPr>
          <w:rFonts w:cstheme="minorHAnsi"/>
          <w:szCs w:val="20"/>
          <w:lang w:val="en"/>
        </w:rPr>
      </w:pPr>
      <w:r w:rsidRPr="003C1D19">
        <w:rPr>
          <w:rFonts w:cstheme="minorHAnsi"/>
          <w:szCs w:val="20"/>
          <w:lang w:val="en"/>
        </w:rPr>
        <w:t xml:space="preserve">Amongst the key growth strategies identified: </w:t>
      </w:r>
    </w:p>
    <w:p w:rsidR="001B0303" w:rsidRPr="003C1D19" w:rsidRDefault="001B0303" w:rsidP="007D5C07">
      <w:pPr>
        <w:spacing w:line="240" w:lineRule="auto"/>
        <w:ind w:right="-90"/>
        <w:rPr>
          <w:rFonts w:cstheme="minorHAnsi"/>
          <w:szCs w:val="20"/>
          <w:lang w:val="en"/>
        </w:rPr>
      </w:pPr>
    </w:p>
    <w:p w:rsidR="003C1D19" w:rsidRPr="003C1D19" w:rsidRDefault="00EF50E9" w:rsidP="003C1D19">
      <w:pPr>
        <w:pStyle w:val="ListParagraph"/>
        <w:numPr>
          <w:ilvl w:val="0"/>
          <w:numId w:val="19"/>
        </w:numPr>
        <w:spacing w:line="240" w:lineRule="auto"/>
        <w:ind w:right="-90"/>
        <w:rPr>
          <w:rFonts w:ascii="Georgia" w:hAnsi="Georgia" w:cstheme="minorHAnsi"/>
          <w:sz w:val="20"/>
          <w:szCs w:val="20"/>
          <w:lang w:val="en"/>
        </w:rPr>
      </w:pPr>
      <w:r w:rsidRPr="003C1D19">
        <w:rPr>
          <w:rFonts w:ascii="Georgia" w:hAnsi="Georgia" w:cstheme="minorHAnsi"/>
          <w:sz w:val="20"/>
          <w:szCs w:val="20"/>
          <w:lang w:val="en"/>
        </w:rPr>
        <w:t>Strategic alliances, joint ventures, and mergers and acquisitions are amongst the corporate activities CEOs plan to drive profitability.</w:t>
      </w:r>
      <w:r w:rsidR="003E77A7" w:rsidRPr="003C1D19">
        <w:rPr>
          <w:rFonts w:ascii="Georgia" w:hAnsi="Georgia" w:cstheme="minorHAnsi"/>
          <w:sz w:val="20"/>
          <w:szCs w:val="20"/>
          <w:lang w:val="en"/>
        </w:rPr>
        <w:t xml:space="preserve"> </w:t>
      </w:r>
    </w:p>
    <w:p w:rsidR="003C1D19" w:rsidRPr="003C1D19" w:rsidRDefault="003C1D19" w:rsidP="007D5C07">
      <w:pPr>
        <w:pStyle w:val="ListParagraph"/>
        <w:numPr>
          <w:ilvl w:val="0"/>
          <w:numId w:val="19"/>
        </w:numPr>
        <w:spacing w:line="240" w:lineRule="auto"/>
        <w:ind w:right="-90"/>
        <w:rPr>
          <w:rFonts w:ascii="Georgia" w:hAnsi="Georgia" w:cstheme="minorHAnsi"/>
          <w:sz w:val="20"/>
          <w:szCs w:val="20"/>
          <w:lang w:val="en"/>
        </w:rPr>
      </w:pPr>
      <w:r w:rsidRPr="003C1D19">
        <w:rPr>
          <w:rFonts w:ascii="Georgia" w:hAnsi="Georgia" w:cstheme="minorHAnsi"/>
          <w:sz w:val="20"/>
          <w:szCs w:val="20"/>
          <w:lang w:val="en"/>
        </w:rPr>
        <w:t xml:space="preserve">62% of AWM CEOs say it has become more difficult to gain and key trust in the sector, reflecting a financial services wide concern about falling levels of trust in business. </w:t>
      </w:r>
    </w:p>
    <w:p w:rsidR="00EF50E9" w:rsidRPr="003C1D19" w:rsidRDefault="003C1D19" w:rsidP="007D5C07">
      <w:pPr>
        <w:pStyle w:val="ListParagraph"/>
        <w:numPr>
          <w:ilvl w:val="0"/>
          <w:numId w:val="19"/>
        </w:numPr>
        <w:spacing w:line="240" w:lineRule="auto"/>
        <w:ind w:right="-90"/>
        <w:rPr>
          <w:rFonts w:ascii="Georgia" w:hAnsi="Georgia" w:cstheme="minorHAnsi"/>
          <w:sz w:val="20"/>
          <w:szCs w:val="20"/>
          <w:lang w:val="en"/>
        </w:rPr>
      </w:pPr>
      <w:r w:rsidRPr="003C1D19">
        <w:rPr>
          <w:rFonts w:ascii="Georgia" w:hAnsi="Georgia" w:cstheme="minorHAnsi"/>
          <w:sz w:val="20"/>
          <w:szCs w:val="20"/>
          <w:lang w:val="en"/>
        </w:rPr>
        <w:t>O</w:t>
      </w:r>
      <w:r w:rsidR="003E77A7" w:rsidRPr="003C1D19">
        <w:rPr>
          <w:rFonts w:ascii="Georgia" w:hAnsi="Georgia" w:cstheme="minorHAnsi"/>
          <w:sz w:val="20"/>
          <w:szCs w:val="20"/>
          <w:lang w:val="en"/>
        </w:rPr>
        <w:t xml:space="preserve">nly 27% of CEOs looking to collaborate with entrepreneurs or startups, the report warns that the results point to the sector’s reluctance to innovate. By comparison, </w:t>
      </w:r>
      <w:r w:rsidR="002D7D86" w:rsidRPr="003C1D19">
        <w:rPr>
          <w:rFonts w:ascii="Georgia" w:hAnsi="Georgia" w:cstheme="minorHAnsi"/>
          <w:sz w:val="20"/>
          <w:szCs w:val="20"/>
          <w:lang w:val="en"/>
        </w:rPr>
        <w:t>31% of Banking CEOs and 37% of I</w:t>
      </w:r>
      <w:r w:rsidR="003E77A7" w:rsidRPr="003C1D19">
        <w:rPr>
          <w:rFonts w:ascii="Georgia" w:hAnsi="Georgia" w:cstheme="minorHAnsi"/>
          <w:sz w:val="20"/>
          <w:szCs w:val="20"/>
          <w:lang w:val="en"/>
        </w:rPr>
        <w:t>nsurance leaders plan to do so, where strategies includ</w:t>
      </w:r>
      <w:r w:rsidR="002D7D86" w:rsidRPr="003C1D19">
        <w:rPr>
          <w:rFonts w:ascii="Georgia" w:hAnsi="Georgia" w:cstheme="minorHAnsi"/>
          <w:sz w:val="20"/>
          <w:szCs w:val="20"/>
          <w:lang w:val="en"/>
        </w:rPr>
        <w:t>ing</w:t>
      </w:r>
      <w:r w:rsidR="003E77A7" w:rsidRPr="003C1D19">
        <w:rPr>
          <w:rFonts w:ascii="Georgia" w:hAnsi="Georgia" w:cstheme="minorHAnsi"/>
          <w:sz w:val="20"/>
          <w:szCs w:val="20"/>
          <w:lang w:val="en"/>
        </w:rPr>
        <w:t xml:space="preserve"> working with </w:t>
      </w:r>
      <w:proofErr w:type="spellStart"/>
      <w:r w:rsidR="003E77A7" w:rsidRPr="003C1D19">
        <w:rPr>
          <w:rFonts w:ascii="Georgia" w:hAnsi="Georgia" w:cstheme="minorHAnsi"/>
          <w:sz w:val="20"/>
          <w:szCs w:val="20"/>
          <w:lang w:val="en"/>
        </w:rPr>
        <w:t>FinTech</w:t>
      </w:r>
      <w:proofErr w:type="spellEnd"/>
      <w:r w:rsidR="003E77A7" w:rsidRPr="003C1D19">
        <w:rPr>
          <w:rFonts w:ascii="Georgia" w:hAnsi="Georgia" w:cstheme="minorHAnsi"/>
          <w:sz w:val="20"/>
          <w:szCs w:val="20"/>
          <w:lang w:val="en"/>
        </w:rPr>
        <w:t xml:space="preserve"> companies to develop new products and business models may transform their sectors.  </w:t>
      </w:r>
    </w:p>
    <w:p w:rsidR="003C1D19" w:rsidRPr="003C1D19" w:rsidRDefault="003C1D19" w:rsidP="003C1D19">
      <w:pPr>
        <w:pStyle w:val="ListParagraph"/>
        <w:numPr>
          <w:ilvl w:val="0"/>
          <w:numId w:val="19"/>
        </w:numPr>
        <w:spacing w:line="240" w:lineRule="auto"/>
        <w:ind w:right="-90"/>
        <w:rPr>
          <w:rFonts w:ascii="Georgia" w:hAnsi="Georgia" w:cstheme="minorHAnsi"/>
          <w:sz w:val="20"/>
          <w:szCs w:val="20"/>
          <w:lang w:val="en"/>
        </w:rPr>
      </w:pPr>
      <w:r w:rsidRPr="003C1D19">
        <w:rPr>
          <w:rFonts w:ascii="Georgia" w:hAnsi="Georgia" w:cstheme="minorHAnsi"/>
          <w:sz w:val="20"/>
          <w:szCs w:val="20"/>
          <w:lang w:val="en"/>
        </w:rPr>
        <w:t xml:space="preserve">OECD economies are viewed as the most important for the sector’s growth in 2017. This year’s responses showed a big shift towards the US as a key market, with over half (54%) judging it to be the most important market outside their home market, vs 39% last year. </w:t>
      </w:r>
    </w:p>
    <w:p w:rsidR="003C1D19" w:rsidRPr="003C1D19" w:rsidRDefault="003C1D19" w:rsidP="003C1D19">
      <w:pPr>
        <w:pStyle w:val="ListParagraph"/>
        <w:numPr>
          <w:ilvl w:val="0"/>
          <w:numId w:val="19"/>
        </w:numPr>
        <w:spacing w:line="240" w:lineRule="auto"/>
        <w:ind w:right="-90"/>
        <w:rPr>
          <w:rFonts w:ascii="Georgia" w:hAnsi="Georgia" w:cstheme="minorHAnsi"/>
          <w:sz w:val="20"/>
          <w:szCs w:val="20"/>
          <w:lang w:val="en"/>
        </w:rPr>
      </w:pPr>
      <w:r w:rsidRPr="003C1D19">
        <w:rPr>
          <w:rFonts w:ascii="Georgia" w:hAnsi="Georgia" w:cstheme="minorHAnsi"/>
          <w:sz w:val="20"/>
          <w:szCs w:val="20"/>
          <w:lang w:val="en"/>
        </w:rPr>
        <w:t xml:space="preserve">Focusing on the financial </w:t>
      </w:r>
      <w:proofErr w:type="spellStart"/>
      <w:r w:rsidRPr="003C1D19">
        <w:rPr>
          <w:rFonts w:ascii="Georgia" w:hAnsi="Georgia" w:cstheme="minorHAnsi"/>
          <w:sz w:val="20"/>
          <w:szCs w:val="20"/>
          <w:lang w:val="en"/>
        </w:rPr>
        <w:t>centres</w:t>
      </w:r>
      <w:proofErr w:type="spellEnd"/>
      <w:r w:rsidRPr="003C1D19">
        <w:rPr>
          <w:rFonts w:ascii="Georgia" w:hAnsi="Georgia" w:cstheme="minorHAnsi"/>
          <w:sz w:val="20"/>
          <w:szCs w:val="20"/>
          <w:lang w:val="en"/>
        </w:rPr>
        <w:t xml:space="preserve"> that are most important for the sector’s growth, CEOs put New York top. Beijing, ties with London for second, showing how it is emerging as a global wealth management </w:t>
      </w:r>
      <w:proofErr w:type="spellStart"/>
      <w:r w:rsidRPr="003C1D19">
        <w:rPr>
          <w:rFonts w:ascii="Georgia" w:hAnsi="Georgia" w:cstheme="minorHAnsi"/>
          <w:sz w:val="20"/>
          <w:szCs w:val="20"/>
          <w:lang w:val="en"/>
        </w:rPr>
        <w:t>centre</w:t>
      </w:r>
      <w:proofErr w:type="spellEnd"/>
      <w:r w:rsidRPr="003C1D19">
        <w:rPr>
          <w:rFonts w:ascii="Georgia" w:hAnsi="Georgia" w:cstheme="minorHAnsi"/>
          <w:sz w:val="20"/>
          <w:szCs w:val="20"/>
          <w:lang w:val="en"/>
        </w:rPr>
        <w:t xml:space="preserve"> as the number of wealthy Chinese expands every week. </w:t>
      </w:r>
    </w:p>
    <w:p w:rsidR="003C1D19" w:rsidRPr="003C1D19" w:rsidRDefault="003C1D19" w:rsidP="003C1D19">
      <w:pPr>
        <w:spacing w:line="240" w:lineRule="auto"/>
        <w:ind w:right="-90"/>
        <w:rPr>
          <w:rFonts w:cstheme="minorHAnsi"/>
          <w:szCs w:val="20"/>
          <w:lang w:val="en"/>
        </w:rPr>
      </w:pPr>
      <w:r w:rsidRPr="003C1D19">
        <w:rPr>
          <w:rFonts w:cstheme="minorHAnsi"/>
          <w:szCs w:val="20"/>
          <w:lang w:val="en"/>
        </w:rPr>
        <w:t xml:space="preserve">Barry Benjamin, Global Asset and Wealth Management Leader, PwC comments: </w:t>
      </w:r>
    </w:p>
    <w:p w:rsidR="003C1D19" w:rsidRPr="003C1D19" w:rsidRDefault="003C1D19" w:rsidP="003C1D19">
      <w:pPr>
        <w:pStyle w:val="ListParagraph"/>
        <w:spacing w:line="240" w:lineRule="auto"/>
        <w:ind w:right="-90"/>
        <w:rPr>
          <w:rFonts w:ascii="Georgia" w:hAnsi="Georgia" w:cstheme="minorHAnsi"/>
          <w:sz w:val="20"/>
          <w:szCs w:val="20"/>
          <w:lang w:val="en"/>
        </w:rPr>
      </w:pPr>
      <w:r w:rsidRPr="003C1D19">
        <w:rPr>
          <w:rFonts w:ascii="Georgia" w:hAnsi="Georgia" w:cstheme="minorHAnsi"/>
          <w:sz w:val="20"/>
          <w:szCs w:val="20"/>
          <w:lang w:val="en"/>
        </w:rPr>
        <w:br/>
        <w:t xml:space="preserve">“Confidence is high, but the sector is showing signs of being slow to innovate and adapt – particularly to technology and demographics. There are likely to be more mergers, not only </w:t>
      </w:r>
      <w:r w:rsidRPr="003C1D19">
        <w:rPr>
          <w:rFonts w:ascii="Georgia" w:hAnsi="Georgia" w:cstheme="minorHAnsi"/>
          <w:sz w:val="20"/>
          <w:szCs w:val="20"/>
          <w:lang w:val="en"/>
        </w:rPr>
        <w:lastRenderedPageBreak/>
        <w:t>because firms are seeking distribution power and scale but also as some seek to break into new markets through buying talent.</w:t>
      </w:r>
      <w:r>
        <w:rPr>
          <w:rFonts w:ascii="Georgia" w:hAnsi="Georgia" w:cstheme="minorHAnsi"/>
          <w:sz w:val="20"/>
          <w:szCs w:val="20"/>
          <w:lang w:val="en"/>
        </w:rPr>
        <w:t>”</w:t>
      </w:r>
      <w:r w:rsidRPr="003C1D19">
        <w:rPr>
          <w:rFonts w:ascii="Georgia" w:hAnsi="Georgia" w:cstheme="minorHAnsi"/>
          <w:sz w:val="20"/>
          <w:szCs w:val="20"/>
          <w:lang w:val="en"/>
        </w:rPr>
        <w:t xml:space="preserve"> </w:t>
      </w:r>
    </w:p>
    <w:p w:rsidR="000A52CF" w:rsidRPr="003C1D19" w:rsidRDefault="000A52CF" w:rsidP="003C1D19">
      <w:pPr>
        <w:spacing w:line="240" w:lineRule="auto"/>
        <w:ind w:right="-90"/>
        <w:rPr>
          <w:rFonts w:cstheme="minorHAnsi"/>
          <w:szCs w:val="20"/>
          <w:lang w:val="en"/>
        </w:rPr>
      </w:pPr>
      <w:r w:rsidRPr="003C1D19">
        <w:rPr>
          <w:rFonts w:cstheme="minorHAnsi"/>
          <w:szCs w:val="20"/>
          <w:lang w:val="en"/>
        </w:rPr>
        <w:t xml:space="preserve">CEOs five biggest concerns in the sector are the availability of key skills (71%), the speed of technological change (66%), changing customer </w:t>
      </w:r>
      <w:proofErr w:type="spellStart"/>
      <w:r w:rsidRPr="003C1D19">
        <w:rPr>
          <w:rFonts w:cstheme="minorHAnsi"/>
          <w:szCs w:val="20"/>
          <w:lang w:val="en"/>
        </w:rPr>
        <w:t>behaviour</w:t>
      </w:r>
      <w:proofErr w:type="spellEnd"/>
      <w:r w:rsidRPr="003C1D19">
        <w:rPr>
          <w:rFonts w:cstheme="minorHAnsi"/>
          <w:szCs w:val="20"/>
          <w:lang w:val="en"/>
        </w:rPr>
        <w:t xml:space="preserve"> (64%), lack of trust (61%) and cyber threats (59%). </w:t>
      </w:r>
    </w:p>
    <w:p w:rsidR="002D7D86" w:rsidRPr="003C1D19" w:rsidRDefault="002D7D86" w:rsidP="007D5C07">
      <w:pPr>
        <w:spacing w:line="240" w:lineRule="auto"/>
        <w:ind w:right="-90"/>
        <w:rPr>
          <w:rFonts w:cstheme="minorHAnsi"/>
          <w:szCs w:val="20"/>
          <w:lang w:val="en"/>
        </w:rPr>
      </w:pPr>
    </w:p>
    <w:p w:rsidR="000A52CF" w:rsidRPr="003C1D19" w:rsidRDefault="003C1D19" w:rsidP="007D5C07">
      <w:pPr>
        <w:spacing w:line="240" w:lineRule="auto"/>
        <w:ind w:right="-90"/>
        <w:rPr>
          <w:rFonts w:cstheme="minorHAnsi"/>
          <w:szCs w:val="20"/>
          <w:lang w:val="en"/>
        </w:rPr>
      </w:pPr>
      <w:r w:rsidRPr="003C1D19">
        <w:rPr>
          <w:rFonts w:cstheme="minorHAnsi"/>
          <w:szCs w:val="20"/>
          <w:lang w:val="en"/>
        </w:rPr>
        <w:t xml:space="preserve">Despite concern about technology’s speed of change, CEOs </w:t>
      </w:r>
      <w:r>
        <w:rPr>
          <w:rFonts w:cstheme="minorHAnsi"/>
          <w:szCs w:val="20"/>
          <w:lang w:val="en"/>
        </w:rPr>
        <w:t>believe</w:t>
      </w:r>
      <w:r w:rsidRPr="003C1D19">
        <w:rPr>
          <w:rFonts w:cstheme="minorHAnsi"/>
          <w:szCs w:val="20"/>
          <w:lang w:val="en"/>
        </w:rPr>
        <w:t xml:space="preserve"> it </w:t>
      </w:r>
      <w:r w:rsidR="000A52CF" w:rsidRPr="003C1D19">
        <w:rPr>
          <w:rFonts w:cstheme="minorHAnsi"/>
          <w:szCs w:val="20"/>
          <w:lang w:val="en"/>
        </w:rPr>
        <w:t xml:space="preserve">has had less of a transformative impact on the sector than other financial services </w:t>
      </w:r>
      <w:r w:rsidRPr="003C1D19">
        <w:rPr>
          <w:rFonts w:cstheme="minorHAnsi"/>
          <w:szCs w:val="20"/>
          <w:lang w:val="en"/>
        </w:rPr>
        <w:t xml:space="preserve">areas, </w:t>
      </w:r>
      <w:r w:rsidR="000A52CF" w:rsidRPr="003C1D19">
        <w:rPr>
          <w:rFonts w:cstheme="minorHAnsi"/>
          <w:szCs w:val="20"/>
          <w:lang w:val="en"/>
        </w:rPr>
        <w:t xml:space="preserve">over the past twenty years. Just 53% believe technology has completely reshaped or significantly impacted competition in the sector, vs 74% of banking and capital market leaders. By contrast 77% of CEOs across financial services see technology doing the same again within five years, vs only 65% of AWM leaders. </w:t>
      </w:r>
    </w:p>
    <w:p w:rsidR="000A52CF" w:rsidRPr="003C1D19" w:rsidRDefault="000A52CF" w:rsidP="007D5C07">
      <w:pPr>
        <w:spacing w:line="240" w:lineRule="auto"/>
        <w:ind w:right="-90"/>
        <w:rPr>
          <w:rFonts w:cstheme="minorHAnsi"/>
          <w:szCs w:val="20"/>
          <w:lang w:val="en"/>
        </w:rPr>
      </w:pPr>
    </w:p>
    <w:p w:rsidR="003C1D19" w:rsidRPr="003C1D19" w:rsidRDefault="003C1D19" w:rsidP="003C1D19">
      <w:pPr>
        <w:spacing w:line="240" w:lineRule="auto"/>
        <w:ind w:right="-90"/>
        <w:rPr>
          <w:rFonts w:cstheme="minorHAnsi"/>
          <w:szCs w:val="20"/>
          <w:lang w:val="en"/>
        </w:rPr>
      </w:pPr>
      <w:r w:rsidRPr="003C1D19">
        <w:rPr>
          <w:rFonts w:cstheme="minorHAnsi"/>
          <w:szCs w:val="20"/>
          <w:lang w:val="en"/>
        </w:rPr>
        <w:t xml:space="preserve">Barry Benjamin, Global Asset and Wealth Management Leader, PwC comments: </w:t>
      </w:r>
    </w:p>
    <w:p w:rsidR="003C1D19" w:rsidRPr="003C1D19" w:rsidRDefault="003C1D19" w:rsidP="003C1D19">
      <w:pPr>
        <w:spacing w:line="240" w:lineRule="auto"/>
        <w:ind w:left="720" w:right="-90"/>
        <w:rPr>
          <w:rFonts w:cstheme="minorHAnsi"/>
          <w:szCs w:val="20"/>
          <w:lang w:val="en"/>
        </w:rPr>
      </w:pPr>
      <w:r w:rsidRPr="003C1D19">
        <w:rPr>
          <w:rFonts w:cstheme="minorHAnsi"/>
          <w:szCs w:val="20"/>
          <w:lang w:val="en"/>
        </w:rPr>
        <w:t xml:space="preserve"> </w:t>
      </w:r>
    </w:p>
    <w:p w:rsidR="000A52CF" w:rsidRPr="003C1D19" w:rsidRDefault="000A52CF" w:rsidP="003C1D19">
      <w:pPr>
        <w:spacing w:line="240" w:lineRule="auto"/>
        <w:ind w:left="720" w:right="-90"/>
        <w:rPr>
          <w:rFonts w:cstheme="minorHAnsi"/>
          <w:szCs w:val="20"/>
          <w:lang w:val="en"/>
        </w:rPr>
      </w:pPr>
      <w:r w:rsidRPr="003C1D19">
        <w:rPr>
          <w:rFonts w:cstheme="minorHAnsi"/>
          <w:szCs w:val="20"/>
          <w:lang w:val="en"/>
        </w:rPr>
        <w:t>“The sector has a dramatic need to drive technology adoption, global expansion, and recruit new talent. Their responses to issues on technology beg the question is the sector preparing fast enough?”</w:t>
      </w:r>
    </w:p>
    <w:p w:rsidR="00FD6C7F" w:rsidRPr="003C1D19" w:rsidRDefault="00E61887" w:rsidP="006B0290">
      <w:pPr>
        <w:spacing w:before="269" w:after="269"/>
        <w:rPr>
          <w:rFonts w:cs="Arial"/>
          <w:b/>
          <w:bCs/>
          <w:color w:val="000000"/>
          <w:szCs w:val="20"/>
          <w:lang w:val="en"/>
        </w:rPr>
      </w:pPr>
      <w:r w:rsidRPr="003C1D19">
        <w:rPr>
          <w:rFonts w:cs="Arial"/>
          <w:szCs w:val="20"/>
          <w:lang w:val="en"/>
        </w:rPr>
        <w:t>N</w:t>
      </w:r>
      <w:r w:rsidR="00FD6C7F" w:rsidRPr="003C1D19">
        <w:rPr>
          <w:rFonts w:cs="Arial"/>
          <w:b/>
          <w:bCs/>
          <w:color w:val="000000"/>
          <w:szCs w:val="20"/>
          <w:lang w:val="en"/>
        </w:rPr>
        <w:t>otes</w:t>
      </w:r>
    </w:p>
    <w:p w:rsidR="00CB705F" w:rsidRPr="003C1D19" w:rsidRDefault="003C1D19" w:rsidP="00CB705F">
      <w:pPr>
        <w:pStyle w:val="ListParagraph"/>
        <w:numPr>
          <w:ilvl w:val="0"/>
          <w:numId w:val="16"/>
        </w:numPr>
        <w:spacing w:before="269" w:after="269"/>
        <w:rPr>
          <w:rFonts w:ascii="Georgia" w:hAnsi="Georgia" w:cs="Arial"/>
          <w:sz w:val="20"/>
          <w:szCs w:val="20"/>
          <w:lang w:val="en"/>
        </w:rPr>
      </w:pPr>
      <w:r w:rsidRPr="003C1D19">
        <w:rPr>
          <w:rFonts w:ascii="Georgia" w:hAnsi="Georgia" w:cs="Arial"/>
          <w:sz w:val="20"/>
          <w:szCs w:val="20"/>
          <w:lang w:val="en"/>
        </w:rPr>
        <w:t xml:space="preserve">185 </w:t>
      </w:r>
      <w:r w:rsidR="00CB705F" w:rsidRPr="003C1D19">
        <w:rPr>
          <w:rFonts w:ascii="Georgia" w:hAnsi="Georgia" w:cs="Arial"/>
          <w:sz w:val="20"/>
          <w:szCs w:val="20"/>
          <w:lang w:val="en"/>
        </w:rPr>
        <w:t xml:space="preserve">CEOs </w:t>
      </w:r>
      <w:r w:rsidRPr="003C1D19">
        <w:rPr>
          <w:rFonts w:ascii="Georgia" w:hAnsi="Georgia" w:cs="Arial"/>
          <w:sz w:val="20"/>
          <w:szCs w:val="20"/>
          <w:lang w:val="en"/>
        </w:rPr>
        <w:t>from 45</w:t>
      </w:r>
      <w:r w:rsidR="00CB705F" w:rsidRPr="003C1D19">
        <w:rPr>
          <w:rFonts w:ascii="Georgia" w:hAnsi="Georgia" w:cs="Arial"/>
          <w:sz w:val="20"/>
          <w:szCs w:val="20"/>
          <w:lang w:val="en"/>
        </w:rPr>
        <w:t xml:space="preserve"> countries were surveyed between August and December 2016, as part of PwC’s Global CEO Survey. For more information see </w:t>
      </w:r>
      <w:hyperlink r:id="rId8" w:history="1">
        <w:r w:rsidR="00C450E2" w:rsidRPr="003C1D19">
          <w:rPr>
            <w:rStyle w:val="Hyperlink"/>
            <w:rFonts w:ascii="Georgia" w:hAnsi="Georgia" w:cs="Arial"/>
            <w:sz w:val="20"/>
            <w:szCs w:val="20"/>
            <w:lang w:val="en"/>
          </w:rPr>
          <w:t>www.pwc.com/ceosurvey</w:t>
        </w:r>
      </w:hyperlink>
      <w:r w:rsidR="00CB705F" w:rsidRPr="003C1D19">
        <w:rPr>
          <w:rFonts w:ascii="Georgia" w:hAnsi="Georgia" w:cs="Arial"/>
          <w:sz w:val="20"/>
          <w:szCs w:val="20"/>
          <w:lang w:val="en"/>
        </w:rPr>
        <w:t>.</w:t>
      </w:r>
    </w:p>
    <w:p w:rsidR="00934826" w:rsidRPr="003C1D19" w:rsidRDefault="00934826" w:rsidP="00C450E2">
      <w:pPr>
        <w:spacing w:before="269" w:after="269"/>
        <w:rPr>
          <w:b/>
          <w:i/>
          <w:szCs w:val="20"/>
        </w:rPr>
      </w:pPr>
      <w:r w:rsidRPr="003C1D19">
        <w:rPr>
          <w:b/>
          <w:i/>
          <w:szCs w:val="20"/>
        </w:rPr>
        <w:t xml:space="preserve">About PwC </w:t>
      </w:r>
    </w:p>
    <w:p w:rsidR="00934826" w:rsidRPr="003C1D19" w:rsidRDefault="00934826" w:rsidP="00934826">
      <w:pPr>
        <w:spacing w:line="276" w:lineRule="auto"/>
        <w:ind w:right="202"/>
        <w:rPr>
          <w:rFonts w:cs="Georgia"/>
          <w:color w:val="000000"/>
          <w:szCs w:val="20"/>
        </w:rPr>
      </w:pPr>
      <w:r w:rsidRPr="003C1D19">
        <w:rPr>
          <w:rFonts w:cs="Georgia"/>
          <w:color w:val="000000"/>
          <w:szCs w:val="20"/>
        </w:rPr>
        <w:t>At PwC, our purpose is to build trust in society and solve important problems. We’re a network of firms in 157 countries with more than 223,000 people who are committed to delivering quality in assurance, advisory and tax services. Find out more and tell us what matters to you by visiting us at www.pwc.com.</w:t>
      </w:r>
    </w:p>
    <w:p w:rsidR="00934826" w:rsidRPr="003C1D19" w:rsidRDefault="00934826" w:rsidP="00934826">
      <w:pPr>
        <w:spacing w:line="276" w:lineRule="auto"/>
        <w:ind w:right="202"/>
        <w:rPr>
          <w:rFonts w:cs="Georgia"/>
          <w:color w:val="000000"/>
          <w:szCs w:val="20"/>
        </w:rPr>
      </w:pPr>
    </w:p>
    <w:p w:rsidR="00934826" w:rsidRPr="003C1D19" w:rsidRDefault="00934826" w:rsidP="00934826">
      <w:pPr>
        <w:spacing w:line="276" w:lineRule="auto"/>
        <w:ind w:right="202"/>
        <w:rPr>
          <w:rFonts w:cs="Georgia"/>
          <w:color w:val="000000"/>
          <w:szCs w:val="20"/>
        </w:rPr>
      </w:pPr>
      <w:r w:rsidRPr="003C1D19">
        <w:rPr>
          <w:rFonts w:cs="Georgia"/>
          <w:color w:val="000000"/>
          <w:szCs w:val="20"/>
        </w:rPr>
        <w:t>PwC refers to the PwC network and/or one or more of its member firms, each of which is a separate legal entity. Please see www.pwc.com/structure for further details.</w:t>
      </w:r>
    </w:p>
    <w:p w:rsidR="009F66B8" w:rsidRPr="003C1D19" w:rsidRDefault="009F66B8" w:rsidP="00934826">
      <w:pPr>
        <w:spacing w:line="276" w:lineRule="auto"/>
        <w:ind w:right="202"/>
        <w:rPr>
          <w:rFonts w:cs="Georgia"/>
          <w:color w:val="000000"/>
          <w:szCs w:val="20"/>
        </w:rPr>
      </w:pPr>
    </w:p>
    <w:p w:rsidR="00934826" w:rsidRPr="003C1D19" w:rsidRDefault="00C816BF" w:rsidP="00F00A04">
      <w:pPr>
        <w:spacing w:line="276" w:lineRule="auto"/>
        <w:rPr>
          <w:rFonts w:cs="Georgia"/>
          <w:color w:val="000000"/>
          <w:szCs w:val="20"/>
        </w:rPr>
      </w:pPr>
      <w:r w:rsidRPr="003C1D19">
        <w:rPr>
          <w:rFonts w:cs="Georgia"/>
          <w:color w:val="000000"/>
          <w:szCs w:val="20"/>
        </w:rPr>
        <w:t>© 2017</w:t>
      </w:r>
      <w:r w:rsidR="00934826" w:rsidRPr="003C1D19">
        <w:rPr>
          <w:rFonts w:cs="Georgia"/>
          <w:color w:val="000000"/>
          <w:szCs w:val="20"/>
        </w:rPr>
        <w:t xml:space="preserve"> PwC. All rights reserved</w:t>
      </w:r>
    </w:p>
    <w:p w:rsidR="009F66B8" w:rsidRPr="003C1D19" w:rsidRDefault="009F66B8" w:rsidP="00934826">
      <w:pPr>
        <w:spacing w:line="276" w:lineRule="auto"/>
        <w:ind w:right="202"/>
        <w:rPr>
          <w:rFonts w:cs="Georgia"/>
          <w:color w:val="000000"/>
          <w:szCs w:val="20"/>
          <w:lang w:eastAsia="en-GB"/>
        </w:rPr>
      </w:pPr>
    </w:p>
    <w:p w:rsidR="00482A76" w:rsidRPr="003C1D19" w:rsidRDefault="00482A76">
      <w:pPr>
        <w:rPr>
          <w:szCs w:val="20"/>
        </w:rPr>
      </w:pPr>
    </w:p>
    <w:p w:rsidR="002369EF" w:rsidRPr="003C1D19" w:rsidRDefault="002369EF">
      <w:pPr>
        <w:rPr>
          <w:szCs w:val="20"/>
        </w:rPr>
      </w:pPr>
    </w:p>
    <w:sectPr w:rsidR="002369EF" w:rsidRPr="003C1D19" w:rsidSect="003C1D19">
      <w:headerReference w:type="even" r:id="rId9"/>
      <w:headerReference w:type="default" r:id="rId10"/>
      <w:footerReference w:type="even" r:id="rId11"/>
      <w:footerReference w:type="default" r:id="rId12"/>
      <w:headerReference w:type="first" r:id="rId13"/>
      <w:pgSz w:w="11907" w:h="16839"/>
      <w:pgMar w:top="2160" w:right="1440" w:bottom="900" w:left="1377" w:header="562" w:footer="5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CDB" w:rsidRDefault="00895CDB">
      <w:pPr>
        <w:spacing w:line="240" w:lineRule="auto"/>
      </w:pPr>
      <w:r>
        <w:separator/>
      </w:r>
    </w:p>
  </w:endnote>
  <w:endnote w:type="continuationSeparator" w:id="0">
    <w:p w:rsidR="00895CDB" w:rsidRDefault="00895C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CD2" w:rsidRDefault="00934826">
    <w:pPr>
      <w:pStyle w:val="Footer"/>
    </w:pPr>
    <w:r>
      <w:fldChar w:fldCharType="begin"/>
    </w:r>
    <w:r>
      <w:instrText xml:space="preserve"> PAGE  \* MERGEFORMAT </w:instrText>
    </w:r>
    <w:r>
      <w:fldChar w:fldCharType="separate"/>
    </w:r>
    <w:r>
      <w:rPr>
        <w:noProof/>
      </w:rPr>
      <w:t>2</w:t>
    </w:r>
    <w:r>
      <w:rPr>
        <w:noProof/>
      </w:rPr>
      <w:fldChar w:fldCharType="end"/>
    </w:r>
    <w:r>
      <w:t xml:space="preserve"> of </w:t>
    </w:r>
    <w:fldSimple w:instr=" NUMPAGES  \* MERGEFORMAT ">
      <w:r w:rsidR="000D6481">
        <w:rPr>
          <w:noProof/>
        </w:rPr>
        <w:t>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CD2" w:rsidRDefault="00934826">
    <w:pPr>
      <w:pStyle w:val="Footer"/>
    </w:pPr>
    <w:r>
      <w:fldChar w:fldCharType="begin"/>
    </w:r>
    <w:r>
      <w:instrText xml:space="preserve"> PAGE  \* MERGEFORMAT </w:instrText>
    </w:r>
    <w:r>
      <w:fldChar w:fldCharType="separate"/>
    </w:r>
    <w:r w:rsidR="00AF6ED7">
      <w:rPr>
        <w:noProof/>
      </w:rPr>
      <w:t>2</w:t>
    </w:r>
    <w:r>
      <w:rPr>
        <w:noProof/>
      </w:rPr>
      <w:fldChar w:fldCharType="end"/>
    </w:r>
    <w:r>
      <w:t xml:space="preserve"> of </w:t>
    </w:r>
    <w:fldSimple w:instr=" NUMPAGES  \* MERGEFORMAT ">
      <w:r w:rsidR="00AF6ED7">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CDB" w:rsidRDefault="00895CDB">
      <w:pPr>
        <w:spacing w:line="240" w:lineRule="auto"/>
      </w:pPr>
      <w:r>
        <w:separator/>
      </w:r>
    </w:p>
  </w:footnote>
  <w:footnote w:type="continuationSeparator" w:id="0">
    <w:p w:rsidR="00895CDB" w:rsidRDefault="00895CD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CD2" w:rsidRDefault="00934826">
    <w:pPr>
      <w:pStyle w:val="Header"/>
    </w:pPr>
    <w:r>
      <w:rPr>
        <w:noProof/>
        <w:lang w:eastAsia="en-GB"/>
      </w:rPr>
      <w:drawing>
        <wp:anchor distT="0" distB="0" distL="114300" distR="114300" simplePos="0" relativeHeight="251661312" behindDoc="0" locked="1" layoutInCell="1" allowOverlap="1" wp14:anchorId="0A285A11" wp14:editId="491401FC">
          <wp:simplePos x="0" y="0"/>
          <wp:positionH relativeFrom="page">
            <wp:posOffset>354965</wp:posOffset>
          </wp:positionH>
          <wp:positionV relativeFrom="page">
            <wp:posOffset>90805</wp:posOffset>
          </wp:positionV>
          <wp:extent cx="1410970" cy="126873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10970" cy="1268730"/>
                  </a:xfrm>
                  <a:prstGeom prst="rect">
                    <a:avLst/>
                  </a:prstGeom>
                  <a:noFill/>
                </pic:spPr>
              </pic:pic>
            </a:graphicData>
          </a:graphic>
        </wp:anchor>
      </w:drawing>
    </w:r>
  </w:p>
  <w:p w:rsidR="00730CD2" w:rsidRDefault="00AF6E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CD2" w:rsidRDefault="00934826">
    <w:pPr>
      <w:pStyle w:val="Header"/>
    </w:pPr>
    <w:r>
      <w:rPr>
        <w:noProof/>
        <w:lang w:eastAsia="en-GB"/>
      </w:rPr>
      <w:drawing>
        <wp:anchor distT="0" distB="0" distL="114300" distR="114300" simplePos="0" relativeHeight="251660288" behindDoc="0" locked="1" layoutInCell="1" allowOverlap="1" wp14:anchorId="1F9D0926" wp14:editId="6674C028">
          <wp:simplePos x="0" y="0"/>
          <wp:positionH relativeFrom="page">
            <wp:posOffset>402590</wp:posOffset>
          </wp:positionH>
          <wp:positionV relativeFrom="page">
            <wp:posOffset>119380</wp:posOffset>
          </wp:positionV>
          <wp:extent cx="1410970" cy="126873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0970" cy="1268730"/>
                  </a:xfrm>
                  <a:prstGeom prst="rect">
                    <a:avLst/>
                  </a:prstGeom>
                  <a:noFill/>
                </pic:spPr>
              </pic:pic>
            </a:graphicData>
          </a:graphic>
        </wp:anchor>
      </w:drawing>
    </w:r>
  </w:p>
  <w:p w:rsidR="00730CD2" w:rsidRDefault="00AF6E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CD2" w:rsidRDefault="00934826">
    <w:pPr>
      <w:pStyle w:val="Header"/>
    </w:pPr>
    <w:r>
      <w:rPr>
        <w:noProof/>
        <w:lang w:eastAsia="en-GB"/>
      </w:rPr>
      <w:drawing>
        <wp:anchor distT="0" distB="0" distL="114300" distR="114300" simplePos="0" relativeHeight="251659264" behindDoc="0" locked="1" layoutInCell="1" allowOverlap="1" wp14:anchorId="27FCB811" wp14:editId="252E2F7B">
          <wp:simplePos x="0" y="0"/>
          <wp:positionH relativeFrom="page">
            <wp:posOffset>326390</wp:posOffset>
          </wp:positionH>
          <wp:positionV relativeFrom="page">
            <wp:posOffset>157480</wp:posOffset>
          </wp:positionV>
          <wp:extent cx="1410970" cy="1268730"/>
          <wp:effectExtent l="0" t="0" r="0" b="0"/>
          <wp:wrapNone/>
          <wp:docPr id="28" name="first_pa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_page_logo"/>
                  <pic:cNvPicPr>
                    <a:picLocks noChangeAspect="1" noChangeArrowheads="1"/>
                  </pic:cNvPicPr>
                </pic:nvPicPr>
                <pic:blipFill>
                  <a:blip r:embed="rId1"/>
                  <a:srcRect/>
                  <a:stretch>
                    <a:fillRect/>
                  </a:stretch>
                </pic:blipFill>
                <pic:spPr bwMode="auto">
                  <a:xfrm>
                    <a:off x="0" y="0"/>
                    <a:ext cx="1410970" cy="126873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40F38"/>
    <w:multiLevelType w:val="hybridMultilevel"/>
    <w:tmpl w:val="19426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C4C0A"/>
    <w:multiLevelType w:val="hybridMultilevel"/>
    <w:tmpl w:val="C068FCEE"/>
    <w:lvl w:ilvl="0" w:tplc="9D540A5C">
      <w:start w:val="200"/>
      <w:numFmt w:val="bullet"/>
      <w:lvlText w:val="•"/>
      <w:lvlJc w:val="left"/>
      <w:pPr>
        <w:ind w:left="1080" w:hanging="72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E0FA1"/>
    <w:multiLevelType w:val="hybridMultilevel"/>
    <w:tmpl w:val="802C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B7731"/>
    <w:multiLevelType w:val="hybridMultilevel"/>
    <w:tmpl w:val="83AE538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D69D7"/>
    <w:multiLevelType w:val="hybridMultilevel"/>
    <w:tmpl w:val="4C52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841AC"/>
    <w:multiLevelType w:val="hybridMultilevel"/>
    <w:tmpl w:val="0EBA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43704"/>
    <w:multiLevelType w:val="hybridMultilevel"/>
    <w:tmpl w:val="2D8E1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737E0"/>
    <w:multiLevelType w:val="hybridMultilevel"/>
    <w:tmpl w:val="A1FC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B4066"/>
    <w:multiLevelType w:val="hybridMultilevel"/>
    <w:tmpl w:val="A77A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7335D9"/>
    <w:multiLevelType w:val="hybridMultilevel"/>
    <w:tmpl w:val="261AF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6226EF"/>
    <w:multiLevelType w:val="hybridMultilevel"/>
    <w:tmpl w:val="1646C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7B3081"/>
    <w:multiLevelType w:val="hybridMultilevel"/>
    <w:tmpl w:val="FEBE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9F7B72"/>
    <w:multiLevelType w:val="hybridMultilevel"/>
    <w:tmpl w:val="276A5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DE1D9B"/>
    <w:multiLevelType w:val="hybridMultilevel"/>
    <w:tmpl w:val="0DA6E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1870DF"/>
    <w:multiLevelType w:val="hybridMultilevel"/>
    <w:tmpl w:val="D1D8F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62251F"/>
    <w:multiLevelType w:val="hybridMultilevel"/>
    <w:tmpl w:val="3F24BDFE"/>
    <w:lvl w:ilvl="0" w:tplc="58FC2F96">
      <w:start w:val="1"/>
      <w:numFmt w:val="decimal"/>
      <w:lvlText w:val="%1."/>
      <w:lvlJc w:val="left"/>
      <w:pPr>
        <w:ind w:left="1080" w:hanging="720"/>
      </w:pPr>
      <w:rPr>
        <w:rFonts w:asciiTheme="majorHAnsi" w:eastAsia="Calibri" w:hAnsiTheme="maj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5E2372"/>
    <w:multiLevelType w:val="hybridMultilevel"/>
    <w:tmpl w:val="F2042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D07BE9"/>
    <w:multiLevelType w:val="hybridMultilevel"/>
    <w:tmpl w:val="FB9C3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855A0E"/>
    <w:multiLevelType w:val="hybridMultilevel"/>
    <w:tmpl w:val="4336F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2C5A62"/>
    <w:multiLevelType w:val="hybridMultilevel"/>
    <w:tmpl w:val="B978A53E"/>
    <w:lvl w:ilvl="0" w:tplc="68A265DA">
      <w:start w:val="1"/>
      <w:numFmt w:val="decimal"/>
      <w:lvlText w:val="%1."/>
      <w:lvlJc w:val="left"/>
      <w:pPr>
        <w:ind w:left="720" w:hanging="360"/>
      </w:pPr>
      <w:rPr>
        <w:rFonts w:ascii="Georgia" w:hAnsi="Georgia"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4"/>
  </w:num>
  <w:num w:numId="4">
    <w:abstractNumId w:val="3"/>
  </w:num>
  <w:num w:numId="5">
    <w:abstractNumId w:val="9"/>
  </w:num>
  <w:num w:numId="6">
    <w:abstractNumId w:val="17"/>
  </w:num>
  <w:num w:numId="7">
    <w:abstractNumId w:val="13"/>
  </w:num>
  <w:num w:numId="8">
    <w:abstractNumId w:val="18"/>
  </w:num>
  <w:num w:numId="9">
    <w:abstractNumId w:val="1"/>
  </w:num>
  <w:num w:numId="10">
    <w:abstractNumId w:val="16"/>
  </w:num>
  <w:num w:numId="11">
    <w:abstractNumId w:val="15"/>
  </w:num>
  <w:num w:numId="12">
    <w:abstractNumId w:val="12"/>
  </w:num>
  <w:num w:numId="13">
    <w:abstractNumId w:val="5"/>
  </w:num>
  <w:num w:numId="14">
    <w:abstractNumId w:val="4"/>
  </w:num>
  <w:num w:numId="15">
    <w:abstractNumId w:val="7"/>
  </w:num>
  <w:num w:numId="16">
    <w:abstractNumId w:val="19"/>
  </w:num>
  <w:num w:numId="17">
    <w:abstractNumId w:val="8"/>
  </w:num>
  <w:num w:numId="18">
    <w:abstractNumId w:val="2"/>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826"/>
    <w:rsid w:val="0000138D"/>
    <w:rsid w:val="00012342"/>
    <w:rsid w:val="000152DD"/>
    <w:rsid w:val="00021EF9"/>
    <w:rsid w:val="00023FB5"/>
    <w:rsid w:val="00033625"/>
    <w:rsid w:val="00033F18"/>
    <w:rsid w:val="0005731A"/>
    <w:rsid w:val="000A52CF"/>
    <w:rsid w:val="000A554F"/>
    <w:rsid w:val="000B3DF3"/>
    <w:rsid w:val="000B3E21"/>
    <w:rsid w:val="000B45F0"/>
    <w:rsid w:val="000B55F0"/>
    <w:rsid w:val="000C5CCC"/>
    <w:rsid w:val="000D6481"/>
    <w:rsid w:val="000E0ACA"/>
    <w:rsid w:val="000E16B9"/>
    <w:rsid w:val="00117137"/>
    <w:rsid w:val="00134488"/>
    <w:rsid w:val="00174443"/>
    <w:rsid w:val="00176305"/>
    <w:rsid w:val="001954C2"/>
    <w:rsid w:val="001A3BFD"/>
    <w:rsid w:val="001A42F7"/>
    <w:rsid w:val="001B0303"/>
    <w:rsid w:val="001B0340"/>
    <w:rsid w:val="001C1FC0"/>
    <w:rsid w:val="001D688A"/>
    <w:rsid w:val="001E2DAC"/>
    <w:rsid w:val="001F10AB"/>
    <w:rsid w:val="00214E19"/>
    <w:rsid w:val="00225674"/>
    <w:rsid w:val="00235898"/>
    <w:rsid w:val="002369EF"/>
    <w:rsid w:val="00241A3E"/>
    <w:rsid w:val="00277590"/>
    <w:rsid w:val="002A1E03"/>
    <w:rsid w:val="002A6E81"/>
    <w:rsid w:val="002D7006"/>
    <w:rsid w:val="002D7D86"/>
    <w:rsid w:val="002E67C7"/>
    <w:rsid w:val="002F3597"/>
    <w:rsid w:val="002F48CE"/>
    <w:rsid w:val="00320630"/>
    <w:rsid w:val="0033779C"/>
    <w:rsid w:val="0037298D"/>
    <w:rsid w:val="00372F7B"/>
    <w:rsid w:val="00383734"/>
    <w:rsid w:val="003850A8"/>
    <w:rsid w:val="003866BD"/>
    <w:rsid w:val="0039030D"/>
    <w:rsid w:val="003A7905"/>
    <w:rsid w:val="003C1D19"/>
    <w:rsid w:val="003C38AD"/>
    <w:rsid w:val="003C7C6B"/>
    <w:rsid w:val="003E77A7"/>
    <w:rsid w:val="003F5C39"/>
    <w:rsid w:val="003F79B1"/>
    <w:rsid w:val="00412D22"/>
    <w:rsid w:val="00412FB5"/>
    <w:rsid w:val="00414382"/>
    <w:rsid w:val="00422180"/>
    <w:rsid w:val="004274D0"/>
    <w:rsid w:val="00451370"/>
    <w:rsid w:val="00453296"/>
    <w:rsid w:val="00482A76"/>
    <w:rsid w:val="00493E37"/>
    <w:rsid w:val="004B2ECE"/>
    <w:rsid w:val="004B744F"/>
    <w:rsid w:val="004C2B40"/>
    <w:rsid w:val="004E3744"/>
    <w:rsid w:val="004F5762"/>
    <w:rsid w:val="004F6B52"/>
    <w:rsid w:val="0052042F"/>
    <w:rsid w:val="00525CA0"/>
    <w:rsid w:val="00563FEB"/>
    <w:rsid w:val="00581B3D"/>
    <w:rsid w:val="005838B0"/>
    <w:rsid w:val="005844AF"/>
    <w:rsid w:val="00586B44"/>
    <w:rsid w:val="00591A4C"/>
    <w:rsid w:val="005A659C"/>
    <w:rsid w:val="005B0BF8"/>
    <w:rsid w:val="005C2717"/>
    <w:rsid w:val="005C36BE"/>
    <w:rsid w:val="005F5420"/>
    <w:rsid w:val="00636F82"/>
    <w:rsid w:val="00646250"/>
    <w:rsid w:val="0065354F"/>
    <w:rsid w:val="0065427F"/>
    <w:rsid w:val="006555C6"/>
    <w:rsid w:val="00671EC4"/>
    <w:rsid w:val="00672FB3"/>
    <w:rsid w:val="006849F3"/>
    <w:rsid w:val="00695872"/>
    <w:rsid w:val="0069709C"/>
    <w:rsid w:val="006B0290"/>
    <w:rsid w:val="006D5C63"/>
    <w:rsid w:val="006E1EDF"/>
    <w:rsid w:val="00707363"/>
    <w:rsid w:val="007262DB"/>
    <w:rsid w:val="0076192A"/>
    <w:rsid w:val="007718CF"/>
    <w:rsid w:val="0077628E"/>
    <w:rsid w:val="007958ED"/>
    <w:rsid w:val="007B30BC"/>
    <w:rsid w:val="007B380B"/>
    <w:rsid w:val="007B3E4F"/>
    <w:rsid w:val="007B7EF4"/>
    <w:rsid w:val="007D4965"/>
    <w:rsid w:val="007D5C07"/>
    <w:rsid w:val="00801DE4"/>
    <w:rsid w:val="00802BA0"/>
    <w:rsid w:val="0080313E"/>
    <w:rsid w:val="00810D22"/>
    <w:rsid w:val="00814C53"/>
    <w:rsid w:val="00821AF5"/>
    <w:rsid w:val="00830328"/>
    <w:rsid w:val="00842E91"/>
    <w:rsid w:val="0085067C"/>
    <w:rsid w:val="00853BC3"/>
    <w:rsid w:val="00861335"/>
    <w:rsid w:val="0086401C"/>
    <w:rsid w:val="008750EF"/>
    <w:rsid w:val="00895CDB"/>
    <w:rsid w:val="008B0E53"/>
    <w:rsid w:val="008B52BF"/>
    <w:rsid w:val="008B6EE5"/>
    <w:rsid w:val="008C1D6D"/>
    <w:rsid w:val="008D04E6"/>
    <w:rsid w:val="009032AC"/>
    <w:rsid w:val="00934826"/>
    <w:rsid w:val="009556B9"/>
    <w:rsid w:val="009569D4"/>
    <w:rsid w:val="00956FC4"/>
    <w:rsid w:val="00963693"/>
    <w:rsid w:val="009B3FF1"/>
    <w:rsid w:val="009B43F8"/>
    <w:rsid w:val="009B7B61"/>
    <w:rsid w:val="009B7E6A"/>
    <w:rsid w:val="009C65D1"/>
    <w:rsid w:val="009D3B88"/>
    <w:rsid w:val="009E365F"/>
    <w:rsid w:val="009E4591"/>
    <w:rsid w:val="009F66B8"/>
    <w:rsid w:val="00A006BB"/>
    <w:rsid w:val="00A06EE3"/>
    <w:rsid w:val="00A119E3"/>
    <w:rsid w:val="00A13AB2"/>
    <w:rsid w:val="00A16362"/>
    <w:rsid w:val="00A20925"/>
    <w:rsid w:val="00A370A8"/>
    <w:rsid w:val="00A42B83"/>
    <w:rsid w:val="00A65D85"/>
    <w:rsid w:val="00A80EA3"/>
    <w:rsid w:val="00A9189B"/>
    <w:rsid w:val="00AC1045"/>
    <w:rsid w:val="00AE364E"/>
    <w:rsid w:val="00AE6289"/>
    <w:rsid w:val="00AF6ED7"/>
    <w:rsid w:val="00AF7705"/>
    <w:rsid w:val="00B33BFD"/>
    <w:rsid w:val="00B409BB"/>
    <w:rsid w:val="00B43B71"/>
    <w:rsid w:val="00B43B88"/>
    <w:rsid w:val="00B63E06"/>
    <w:rsid w:val="00BA2438"/>
    <w:rsid w:val="00BB402D"/>
    <w:rsid w:val="00BD4335"/>
    <w:rsid w:val="00C1382B"/>
    <w:rsid w:val="00C14787"/>
    <w:rsid w:val="00C21381"/>
    <w:rsid w:val="00C40413"/>
    <w:rsid w:val="00C40B31"/>
    <w:rsid w:val="00C42238"/>
    <w:rsid w:val="00C450E2"/>
    <w:rsid w:val="00C60218"/>
    <w:rsid w:val="00C63675"/>
    <w:rsid w:val="00C70DF4"/>
    <w:rsid w:val="00C816BF"/>
    <w:rsid w:val="00CB6CD3"/>
    <w:rsid w:val="00CB705F"/>
    <w:rsid w:val="00CD62B0"/>
    <w:rsid w:val="00CF3D5E"/>
    <w:rsid w:val="00D12216"/>
    <w:rsid w:val="00D26E02"/>
    <w:rsid w:val="00D35E59"/>
    <w:rsid w:val="00D501E2"/>
    <w:rsid w:val="00D53110"/>
    <w:rsid w:val="00D57B1C"/>
    <w:rsid w:val="00D61C8A"/>
    <w:rsid w:val="00D66BA5"/>
    <w:rsid w:val="00D73213"/>
    <w:rsid w:val="00D84A78"/>
    <w:rsid w:val="00DA1BE3"/>
    <w:rsid w:val="00DB1B13"/>
    <w:rsid w:val="00DD2F23"/>
    <w:rsid w:val="00DD6583"/>
    <w:rsid w:val="00DD752F"/>
    <w:rsid w:val="00DF2E31"/>
    <w:rsid w:val="00E01F21"/>
    <w:rsid w:val="00E2728E"/>
    <w:rsid w:val="00E31094"/>
    <w:rsid w:val="00E50699"/>
    <w:rsid w:val="00E61887"/>
    <w:rsid w:val="00E6727B"/>
    <w:rsid w:val="00EE043F"/>
    <w:rsid w:val="00EE13F1"/>
    <w:rsid w:val="00EF50E9"/>
    <w:rsid w:val="00F00A04"/>
    <w:rsid w:val="00F04480"/>
    <w:rsid w:val="00F048AE"/>
    <w:rsid w:val="00F0648F"/>
    <w:rsid w:val="00F13A28"/>
    <w:rsid w:val="00F13E0A"/>
    <w:rsid w:val="00F151FA"/>
    <w:rsid w:val="00F243C8"/>
    <w:rsid w:val="00F24490"/>
    <w:rsid w:val="00F2652E"/>
    <w:rsid w:val="00F320E0"/>
    <w:rsid w:val="00F44924"/>
    <w:rsid w:val="00F4662A"/>
    <w:rsid w:val="00F66232"/>
    <w:rsid w:val="00F71BD8"/>
    <w:rsid w:val="00F91A72"/>
    <w:rsid w:val="00FB6285"/>
    <w:rsid w:val="00FC0251"/>
    <w:rsid w:val="00FC1EAE"/>
    <w:rsid w:val="00FD6C7F"/>
    <w:rsid w:val="00FE5E70"/>
    <w:rsid w:val="00FF0FEC"/>
    <w:rsid w:val="00FF53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F390A15-2E05-471A-82B0-AB1D4250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826"/>
    <w:pPr>
      <w:spacing w:after="0" w:line="240" w:lineRule="atLeast"/>
    </w:pPr>
    <w:rPr>
      <w:rFonts w:eastAsia="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4826"/>
    <w:pPr>
      <w:tabs>
        <w:tab w:val="center" w:pos="4513"/>
        <w:tab w:val="right" w:pos="9026"/>
      </w:tabs>
      <w:spacing w:line="240" w:lineRule="auto"/>
    </w:pPr>
  </w:style>
  <w:style w:type="character" w:customStyle="1" w:styleId="HeaderChar">
    <w:name w:val="Header Char"/>
    <w:basedOn w:val="DefaultParagraphFont"/>
    <w:link w:val="Header"/>
    <w:rsid w:val="00934826"/>
    <w:rPr>
      <w:rFonts w:eastAsia="Calibri" w:cs="Times New Roman"/>
      <w:lang w:val="en-GB"/>
    </w:rPr>
  </w:style>
  <w:style w:type="paragraph" w:styleId="Footer">
    <w:name w:val="footer"/>
    <w:basedOn w:val="Normal"/>
    <w:link w:val="FooterChar"/>
    <w:uiPriority w:val="99"/>
    <w:semiHidden/>
    <w:rsid w:val="00934826"/>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934826"/>
    <w:rPr>
      <w:rFonts w:eastAsia="Calibri" w:cs="Times New Roman"/>
      <w:lang w:val="en-GB"/>
    </w:rPr>
  </w:style>
  <w:style w:type="paragraph" w:styleId="Title">
    <w:name w:val="Title"/>
    <w:basedOn w:val="Normal"/>
    <w:next w:val="Normal"/>
    <w:link w:val="TitleChar"/>
    <w:uiPriority w:val="10"/>
    <w:qFormat/>
    <w:rsid w:val="00934826"/>
    <w:pPr>
      <w:pBdr>
        <w:top w:val="single" w:sz="8" w:space="1" w:color="DC6900"/>
      </w:pBdr>
      <w:spacing w:after="240" w:line="240" w:lineRule="auto"/>
      <w:contextualSpacing/>
    </w:pPr>
    <w:rPr>
      <w:rFonts w:ascii="Cambria" w:eastAsia="Times New Roman" w:hAnsi="Cambria"/>
      <w:b/>
      <w:i/>
      <w:color w:val="000000"/>
      <w:spacing w:val="5"/>
      <w:kern w:val="28"/>
      <w:sz w:val="24"/>
      <w:szCs w:val="52"/>
    </w:rPr>
  </w:style>
  <w:style w:type="character" w:customStyle="1" w:styleId="TitleChar">
    <w:name w:val="Title Char"/>
    <w:basedOn w:val="DefaultParagraphFont"/>
    <w:link w:val="Title"/>
    <w:uiPriority w:val="10"/>
    <w:rsid w:val="00934826"/>
    <w:rPr>
      <w:rFonts w:ascii="Cambria" w:eastAsia="Times New Roman" w:hAnsi="Cambria" w:cs="Times New Roman"/>
      <w:b/>
      <w:i/>
      <w:color w:val="000000"/>
      <w:spacing w:val="5"/>
      <w:kern w:val="28"/>
      <w:sz w:val="24"/>
      <w:szCs w:val="52"/>
      <w:lang w:val="en-GB"/>
    </w:rPr>
  </w:style>
  <w:style w:type="paragraph" w:styleId="ListParagraph">
    <w:name w:val="List Paragraph"/>
    <w:basedOn w:val="Normal"/>
    <w:uiPriority w:val="34"/>
    <w:unhideWhenUsed/>
    <w:qFormat/>
    <w:rsid w:val="00934826"/>
    <w:pPr>
      <w:spacing w:after="240"/>
      <w:ind w:left="720"/>
      <w:contextualSpacing/>
    </w:pPr>
    <w:rPr>
      <w:rFonts w:ascii="Calibri" w:eastAsia="Times New Roman" w:hAnsi="Calibri"/>
      <w:color w:val="000000"/>
      <w:sz w:val="21"/>
      <w:szCs w:val="21"/>
      <w:lang w:eastAsia="zh-CN"/>
    </w:rPr>
  </w:style>
  <w:style w:type="character" w:styleId="CommentReference">
    <w:name w:val="annotation reference"/>
    <w:basedOn w:val="DefaultParagraphFont"/>
    <w:uiPriority w:val="99"/>
    <w:semiHidden/>
    <w:unhideWhenUsed/>
    <w:rsid w:val="00934826"/>
    <w:rPr>
      <w:sz w:val="16"/>
      <w:szCs w:val="16"/>
    </w:rPr>
  </w:style>
  <w:style w:type="paragraph" w:styleId="CommentText">
    <w:name w:val="annotation text"/>
    <w:basedOn w:val="Normal"/>
    <w:link w:val="CommentTextChar"/>
    <w:uiPriority w:val="99"/>
    <w:semiHidden/>
    <w:unhideWhenUsed/>
    <w:rsid w:val="00934826"/>
    <w:pPr>
      <w:spacing w:line="240" w:lineRule="auto"/>
    </w:pPr>
    <w:rPr>
      <w:szCs w:val="20"/>
    </w:rPr>
  </w:style>
  <w:style w:type="character" w:customStyle="1" w:styleId="CommentTextChar">
    <w:name w:val="Comment Text Char"/>
    <w:basedOn w:val="DefaultParagraphFont"/>
    <w:link w:val="CommentText"/>
    <w:uiPriority w:val="99"/>
    <w:semiHidden/>
    <w:rsid w:val="00934826"/>
    <w:rPr>
      <w:rFonts w:eastAsia="Calibri" w:cs="Times New Roman"/>
      <w:szCs w:val="20"/>
      <w:lang w:val="en-GB"/>
    </w:rPr>
  </w:style>
  <w:style w:type="paragraph" w:styleId="BalloonText">
    <w:name w:val="Balloon Text"/>
    <w:basedOn w:val="Normal"/>
    <w:link w:val="BalloonTextChar"/>
    <w:uiPriority w:val="99"/>
    <w:semiHidden/>
    <w:unhideWhenUsed/>
    <w:rsid w:val="00F2652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52E"/>
    <w:rPr>
      <w:rFonts w:ascii="Segoe UI" w:eastAsia="Calibr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F2652E"/>
    <w:rPr>
      <w:b/>
      <w:bCs/>
    </w:rPr>
  </w:style>
  <w:style w:type="character" w:customStyle="1" w:styleId="CommentSubjectChar">
    <w:name w:val="Comment Subject Char"/>
    <w:basedOn w:val="CommentTextChar"/>
    <w:link w:val="CommentSubject"/>
    <w:uiPriority w:val="99"/>
    <w:semiHidden/>
    <w:rsid w:val="00F2652E"/>
    <w:rPr>
      <w:rFonts w:eastAsia="Calibri" w:cs="Times New Roman"/>
      <w:b/>
      <w:bCs/>
      <w:szCs w:val="20"/>
      <w:lang w:val="en-GB"/>
    </w:rPr>
  </w:style>
  <w:style w:type="paragraph" w:styleId="Revision">
    <w:name w:val="Revision"/>
    <w:hidden/>
    <w:uiPriority w:val="99"/>
    <w:semiHidden/>
    <w:rsid w:val="005A659C"/>
    <w:pPr>
      <w:spacing w:after="0" w:line="240" w:lineRule="auto"/>
    </w:pPr>
    <w:rPr>
      <w:rFonts w:eastAsia="Calibri" w:cs="Times New Roman"/>
      <w:lang w:val="en-GB"/>
    </w:rPr>
  </w:style>
  <w:style w:type="character" w:styleId="Hyperlink">
    <w:name w:val="Hyperlink"/>
    <w:basedOn w:val="DefaultParagraphFont"/>
    <w:uiPriority w:val="99"/>
    <w:unhideWhenUsed/>
    <w:rsid w:val="00412FB5"/>
    <w:rPr>
      <w:color w:val="0000FF" w:themeColor="hyperlink"/>
      <w:u w:val="single"/>
    </w:rPr>
  </w:style>
  <w:style w:type="character" w:customStyle="1" w:styleId="left">
    <w:name w:val="left"/>
    <w:basedOn w:val="DefaultParagraphFont"/>
    <w:rsid w:val="00453296"/>
  </w:style>
  <w:style w:type="paragraph" w:styleId="NormalWeb">
    <w:name w:val="Normal (Web)"/>
    <w:basedOn w:val="Normal"/>
    <w:uiPriority w:val="99"/>
    <w:unhideWhenUsed/>
    <w:rsid w:val="00AF7705"/>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AF7705"/>
    <w:rPr>
      <w:b/>
      <w:bCs/>
    </w:rPr>
  </w:style>
  <w:style w:type="character" w:customStyle="1" w:styleId="apple-converted-space">
    <w:name w:val="apple-converted-space"/>
    <w:basedOn w:val="DefaultParagraphFont"/>
    <w:rsid w:val="00AF7705"/>
  </w:style>
  <w:style w:type="character" w:styleId="Emphasis">
    <w:name w:val="Emphasis"/>
    <w:basedOn w:val="DefaultParagraphFont"/>
    <w:uiPriority w:val="20"/>
    <w:qFormat/>
    <w:rsid w:val="009D3B88"/>
    <w:rPr>
      <w:i/>
      <w:iCs/>
    </w:rPr>
  </w:style>
  <w:style w:type="table" w:styleId="TableGrid">
    <w:name w:val="Table Grid"/>
    <w:basedOn w:val="TableNormal"/>
    <w:uiPriority w:val="59"/>
    <w:rsid w:val="002369EF"/>
    <w:pPr>
      <w:spacing w:after="0" w:line="240" w:lineRule="auto"/>
    </w:pPr>
    <w:rPr>
      <w:rFonts w:ascii="Calibri" w:eastAsiaTheme="minorEastAsia" w:hAnsi="Calibri" w:cs="Times New Roman"/>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24329">
      <w:bodyDiv w:val="1"/>
      <w:marLeft w:val="0"/>
      <w:marRight w:val="0"/>
      <w:marTop w:val="0"/>
      <w:marBottom w:val="0"/>
      <w:divBdr>
        <w:top w:val="none" w:sz="0" w:space="0" w:color="auto"/>
        <w:left w:val="none" w:sz="0" w:space="0" w:color="auto"/>
        <w:bottom w:val="none" w:sz="0" w:space="0" w:color="auto"/>
        <w:right w:val="none" w:sz="0" w:space="0" w:color="auto"/>
      </w:divBdr>
    </w:div>
    <w:div w:id="240994614">
      <w:bodyDiv w:val="1"/>
      <w:marLeft w:val="0"/>
      <w:marRight w:val="0"/>
      <w:marTop w:val="0"/>
      <w:marBottom w:val="0"/>
      <w:divBdr>
        <w:top w:val="none" w:sz="0" w:space="0" w:color="auto"/>
        <w:left w:val="none" w:sz="0" w:space="0" w:color="auto"/>
        <w:bottom w:val="none" w:sz="0" w:space="0" w:color="auto"/>
        <w:right w:val="none" w:sz="0" w:space="0" w:color="auto"/>
      </w:divBdr>
    </w:div>
    <w:div w:id="381295868">
      <w:bodyDiv w:val="1"/>
      <w:marLeft w:val="0"/>
      <w:marRight w:val="0"/>
      <w:marTop w:val="0"/>
      <w:marBottom w:val="0"/>
      <w:divBdr>
        <w:top w:val="none" w:sz="0" w:space="0" w:color="auto"/>
        <w:left w:val="none" w:sz="0" w:space="0" w:color="auto"/>
        <w:bottom w:val="none" w:sz="0" w:space="0" w:color="auto"/>
        <w:right w:val="none" w:sz="0" w:space="0" w:color="auto"/>
      </w:divBdr>
      <w:divsChild>
        <w:div w:id="1033069541">
          <w:marLeft w:val="0"/>
          <w:marRight w:val="0"/>
          <w:marTop w:val="0"/>
          <w:marBottom w:val="0"/>
          <w:divBdr>
            <w:top w:val="none" w:sz="0" w:space="0" w:color="auto"/>
            <w:left w:val="none" w:sz="0" w:space="0" w:color="auto"/>
            <w:bottom w:val="none" w:sz="0" w:space="0" w:color="auto"/>
            <w:right w:val="none" w:sz="0" w:space="0" w:color="auto"/>
          </w:divBdr>
        </w:div>
        <w:div w:id="1669869261">
          <w:marLeft w:val="0"/>
          <w:marRight w:val="0"/>
          <w:marTop w:val="0"/>
          <w:marBottom w:val="0"/>
          <w:divBdr>
            <w:top w:val="none" w:sz="0" w:space="0" w:color="auto"/>
            <w:left w:val="none" w:sz="0" w:space="0" w:color="auto"/>
            <w:bottom w:val="none" w:sz="0" w:space="0" w:color="auto"/>
            <w:right w:val="none" w:sz="0" w:space="0" w:color="auto"/>
          </w:divBdr>
        </w:div>
      </w:divsChild>
    </w:div>
    <w:div w:id="1105617966">
      <w:bodyDiv w:val="1"/>
      <w:marLeft w:val="0"/>
      <w:marRight w:val="0"/>
      <w:marTop w:val="0"/>
      <w:marBottom w:val="0"/>
      <w:divBdr>
        <w:top w:val="none" w:sz="0" w:space="0" w:color="auto"/>
        <w:left w:val="none" w:sz="0" w:space="0" w:color="auto"/>
        <w:bottom w:val="none" w:sz="0" w:space="0" w:color="auto"/>
        <w:right w:val="none" w:sz="0" w:space="0" w:color="auto"/>
      </w:divBdr>
      <w:divsChild>
        <w:div w:id="1333490681">
          <w:marLeft w:val="0"/>
          <w:marRight w:val="0"/>
          <w:marTop w:val="0"/>
          <w:marBottom w:val="0"/>
          <w:divBdr>
            <w:top w:val="none" w:sz="0" w:space="0" w:color="auto"/>
            <w:left w:val="none" w:sz="0" w:space="0" w:color="auto"/>
            <w:bottom w:val="none" w:sz="0" w:space="0" w:color="auto"/>
            <w:right w:val="none" w:sz="0" w:space="0" w:color="auto"/>
          </w:divBdr>
          <w:divsChild>
            <w:div w:id="738752876">
              <w:marLeft w:val="0"/>
              <w:marRight w:val="0"/>
              <w:marTop w:val="0"/>
              <w:marBottom w:val="0"/>
              <w:divBdr>
                <w:top w:val="none" w:sz="0" w:space="0" w:color="auto"/>
                <w:left w:val="none" w:sz="0" w:space="0" w:color="auto"/>
                <w:bottom w:val="none" w:sz="0" w:space="0" w:color="auto"/>
                <w:right w:val="none" w:sz="0" w:space="0" w:color="auto"/>
              </w:divBdr>
              <w:divsChild>
                <w:div w:id="1019743160">
                  <w:marLeft w:val="0"/>
                  <w:marRight w:val="0"/>
                  <w:marTop w:val="0"/>
                  <w:marBottom w:val="0"/>
                  <w:divBdr>
                    <w:top w:val="none" w:sz="0" w:space="0" w:color="auto"/>
                    <w:left w:val="none" w:sz="0" w:space="0" w:color="auto"/>
                    <w:bottom w:val="none" w:sz="0" w:space="0" w:color="auto"/>
                    <w:right w:val="none" w:sz="0" w:space="0" w:color="auto"/>
                  </w:divBdr>
                  <w:divsChild>
                    <w:div w:id="880480535">
                      <w:marLeft w:val="0"/>
                      <w:marRight w:val="0"/>
                      <w:marTop w:val="0"/>
                      <w:marBottom w:val="0"/>
                      <w:divBdr>
                        <w:top w:val="none" w:sz="0" w:space="0" w:color="auto"/>
                        <w:left w:val="none" w:sz="0" w:space="0" w:color="auto"/>
                        <w:bottom w:val="none" w:sz="0" w:space="0" w:color="auto"/>
                        <w:right w:val="none" w:sz="0" w:space="0" w:color="auto"/>
                      </w:divBdr>
                      <w:divsChild>
                        <w:div w:id="1823810489">
                          <w:marLeft w:val="0"/>
                          <w:marRight w:val="0"/>
                          <w:marTop w:val="0"/>
                          <w:marBottom w:val="0"/>
                          <w:divBdr>
                            <w:top w:val="none" w:sz="0" w:space="0" w:color="auto"/>
                            <w:left w:val="none" w:sz="0" w:space="0" w:color="auto"/>
                            <w:bottom w:val="none" w:sz="0" w:space="0" w:color="auto"/>
                            <w:right w:val="none" w:sz="0" w:space="0" w:color="auto"/>
                          </w:divBdr>
                          <w:divsChild>
                            <w:div w:id="1270158073">
                              <w:marLeft w:val="0"/>
                              <w:marRight w:val="0"/>
                              <w:marTop w:val="0"/>
                              <w:marBottom w:val="0"/>
                              <w:divBdr>
                                <w:top w:val="none" w:sz="0" w:space="0" w:color="auto"/>
                                <w:left w:val="none" w:sz="0" w:space="0" w:color="auto"/>
                                <w:bottom w:val="none" w:sz="0" w:space="0" w:color="auto"/>
                                <w:right w:val="none" w:sz="0" w:space="0" w:color="auto"/>
                              </w:divBdr>
                              <w:divsChild>
                                <w:div w:id="1552963976">
                                  <w:marLeft w:val="0"/>
                                  <w:marRight w:val="0"/>
                                  <w:marTop w:val="0"/>
                                  <w:marBottom w:val="0"/>
                                  <w:divBdr>
                                    <w:top w:val="none" w:sz="0" w:space="0" w:color="auto"/>
                                    <w:left w:val="none" w:sz="0" w:space="0" w:color="auto"/>
                                    <w:bottom w:val="none" w:sz="0" w:space="0" w:color="auto"/>
                                    <w:right w:val="none" w:sz="0" w:space="0" w:color="auto"/>
                                  </w:divBdr>
                                  <w:divsChild>
                                    <w:div w:id="13317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1656">
                          <w:marLeft w:val="0"/>
                          <w:marRight w:val="0"/>
                          <w:marTop w:val="0"/>
                          <w:marBottom w:val="0"/>
                          <w:divBdr>
                            <w:top w:val="none" w:sz="0" w:space="0" w:color="auto"/>
                            <w:left w:val="none" w:sz="0" w:space="0" w:color="auto"/>
                            <w:bottom w:val="none" w:sz="0" w:space="0" w:color="auto"/>
                            <w:right w:val="none" w:sz="0" w:space="0" w:color="auto"/>
                          </w:divBdr>
                          <w:divsChild>
                            <w:div w:id="1801872558">
                              <w:marLeft w:val="0"/>
                              <w:marRight w:val="0"/>
                              <w:marTop w:val="0"/>
                              <w:marBottom w:val="0"/>
                              <w:divBdr>
                                <w:top w:val="none" w:sz="0" w:space="0" w:color="auto"/>
                                <w:left w:val="none" w:sz="0" w:space="0" w:color="auto"/>
                                <w:bottom w:val="none" w:sz="0" w:space="0" w:color="auto"/>
                                <w:right w:val="none" w:sz="0" w:space="0" w:color="auto"/>
                              </w:divBdr>
                              <w:divsChild>
                                <w:div w:id="1579703882">
                                  <w:marLeft w:val="0"/>
                                  <w:marRight w:val="0"/>
                                  <w:marTop w:val="0"/>
                                  <w:marBottom w:val="0"/>
                                  <w:divBdr>
                                    <w:top w:val="none" w:sz="0" w:space="0" w:color="auto"/>
                                    <w:left w:val="none" w:sz="0" w:space="0" w:color="auto"/>
                                    <w:bottom w:val="none" w:sz="0" w:space="0" w:color="auto"/>
                                    <w:right w:val="none" w:sz="0" w:space="0" w:color="auto"/>
                                  </w:divBdr>
                                  <w:divsChild>
                                    <w:div w:id="19867416">
                                      <w:marLeft w:val="0"/>
                                      <w:marRight w:val="0"/>
                                      <w:marTop w:val="0"/>
                                      <w:marBottom w:val="0"/>
                                      <w:divBdr>
                                        <w:top w:val="none" w:sz="0" w:space="0" w:color="auto"/>
                                        <w:left w:val="none" w:sz="0" w:space="0" w:color="auto"/>
                                        <w:bottom w:val="none" w:sz="0" w:space="0" w:color="auto"/>
                                        <w:right w:val="none" w:sz="0" w:space="0" w:color="auto"/>
                                      </w:divBdr>
                                      <w:divsChild>
                                        <w:div w:id="210102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7998535">
      <w:bodyDiv w:val="1"/>
      <w:marLeft w:val="0"/>
      <w:marRight w:val="0"/>
      <w:marTop w:val="0"/>
      <w:marBottom w:val="0"/>
      <w:divBdr>
        <w:top w:val="none" w:sz="0" w:space="0" w:color="auto"/>
        <w:left w:val="none" w:sz="0" w:space="0" w:color="auto"/>
        <w:bottom w:val="none" w:sz="0" w:space="0" w:color="auto"/>
        <w:right w:val="none" w:sz="0" w:space="0" w:color="auto"/>
      </w:divBdr>
    </w:div>
    <w:div w:id="1679766479">
      <w:bodyDiv w:val="1"/>
      <w:marLeft w:val="0"/>
      <w:marRight w:val="0"/>
      <w:marTop w:val="0"/>
      <w:marBottom w:val="0"/>
      <w:divBdr>
        <w:top w:val="none" w:sz="0" w:space="0" w:color="auto"/>
        <w:left w:val="none" w:sz="0" w:space="0" w:color="auto"/>
        <w:bottom w:val="none" w:sz="0" w:space="0" w:color="auto"/>
        <w:right w:val="none" w:sz="0" w:space="0" w:color="auto"/>
      </w:divBdr>
    </w:div>
    <w:div w:id="1915816408">
      <w:bodyDiv w:val="1"/>
      <w:marLeft w:val="0"/>
      <w:marRight w:val="0"/>
      <w:marTop w:val="0"/>
      <w:marBottom w:val="0"/>
      <w:divBdr>
        <w:top w:val="none" w:sz="0" w:space="0" w:color="auto"/>
        <w:left w:val="none" w:sz="0" w:space="0" w:color="auto"/>
        <w:bottom w:val="none" w:sz="0" w:space="0" w:color="auto"/>
        <w:right w:val="none" w:sz="0" w:space="0" w:color="auto"/>
      </w:divBdr>
    </w:div>
    <w:div w:id="1930889988">
      <w:bodyDiv w:val="1"/>
      <w:marLeft w:val="0"/>
      <w:marRight w:val="0"/>
      <w:marTop w:val="0"/>
      <w:marBottom w:val="0"/>
      <w:divBdr>
        <w:top w:val="none" w:sz="0" w:space="0" w:color="auto"/>
        <w:left w:val="none" w:sz="0" w:space="0" w:color="auto"/>
        <w:bottom w:val="none" w:sz="0" w:space="0" w:color="auto"/>
        <w:right w:val="none" w:sz="0" w:space="0" w:color="auto"/>
      </w:divBdr>
      <w:divsChild>
        <w:div w:id="389811687">
          <w:marLeft w:val="0"/>
          <w:marRight w:val="0"/>
          <w:marTop w:val="0"/>
          <w:marBottom w:val="0"/>
          <w:divBdr>
            <w:top w:val="none" w:sz="0" w:space="0" w:color="auto"/>
            <w:left w:val="none" w:sz="0" w:space="0" w:color="auto"/>
            <w:bottom w:val="none" w:sz="0" w:space="0" w:color="auto"/>
            <w:right w:val="none" w:sz="0" w:space="0" w:color="auto"/>
          </w:divBdr>
          <w:divsChild>
            <w:div w:id="1397629786">
              <w:marLeft w:val="0"/>
              <w:marRight w:val="0"/>
              <w:marTop w:val="0"/>
              <w:marBottom w:val="0"/>
              <w:divBdr>
                <w:top w:val="none" w:sz="0" w:space="0" w:color="auto"/>
                <w:left w:val="none" w:sz="0" w:space="0" w:color="auto"/>
                <w:bottom w:val="none" w:sz="0" w:space="0" w:color="auto"/>
                <w:right w:val="none" w:sz="0" w:space="0" w:color="auto"/>
              </w:divBdr>
            </w:div>
            <w:div w:id="1321153138">
              <w:marLeft w:val="0"/>
              <w:marRight w:val="0"/>
              <w:marTop w:val="0"/>
              <w:marBottom w:val="0"/>
              <w:divBdr>
                <w:top w:val="none" w:sz="0" w:space="0" w:color="auto"/>
                <w:left w:val="none" w:sz="0" w:space="0" w:color="auto"/>
                <w:bottom w:val="none" w:sz="0" w:space="0" w:color="auto"/>
                <w:right w:val="none" w:sz="0" w:space="0" w:color="auto"/>
              </w:divBdr>
            </w:div>
            <w:div w:id="1133018552">
              <w:marLeft w:val="0"/>
              <w:marRight w:val="0"/>
              <w:marTop w:val="0"/>
              <w:marBottom w:val="0"/>
              <w:divBdr>
                <w:top w:val="none" w:sz="0" w:space="0" w:color="auto"/>
                <w:left w:val="none" w:sz="0" w:space="0" w:color="auto"/>
                <w:bottom w:val="none" w:sz="0" w:space="0" w:color="auto"/>
                <w:right w:val="none" w:sz="0" w:space="0" w:color="auto"/>
              </w:divBdr>
              <w:divsChild>
                <w:div w:id="2056004128">
                  <w:marLeft w:val="0"/>
                  <w:marRight w:val="0"/>
                  <w:marTop w:val="0"/>
                  <w:marBottom w:val="0"/>
                  <w:divBdr>
                    <w:top w:val="none" w:sz="0" w:space="0" w:color="auto"/>
                    <w:left w:val="none" w:sz="0" w:space="0" w:color="auto"/>
                    <w:bottom w:val="none" w:sz="0" w:space="0" w:color="auto"/>
                    <w:right w:val="none" w:sz="0" w:space="0" w:color="auto"/>
                  </w:divBdr>
                  <w:divsChild>
                    <w:div w:id="1954357977">
                      <w:marLeft w:val="0"/>
                      <w:marRight w:val="0"/>
                      <w:marTop w:val="0"/>
                      <w:marBottom w:val="0"/>
                      <w:divBdr>
                        <w:top w:val="none" w:sz="0" w:space="0" w:color="auto"/>
                        <w:left w:val="none" w:sz="0" w:space="0" w:color="auto"/>
                        <w:bottom w:val="none" w:sz="0" w:space="0" w:color="auto"/>
                        <w:right w:val="none" w:sz="0" w:space="0" w:color="auto"/>
                      </w:divBdr>
                      <w:divsChild>
                        <w:div w:id="1928228341">
                          <w:marLeft w:val="0"/>
                          <w:marRight w:val="0"/>
                          <w:marTop w:val="0"/>
                          <w:marBottom w:val="0"/>
                          <w:divBdr>
                            <w:top w:val="none" w:sz="0" w:space="0" w:color="auto"/>
                            <w:left w:val="none" w:sz="0" w:space="0" w:color="auto"/>
                            <w:bottom w:val="none" w:sz="0" w:space="0" w:color="auto"/>
                            <w:right w:val="none" w:sz="0" w:space="0" w:color="auto"/>
                          </w:divBdr>
                          <w:divsChild>
                            <w:div w:id="1410150137">
                              <w:marLeft w:val="0"/>
                              <w:marRight w:val="0"/>
                              <w:marTop w:val="0"/>
                              <w:marBottom w:val="0"/>
                              <w:divBdr>
                                <w:top w:val="none" w:sz="0" w:space="0" w:color="auto"/>
                                <w:left w:val="none" w:sz="0" w:space="0" w:color="auto"/>
                                <w:bottom w:val="none" w:sz="0" w:space="0" w:color="auto"/>
                                <w:right w:val="none" w:sz="0" w:space="0" w:color="auto"/>
                              </w:divBdr>
                            </w:div>
                            <w:div w:id="48713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394494">
      <w:bodyDiv w:val="1"/>
      <w:marLeft w:val="0"/>
      <w:marRight w:val="0"/>
      <w:marTop w:val="0"/>
      <w:marBottom w:val="0"/>
      <w:divBdr>
        <w:top w:val="none" w:sz="0" w:space="0" w:color="auto"/>
        <w:left w:val="none" w:sz="0" w:space="0" w:color="auto"/>
        <w:bottom w:val="none" w:sz="0" w:space="0" w:color="auto"/>
        <w:right w:val="none" w:sz="0" w:space="0" w:color="auto"/>
      </w:divBdr>
    </w:div>
    <w:div w:id="213058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c.com/ceosurve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3CE71-66BD-4D28-8685-2D82BB34E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4213</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PricewaterhouseCoopers</Company>
  <LinksUpToDate>false</LinksUpToDate>
  <CharactersWithSpaces>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J Mearley</dc:creator>
  <cp:keywords/>
  <dc:description/>
  <cp:lastModifiedBy>Maya Bhatti</cp:lastModifiedBy>
  <cp:revision>2</cp:revision>
  <cp:lastPrinted>2017-02-07T23:10:00Z</cp:lastPrinted>
  <dcterms:created xsi:type="dcterms:W3CDTF">2017-02-10T18:57:00Z</dcterms:created>
  <dcterms:modified xsi:type="dcterms:W3CDTF">2017-02-10T18:57:00Z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SLxDOC_SAVED">
    <vt:lpwstr>1</vt:lpwstr>
  </property>
</Properties>
</file>