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2AA7" w14:textId="77777777" w:rsidR="003014BF" w:rsidRPr="00A20D0A" w:rsidRDefault="00EB41D7" w:rsidP="00FE046F">
      <w:pPr>
        <w:pStyle w:val="Title"/>
        <w:pBdr>
          <w:top w:val="single" w:sz="8" w:space="6" w:color="DC6900"/>
        </w:pBdr>
        <w:rPr>
          <w:rFonts w:ascii="Georgia" w:hAnsi="Georgia"/>
          <w:sz w:val="28"/>
          <w:szCs w:val="28"/>
        </w:rPr>
      </w:pPr>
      <w:r w:rsidRPr="00A20D0A">
        <w:rPr>
          <w:rFonts w:ascii="Georgia" w:hAnsi="Georgia"/>
          <w:sz w:val="28"/>
          <w:szCs w:val="28"/>
        </w:rPr>
        <w:t>News</w:t>
      </w:r>
      <w:r w:rsidR="00FD427C" w:rsidRPr="00A20D0A">
        <w:rPr>
          <w:rFonts w:ascii="Georgia" w:hAnsi="Georgia"/>
          <w:sz w:val="28"/>
          <w:szCs w:val="28"/>
        </w:rPr>
        <w:t xml:space="preserve"> r</w:t>
      </w:r>
      <w:r w:rsidR="00B915A4" w:rsidRPr="00A20D0A">
        <w:rPr>
          <w:rFonts w:ascii="Georgia" w:hAnsi="Georgia"/>
          <w:sz w:val="28"/>
          <w:szCs w:val="28"/>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3014BF" w:rsidRPr="00A20D0A" w14:paraId="01956BEC" w14:textId="77777777" w:rsidTr="00A611CA">
        <w:tc>
          <w:tcPr>
            <w:tcW w:w="2268" w:type="dxa"/>
            <w:shd w:val="clear" w:color="auto" w:fill="auto"/>
          </w:tcPr>
          <w:p w14:paraId="50910C41" w14:textId="77777777" w:rsidR="003014BF" w:rsidRPr="00A20D0A" w:rsidRDefault="00EB59E8">
            <w:pPr>
              <w:rPr>
                <w:i/>
                <w:sz w:val="22"/>
              </w:rPr>
            </w:pPr>
            <w:r w:rsidRPr="00A20D0A">
              <w:rPr>
                <w:i/>
                <w:sz w:val="22"/>
              </w:rPr>
              <w:t>Date</w:t>
            </w:r>
          </w:p>
        </w:tc>
        <w:tc>
          <w:tcPr>
            <w:tcW w:w="6629" w:type="dxa"/>
            <w:shd w:val="clear" w:color="auto" w:fill="auto"/>
          </w:tcPr>
          <w:p w14:paraId="5724D04B" w14:textId="77777777" w:rsidR="00850F9A" w:rsidRDefault="00850F9A" w:rsidP="00850F9A">
            <w:pPr>
              <w:rPr>
                <w:b/>
                <w:color w:val="000000" w:themeColor="text1"/>
                <w:sz w:val="22"/>
              </w:rPr>
            </w:pPr>
            <w:r>
              <w:rPr>
                <w:b/>
                <w:color w:val="000000" w:themeColor="text1"/>
                <w:sz w:val="22"/>
              </w:rPr>
              <w:t>0:01am</w:t>
            </w:r>
            <w:r w:rsidRPr="00DB7A31">
              <w:rPr>
                <w:b/>
                <w:color w:val="000000" w:themeColor="text1"/>
                <w:sz w:val="22"/>
              </w:rPr>
              <w:t xml:space="preserve"> </w:t>
            </w:r>
            <w:r>
              <w:rPr>
                <w:b/>
                <w:color w:val="000000" w:themeColor="text1"/>
                <w:sz w:val="22"/>
              </w:rPr>
              <w:t>GMT</w:t>
            </w:r>
            <w:r w:rsidRPr="00DB7A31">
              <w:rPr>
                <w:b/>
                <w:color w:val="000000" w:themeColor="text1"/>
                <w:sz w:val="22"/>
              </w:rPr>
              <w:t xml:space="preserve"> </w:t>
            </w:r>
            <w:r>
              <w:rPr>
                <w:b/>
                <w:color w:val="000000" w:themeColor="text1"/>
                <w:sz w:val="22"/>
              </w:rPr>
              <w:t>on Tuesday 24</w:t>
            </w:r>
            <w:r>
              <w:rPr>
                <w:b/>
                <w:color w:val="000000" w:themeColor="text1"/>
                <w:sz w:val="22"/>
                <w:vertAlign w:val="superscript"/>
              </w:rPr>
              <w:t>th</w:t>
            </w:r>
            <w:r>
              <w:rPr>
                <w:b/>
                <w:color w:val="000000" w:themeColor="text1"/>
                <w:sz w:val="22"/>
              </w:rPr>
              <w:t xml:space="preserve"> of January 2017</w:t>
            </w:r>
          </w:p>
          <w:p w14:paraId="178FC56C" w14:textId="4437AD84" w:rsidR="000E5BB5" w:rsidRPr="00A20D0A" w:rsidRDefault="000E5BB5" w:rsidP="000E5BB5">
            <w:pPr>
              <w:rPr>
                <w:b/>
                <w:sz w:val="22"/>
              </w:rPr>
            </w:pPr>
          </w:p>
        </w:tc>
      </w:tr>
      <w:tr w:rsidR="003014BF" w:rsidRPr="00A20D0A" w14:paraId="6FEFE2FF" w14:textId="77777777" w:rsidTr="00A611CA">
        <w:tc>
          <w:tcPr>
            <w:tcW w:w="2268" w:type="dxa"/>
            <w:shd w:val="clear" w:color="auto" w:fill="auto"/>
          </w:tcPr>
          <w:p w14:paraId="5C59EC3D" w14:textId="378A6566" w:rsidR="003014BF" w:rsidRPr="00A20D0A" w:rsidRDefault="00EB59E8">
            <w:pPr>
              <w:rPr>
                <w:i/>
                <w:sz w:val="22"/>
              </w:rPr>
            </w:pPr>
            <w:r w:rsidRPr="00A20D0A">
              <w:rPr>
                <w:i/>
                <w:sz w:val="22"/>
              </w:rPr>
              <w:t>Contact</w:t>
            </w:r>
          </w:p>
        </w:tc>
        <w:tc>
          <w:tcPr>
            <w:tcW w:w="6629" w:type="dxa"/>
            <w:shd w:val="clear" w:color="auto" w:fill="auto"/>
          </w:tcPr>
          <w:p w14:paraId="376A8CDA" w14:textId="7BC95CAA" w:rsidR="00D95AB0" w:rsidRPr="00850F9A" w:rsidRDefault="00D95AB0" w:rsidP="00D95AB0">
            <w:pPr>
              <w:tabs>
                <w:tab w:val="left" w:pos="1440"/>
              </w:tabs>
              <w:ind w:left="1440" w:hanging="1440"/>
              <w:rPr>
                <w:rFonts w:cs="Arial"/>
                <w:sz w:val="22"/>
              </w:rPr>
            </w:pPr>
            <w:r w:rsidRPr="00850F9A">
              <w:rPr>
                <w:rFonts w:cs="Arial"/>
                <w:bCs/>
                <w:sz w:val="22"/>
              </w:rPr>
              <w:t>Joost Blankenspoor, PwC</w:t>
            </w:r>
          </w:p>
          <w:p w14:paraId="0DAA6B01" w14:textId="77777777" w:rsidR="00D95AB0" w:rsidRPr="00850F9A" w:rsidRDefault="00D95AB0" w:rsidP="00D95AB0">
            <w:pPr>
              <w:tabs>
                <w:tab w:val="left" w:pos="1440"/>
              </w:tabs>
              <w:ind w:left="1440" w:hanging="1440"/>
              <w:rPr>
                <w:rFonts w:cs="Arial"/>
                <w:sz w:val="22"/>
              </w:rPr>
            </w:pPr>
            <w:r w:rsidRPr="00850F9A">
              <w:rPr>
                <w:rFonts w:cs="Arial"/>
                <w:sz w:val="22"/>
              </w:rPr>
              <w:t>Tel: +31 88 792 6596</w:t>
            </w:r>
          </w:p>
          <w:p w14:paraId="3F064E1F" w14:textId="5F77BC66" w:rsidR="00C20808" w:rsidRPr="00850F9A" w:rsidRDefault="00D95AB0" w:rsidP="001550F4">
            <w:pPr>
              <w:tabs>
                <w:tab w:val="left" w:pos="1440"/>
              </w:tabs>
              <w:ind w:left="1440" w:hanging="1440"/>
              <w:rPr>
                <w:rFonts w:cs="Arial"/>
                <w:color w:val="000000" w:themeColor="text1"/>
                <w:sz w:val="22"/>
              </w:rPr>
            </w:pPr>
            <w:r w:rsidRPr="00850F9A">
              <w:rPr>
                <w:rFonts w:cs="Arial"/>
                <w:sz w:val="22"/>
              </w:rPr>
              <w:t>e-mail:</w:t>
            </w:r>
            <w:r w:rsidRPr="00850F9A">
              <w:rPr>
                <w:rFonts w:cs="Arial"/>
                <w:color w:val="000000" w:themeColor="text1"/>
                <w:sz w:val="22"/>
              </w:rPr>
              <w:t xml:space="preserve"> </w:t>
            </w:r>
            <w:hyperlink r:id="rId8" w:history="1">
              <w:r w:rsidRPr="00850F9A">
                <w:rPr>
                  <w:rStyle w:val="Hyperlink"/>
                  <w:rFonts w:cs="Arial"/>
                  <w:sz w:val="22"/>
                </w:rPr>
                <w:t>joost.blankenspoor@nl.pwc.com</w:t>
              </w:r>
            </w:hyperlink>
            <w:r w:rsidR="00DB7A31" w:rsidRPr="00850F9A">
              <w:rPr>
                <w:rFonts w:cs="Arial"/>
                <w:color w:val="000000" w:themeColor="text1"/>
                <w:sz w:val="22"/>
              </w:rPr>
              <w:t xml:space="preserve"> </w:t>
            </w:r>
          </w:p>
        </w:tc>
      </w:tr>
      <w:tr w:rsidR="003014BF" w:rsidRPr="00A20D0A" w14:paraId="734FFAE7" w14:textId="77777777" w:rsidTr="00A611CA">
        <w:tc>
          <w:tcPr>
            <w:tcW w:w="2268" w:type="dxa"/>
            <w:shd w:val="clear" w:color="auto" w:fill="auto"/>
          </w:tcPr>
          <w:p w14:paraId="60E4502A" w14:textId="7A35CCA6" w:rsidR="00A43813" w:rsidRPr="00850F9A" w:rsidRDefault="00A43813">
            <w:pPr>
              <w:rPr>
                <w:i/>
                <w:sz w:val="22"/>
              </w:rPr>
            </w:pPr>
          </w:p>
          <w:p w14:paraId="31E43B18" w14:textId="0785C141" w:rsidR="00A43813" w:rsidRPr="00850F9A" w:rsidRDefault="00A43813">
            <w:pPr>
              <w:rPr>
                <w:i/>
                <w:sz w:val="22"/>
              </w:rPr>
            </w:pPr>
          </w:p>
          <w:p w14:paraId="1BBBC769" w14:textId="42FE8B1F" w:rsidR="00A43813" w:rsidRPr="00850F9A" w:rsidRDefault="00A43813">
            <w:pPr>
              <w:rPr>
                <w:i/>
                <w:sz w:val="22"/>
              </w:rPr>
            </w:pPr>
          </w:p>
          <w:p w14:paraId="0DDDC9C2" w14:textId="0A11EA6B" w:rsidR="00A12B7C" w:rsidRPr="00850F9A" w:rsidRDefault="00A12B7C">
            <w:pPr>
              <w:rPr>
                <w:i/>
                <w:sz w:val="22"/>
              </w:rPr>
            </w:pPr>
          </w:p>
          <w:p w14:paraId="6071494E" w14:textId="477735A5" w:rsidR="003014BF" w:rsidRPr="00F904D0" w:rsidRDefault="00CF1E36">
            <w:pPr>
              <w:rPr>
                <w:i/>
                <w:sz w:val="22"/>
              </w:rPr>
            </w:pPr>
            <w:r w:rsidRPr="00F904D0">
              <w:rPr>
                <w:i/>
                <w:sz w:val="22"/>
              </w:rPr>
              <w:t>Pages</w:t>
            </w:r>
          </w:p>
        </w:tc>
        <w:tc>
          <w:tcPr>
            <w:tcW w:w="6629" w:type="dxa"/>
            <w:shd w:val="clear" w:color="auto" w:fill="auto"/>
          </w:tcPr>
          <w:p w14:paraId="4732D213" w14:textId="77777777" w:rsidR="00073420" w:rsidRPr="00F904D0" w:rsidRDefault="00073420" w:rsidP="00073420">
            <w:pPr>
              <w:rPr>
                <w:sz w:val="22"/>
              </w:rPr>
            </w:pPr>
          </w:p>
          <w:p w14:paraId="03B1F3D4" w14:textId="11068DBE" w:rsidR="007112C6" w:rsidRPr="00850F9A" w:rsidRDefault="00A43813" w:rsidP="00A43813">
            <w:r w:rsidRPr="00A20D0A">
              <w:rPr>
                <w:color w:val="000000" w:themeColor="text1"/>
                <w:sz w:val="22"/>
              </w:rPr>
              <w:t xml:space="preserve">More details: </w:t>
            </w:r>
            <w:hyperlink r:id="rId9" w:history="1">
              <w:r w:rsidR="00AE2AE8" w:rsidRPr="000B38C6">
                <w:rPr>
                  <w:rStyle w:val="Hyperlink"/>
                </w:rPr>
                <w:t>http://pwc.to/2jctwS5</w:t>
              </w:r>
            </w:hyperlink>
          </w:p>
          <w:p w14:paraId="5CE3C615" w14:textId="4B3E916E" w:rsidR="00A43813" w:rsidRPr="00A20D0A" w:rsidRDefault="00A43813" w:rsidP="00A43813">
            <w:pPr>
              <w:rPr>
                <w:color w:val="000000" w:themeColor="text1"/>
                <w:sz w:val="22"/>
              </w:rPr>
            </w:pPr>
            <w:r w:rsidRPr="00F904D0">
              <w:rPr>
                <w:color w:val="000000" w:themeColor="text1"/>
                <w:sz w:val="22"/>
              </w:rPr>
              <w:t>Follow/retweet: @</w:t>
            </w:r>
            <w:r w:rsidR="00AE3B4D" w:rsidRPr="00A20D0A">
              <w:rPr>
                <w:color w:val="000000" w:themeColor="text1"/>
                <w:sz w:val="22"/>
              </w:rPr>
              <w:t>PwC</w:t>
            </w:r>
          </w:p>
          <w:p w14:paraId="29330B11" w14:textId="5E24B6E3" w:rsidR="00A43813" w:rsidRPr="00850F9A" w:rsidRDefault="00A43813">
            <w:pPr>
              <w:rPr>
                <w:sz w:val="22"/>
              </w:rPr>
            </w:pPr>
          </w:p>
          <w:p w14:paraId="263C532F" w14:textId="1F05CA4B" w:rsidR="003014BF" w:rsidRPr="00F904D0" w:rsidRDefault="00351C2A">
            <w:pPr>
              <w:rPr>
                <w:sz w:val="22"/>
              </w:rPr>
            </w:pPr>
            <w:r w:rsidRPr="00F904D0">
              <w:rPr>
                <w:sz w:val="22"/>
              </w:rPr>
              <w:t>3</w:t>
            </w:r>
          </w:p>
        </w:tc>
      </w:tr>
    </w:tbl>
    <w:p w14:paraId="26C9F69B" w14:textId="17712F03" w:rsidR="001550F4" w:rsidRPr="00850F9A" w:rsidRDefault="001550F4" w:rsidP="001550F4">
      <w:pPr>
        <w:autoSpaceDE w:val="0"/>
        <w:autoSpaceDN w:val="0"/>
        <w:adjustRightInd w:val="0"/>
        <w:spacing w:line="240" w:lineRule="auto"/>
        <w:rPr>
          <w:rFonts w:cs="CharterITC-Regu"/>
          <w:b/>
          <w:color w:val="000000" w:themeColor="text1"/>
          <w:sz w:val="28"/>
          <w:szCs w:val="28"/>
        </w:rPr>
      </w:pPr>
      <w:r w:rsidRPr="00991A93">
        <w:rPr>
          <w:noProof/>
          <w:sz w:val="22"/>
          <w:lang w:val="en-US"/>
        </w:rPr>
        <mc:AlternateContent>
          <mc:Choice Requires="wps">
            <w:drawing>
              <wp:anchor distT="4294967295" distB="4294967295" distL="114300" distR="114300" simplePos="0" relativeHeight="251657728" behindDoc="0" locked="0" layoutInCell="1" allowOverlap="1" wp14:anchorId="3260218C" wp14:editId="1B13FD32">
                <wp:simplePos x="0" y="0"/>
                <wp:positionH relativeFrom="margin">
                  <wp:align>left</wp:align>
                </wp:positionH>
                <wp:positionV relativeFrom="page">
                  <wp:posOffset>4184765</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2452" id="Line 3" o:spid="_x0000_s1026" style="position:absolute;z-index:25165772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329.5pt" to="455.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" strokecolor="#e36c0a">
                <w10:wrap anchorx="margin" anchory="page"/>
              </v:line>
            </w:pict>
          </mc:Fallback>
        </mc:AlternateContent>
      </w:r>
    </w:p>
    <w:p w14:paraId="0AC99F3A" w14:textId="77777777" w:rsidR="00351C2A" w:rsidRPr="00850F9A" w:rsidRDefault="00351C2A" w:rsidP="00351C2A">
      <w:pPr>
        <w:autoSpaceDE w:val="0"/>
        <w:autoSpaceDN w:val="0"/>
        <w:adjustRightInd w:val="0"/>
        <w:spacing w:line="240" w:lineRule="auto"/>
        <w:jc w:val="center"/>
        <w:rPr>
          <w:b/>
          <w:sz w:val="22"/>
        </w:rPr>
      </w:pPr>
    </w:p>
    <w:p w14:paraId="5F30BD77" w14:textId="3719E8E0" w:rsidR="00A53974" w:rsidRPr="00DB6992" w:rsidRDefault="00A53974" w:rsidP="00351C2A">
      <w:pPr>
        <w:autoSpaceDE w:val="0"/>
        <w:autoSpaceDN w:val="0"/>
        <w:adjustRightInd w:val="0"/>
        <w:spacing w:line="240" w:lineRule="auto"/>
        <w:jc w:val="center"/>
        <w:rPr>
          <w:b/>
          <w:sz w:val="22"/>
        </w:rPr>
      </w:pPr>
      <w:r w:rsidRPr="00C1474D">
        <w:rPr>
          <w:b/>
          <w:sz w:val="22"/>
        </w:rPr>
        <w:t>P</w:t>
      </w:r>
      <w:r w:rsidR="00F32364" w:rsidRPr="00C1474D">
        <w:rPr>
          <w:b/>
          <w:sz w:val="22"/>
        </w:rPr>
        <w:t>w</w:t>
      </w:r>
      <w:r w:rsidRPr="00C1474D">
        <w:rPr>
          <w:b/>
          <w:sz w:val="22"/>
        </w:rPr>
        <w:t>C</w:t>
      </w:r>
      <w:r w:rsidR="00C1474D" w:rsidRPr="00C1474D">
        <w:rPr>
          <w:b/>
          <w:sz w:val="22"/>
        </w:rPr>
        <w:t xml:space="preserve"> </w:t>
      </w:r>
      <w:r w:rsidR="00C1474D" w:rsidRPr="00547B51">
        <w:rPr>
          <w:rFonts w:cs="CharterITCStd-Regular"/>
          <w:b/>
          <w:sz w:val="22"/>
        </w:rPr>
        <w:t xml:space="preserve">analyses growth opportunities across six </w:t>
      </w:r>
      <w:r w:rsidR="004A3D60">
        <w:rPr>
          <w:rFonts w:cs="CharterITCStd-Regular"/>
          <w:b/>
          <w:sz w:val="22"/>
        </w:rPr>
        <w:t>key</w:t>
      </w:r>
      <w:r w:rsidR="00C1474D" w:rsidRPr="00547B51">
        <w:rPr>
          <w:rFonts w:cs="CharterITCStd-Regular"/>
          <w:b/>
          <w:sz w:val="22"/>
        </w:rPr>
        <w:t xml:space="preserve"> sectors in developing</w:t>
      </w:r>
      <w:r w:rsidR="00C1474D" w:rsidRPr="00547B51">
        <w:rPr>
          <w:rFonts w:cs="CharterITCStd-Regular"/>
          <w:b/>
          <w:szCs w:val="20"/>
        </w:rPr>
        <w:t xml:space="preserve"> </w:t>
      </w:r>
      <w:r w:rsidR="00C1474D" w:rsidRPr="00547B51">
        <w:rPr>
          <w:rFonts w:cs="CharterITCStd-Regular"/>
          <w:b/>
          <w:sz w:val="22"/>
        </w:rPr>
        <w:t>markets</w:t>
      </w:r>
    </w:p>
    <w:p w14:paraId="5523EC01" w14:textId="77777777" w:rsidR="00351C2A" w:rsidRPr="00850F9A" w:rsidRDefault="00351C2A" w:rsidP="00351C2A">
      <w:pPr>
        <w:autoSpaceDE w:val="0"/>
        <w:autoSpaceDN w:val="0"/>
        <w:adjustRightInd w:val="0"/>
        <w:spacing w:line="240" w:lineRule="auto"/>
        <w:rPr>
          <w:b/>
          <w:sz w:val="22"/>
        </w:rPr>
      </w:pPr>
    </w:p>
    <w:p w14:paraId="73BF4CA6" w14:textId="58A72B58" w:rsidR="00A20D0A" w:rsidRPr="00850F9A" w:rsidRDefault="0068344E" w:rsidP="00A20D0A">
      <w:pPr>
        <w:autoSpaceDE w:val="0"/>
        <w:autoSpaceDN w:val="0"/>
        <w:adjustRightInd w:val="0"/>
        <w:spacing w:line="240" w:lineRule="auto"/>
        <w:rPr>
          <w:rFonts w:cs="CharterITCStd-Regular"/>
          <w:szCs w:val="20"/>
        </w:rPr>
      </w:pPr>
      <w:r w:rsidRPr="00850F9A">
        <w:rPr>
          <w:rFonts w:cs="CharterITCStd-Regular"/>
          <w:szCs w:val="20"/>
        </w:rPr>
        <w:t xml:space="preserve">PwC’s </w:t>
      </w:r>
      <w:r w:rsidRPr="00850F9A">
        <w:rPr>
          <w:szCs w:val="20"/>
        </w:rPr>
        <w:t>Growth Markets Centre</w:t>
      </w:r>
      <w:r w:rsidR="00A20D0A" w:rsidRPr="00850F9A">
        <w:rPr>
          <w:szCs w:val="20"/>
        </w:rPr>
        <w:t xml:space="preserve"> </w:t>
      </w:r>
      <w:r w:rsidRPr="00850F9A">
        <w:rPr>
          <w:rFonts w:cs="CharterITCStd-Regular"/>
          <w:szCs w:val="20"/>
        </w:rPr>
        <w:t xml:space="preserve">has recently launched </w:t>
      </w:r>
      <w:r w:rsidR="00634DFE">
        <w:rPr>
          <w:rFonts w:cs="CharterITCStd-Regular"/>
          <w:szCs w:val="20"/>
        </w:rPr>
        <w:t xml:space="preserve">its 2017 </w:t>
      </w:r>
      <w:r w:rsidR="00253931" w:rsidRPr="00850F9A">
        <w:rPr>
          <w:rFonts w:cs="CharterITCStd-Regular"/>
          <w:szCs w:val="20"/>
        </w:rPr>
        <w:t xml:space="preserve">annual report titled </w:t>
      </w:r>
      <w:r w:rsidR="00253931" w:rsidRPr="00850F9A">
        <w:rPr>
          <w:szCs w:val="20"/>
        </w:rPr>
        <w:t>‘Winning in maturing markets’,</w:t>
      </w:r>
      <w:r w:rsidRPr="00850F9A">
        <w:rPr>
          <w:rFonts w:cs="CharterITCStd-Regular"/>
          <w:szCs w:val="20"/>
        </w:rPr>
        <w:t xml:space="preserve"> which </w:t>
      </w:r>
      <w:r w:rsidR="00A20D0A" w:rsidRPr="00850F9A">
        <w:rPr>
          <w:rFonts w:cs="CharterITCStd-Regular"/>
          <w:szCs w:val="20"/>
        </w:rPr>
        <w:t>focuses on understanding growth opportunities in developing markets, in an era marked by sluggish global growth and rising economic and political uncertainties in the developed parts of the world.</w:t>
      </w:r>
    </w:p>
    <w:p w14:paraId="649459E0" w14:textId="77777777" w:rsidR="00A20D0A" w:rsidRPr="00850F9A" w:rsidRDefault="00A20D0A" w:rsidP="00A20D0A">
      <w:pPr>
        <w:autoSpaceDE w:val="0"/>
        <w:autoSpaceDN w:val="0"/>
        <w:adjustRightInd w:val="0"/>
        <w:spacing w:line="240" w:lineRule="auto"/>
        <w:rPr>
          <w:rFonts w:cs="CharterITCStd-Regular"/>
          <w:szCs w:val="20"/>
        </w:rPr>
      </w:pPr>
    </w:p>
    <w:p w14:paraId="4430BB72" w14:textId="209E12E0" w:rsidR="00A20D0A" w:rsidRPr="00850F9A" w:rsidRDefault="00A20D0A" w:rsidP="00A20D0A">
      <w:pPr>
        <w:autoSpaceDE w:val="0"/>
        <w:autoSpaceDN w:val="0"/>
        <w:adjustRightInd w:val="0"/>
        <w:spacing w:line="240" w:lineRule="auto"/>
        <w:rPr>
          <w:rFonts w:cs="CharterITCStd-Regular"/>
          <w:szCs w:val="20"/>
        </w:rPr>
      </w:pPr>
      <w:r w:rsidRPr="00850F9A">
        <w:rPr>
          <w:rFonts w:cs="CharterITCStd-Regular"/>
          <w:szCs w:val="20"/>
        </w:rPr>
        <w:t xml:space="preserve">The report analyses growth opportunities across six </w:t>
      </w:r>
      <w:r w:rsidR="00EB35DE">
        <w:rPr>
          <w:rFonts w:cs="CharterITCStd-Regular"/>
          <w:szCs w:val="20"/>
        </w:rPr>
        <w:t>key</w:t>
      </w:r>
      <w:r w:rsidR="00EB35DE" w:rsidRPr="00850F9A">
        <w:rPr>
          <w:rFonts w:cs="CharterITCStd-Regular"/>
          <w:szCs w:val="20"/>
        </w:rPr>
        <w:t xml:space="preserve"> </w:t>
      </w:r>
      <w:r w:rsidRPr="00850F9A">
        <w:rPr>
          <w:rFonts w:cs="CharterITCStd-Regular"/>
          <w:szCs w:val="20"/>
        </w:rPr>
        <w:t>sectors – agriculture, health &amp; education, manufacturing, retail, financial services and connectivity (transport &amp; communication)</w:t>
      </w:r>
      <w:r w:rsidR="00DF7682" w:rsidRPr="00850F9A">
        <w:rPr>
          <w:rFonts w:cs="CharterITCStd-Regular"/>
          <w:szCs w:val="20"/>
        </w:rPr>
        <w:t xml:space="preserve"> – </w:t>
      </w:r>
      <w:r w:rsidR="00C1474D">
        <w:rPr>
          <w:rFonts w:cs="CharterITCStd-Regular"/>
          <w:szCs w:val="20"/>
        </w:rPr>
        <w:t>and</w:t>
      </w:r>
      <w:r w:rsidR="00C1474D" w:rsidRPr="00850F9A">
        <w:rPr>
          <w:rFonts w:cs="CharterITCStd-Regular"/>
          <w:szCs w:val="20"/>
        </w:rPr>
        <w:t xml:space="preserve"> </w:t>
      </w:r>
      <w:r w:rsidR="00DF7682" w:rsidRPr="00850F9A">
        <w:rPr>
          <w:rFonts w:cs="CharterITCStd-Regular"/>
          <w:szCs w:val="20"/>
        </w:rPr>
        <w:t>highlight</w:t>
      </w:r>
      <w:r w:rsidR="00C1474D">
        <w:rPr>
          <w:rFonts w:cs="CharterITCStd-Regular"/>
          <w:szCs w:val="20"/>
        </w:rPr>
        <w:t>s</w:t>
      </w:r>
      <w:r w:rsidR="00DF7682" w:rsidRPr="00850F9A">
        <w:rPr>
          <w:rFonts w:cs="CharterITCStd-Regular"/>
          <w:szCs w:val="20"/>
        </w:rPr>
        <w:t xml:space="preserve"> </w:t>
      </w:r>
      <w:r w:rsidR="00AE497B">
        <w:rPr>
          <w:rFonts w:cs="CharterITCStd-Regular"/>
          <w:szCs w:val="20"/>
        </w:rPr>
        <w:t xml:space="preserve">a number of </w:t>
      </w:r>
      <w:r w:rsidR="00C750CE">
        <w:rPr>
          <w:rFonts w:cs="CharterITCStd-Regular"/>
          <w:szCs w:val="20"/>
        </w:rPr>
        <w:t>essential</w:t>
      </w:r>
      <w:r w:rsidR="00C750CE" w:rsidRPr="00850F9A">
        <w:rPr>
          <w:rFonts w:cs="CharterITCStd-Regular"/>
          <w:szCs w:val="20"/>
        </w:rPr>
        <w:t xml:space="preserve"> </w:t>
      </w:r>
      <w:r w:rsidR="00AE497B">
        <w:rPr>
          <w:rFonts w:cs="CharterITCStd-Regular"/>
          <w:szCs w:val="20"/>
        </w:rPr>
        <w:t xml:space="preserve">business </w:t>
      </w:r>
      <w:r w:rsidR="003C6020" w:rsidRPr="00850F9A">
        <w:rPr>
          <w:rFonts w:cs="CharterITCStd-Regular"/>
          <w:szCs w:val="20"/>
        </w:rPr>
        <w:t>capabilit</w:t>
      </w:r>
      <w:r w:rsidR="00AE497B">
        <w:rPr>
          <w:rFonts w:cs="CharterITCStd-Regular"/>
          <w:szCs w:val="20"/>
        </w:rPr>
        <w:t>ies</w:t>
      </w:r>
      <w:r w:rsidR="003C6020" w:rsidRPr="00850F9A">
        <w:rPr>
          <w:rFonts w:cs="CharterITCStd-Regular"/>
          <w:szCs w:val="20"/>
        </w:rPr>
        <w:t xml:space="preserve"> that need to be developed by firms looking to succeed profitably in these markets. </w:t>
      </w:r>
    </w:p>
    <w:p w14:paraId="3C6DA353" w14:textId="77777777" w:rsidR="00351C2A" w:rsidRPr="00850F9A" w:rsidRDefault="00351C2A" w:rsidP="00351C2A">
      <w:pPr>
        <w:autoSpaceDE w:val="0"/>
        <w:autoSpaceDN w:val="0"/>
        <w:adjustRightInd w:val="0"/>
        <w:spacing w:line="240" w:lineRule="auto"/>
        <w:rPr>
          <w:sz w:val="22"/>
        </w:rPr>
      </w:pPr>
    </w:p>
    <w:p w14:paraId="551F8B68" w14:textId="7128FD6C" w:rsidR="00351C2A" w:rsidRPr="00850F9A" w:rsidRDefault="00C750CE" w:rsidP="00351C2A">
      <w:pPr>
        <w:autoSpaceDE w:val="0"/>
        <w:autoSpaceDN w:val="0"/>
        <w:adjustRightInd w:val="0"/>
        <w:spacing w:line="240" w:lineRule="auto"/>
        <w:rPr>
          <w:szCs w:val="20"/>
        </w:rPr>
      </w:pPr>
      <w:r w:rsidRPr="00547B51">
        <w:rPr>
          <w:rFonts w:cs="CharterITCStd-Regular"/>
          <w:b/>
          <w:color w:val="000000" w:themeColor="text1"/>
          <w:szCs w:val="20"/>
        </w:rPr>
        <w:t>G</w:t>
      </w:r>
      <w:proofErr w:type="spellStart"/>
      <w:r w:rsidR="003945F7" w:rsidRPr="00547B51">
        <w:rPr>
          <w:rFonts w:cs="CharterITCStd-Regular"/>
          <w:b/>
          <w:color w:val="000000" w:themeColor="text1"/>
          <w:szCs w:val="20"/>
          <w:lang w:val="en-US"/>
        </w:rPr>
        <w:t>rowth</w:t>
      </w:r>
      <w:proofErr w:type="spellEnd"/>
      <w:r w:rsidRPr="00547B51">
        <w:rPr>
          <w:rFonts w:cs="CharterITCStd-Regular"/>
          <w:b/>
          <w:color w:val="000000" w:themeColor="text1"/>
          <w:szCs w:val="20"/>
          <w:lang w:val="en-US"/>
        </w:rPr>
        <w:t xml:space="preserve"> markets era not over</w:t>
      </w:r>
    </w:p>
    <w:p w14:paraId="23325388" w14:textId="20AA8862" w:rsidR="00F904D0" w:rsidRPr="00850F9A" w:rsidRDefault="004A3D60" w:rsidP="00351C2A">
      <w:pPr>
        <w:autoSpaceDE w:val="0"/>
        <w:autoSpaceDN w:val="0"/>
        <w:adjustRightInd w:val="0"/>
        <w:spacing w:line="240" w:lineRule="auto"/>
        <w:rPr>
          <w:szCs w:val="20"/>
        </w:rPr>
      </w:pPr>
      <w:r>
        <w:rPr>
          <w:szCs w:val="20"/>
        </w:rPr>
        <w:t>G</w:t>
      </w:r>
      <w:r w:rsidRPr="00850F9A">
        <w:rPr>
          <w:szCs w:val="20"/>
        </w:rPr>
        <w:t xml:space="preserve">rowth markets </w:t>
      </w:r>
      <w:r>
        <w:rPr>
          <w:szCs w:val="20"/>
        </w:rPr>
        <w:t xml:space="preserve">should be considered as </w:t>
      </w:r>
      <w:r w:rsidRPr="00850F9A">
        <w:rPr>
          <w:szCs w:val="20"/>
        </w:rPr>
        <w:t xml:space="preserve">‘mature’ rather </w:t>
      </w:r>
      <w:r>
        <w:rPr>
          <w:szCs w:val="20"/>
        </w:rPr>
        <w:t xml:space="preserve">than </w:t>
      </w:r>
      <w:r w:rsidRPr="00850F9A">
        <w:rPr>
          <w:szCs w:val="20"/>
        </w:rPr>
        <w:t>‘</w:t>
      </w:r>
      <w:r>
        <w:rPr>
          <w:szCs w:val="20"/>
        </w:rPr>
        <w:t>volatile</w:t>
      </w:r>
      <w:r w:rsidRPr="00850F9A">
        <w:rPr>
          <w:szCs w:val="20"/>
        </w:rPr>
        <w:t xml:space="preserve">’ in nature, with different markets following distinctive growth </w:t>
      </w:r>
      <w:r>
        <w:rPr>
          <w:szCs w:val="20"/>
        </w:rPr>
        <w:t>paths</w:t>
      </w:r>
      <w:r w:rsidRPr="00850F9A">
        <w:rPr>
          <w:szCs w:val="20"/>
        </w:rPr>
        <w:t xml:space="preserve"> towards stability and long-term prosperity.</w:t>
      </w:r>
      <w:r>
        <w:rPr>
          <w:szCs w:val="20"/>
        </w:rPr>
        <w:t xml:space="preserve"> </w:t>
      </w:r>
      <w:r w:rsidR="00C338DA" w:rsidRPr="00850F9A">
        <w:rPr>
          <w:szCs w:val="20"/>
        </w:rPr>
        <w:t>D</w:t>
      </w:r>
      <w:r w:rsidR="00F904D0" w:rsidRPr="00850F9A">
        <w:rPr>
          <w:szCs w:val="20"/>
        </w:rPr>
        <w:t xml:space="preserve">espite recent stagnation in the pace of real GDP growth as a result of </w:t>
      </w:r>
      <w:r w:rsidR="00C338DA" w:rsidRPr="00850F9A">
        <w:rPr>
          <w:szCs w:val="20"/>
        </w:rPr>
        <w:t>domestic and external factors –</w:t>
      </w:r>
      <w:r w:rsidR="00F904D0" w:rsidRPr="00850F9A">
        <w:rPr>
          <w:szCs w:val="20"/>
        </w:rPr>
        <w:t xml:space="preserve"> </w:t>
      </w:r>
      <w:r w:rsidR="00AE2AE8">
        <w:rPr>
          <w:szCs w:val="20"/>
        </w:rPr>
        <w:t xml:space="preserve">including </w:t>
      </w:r>
      <w:r w:rsidR="00F904D0" w:rsidRPr="00850F9A">
        <w:rPr>
          <w:szCs w:val="20"/>
        </w:rPr>
        <w:t>domestic and foreign policy actions, falling global commodity prices, speculation around rising</w:t>
      </w:r>
      <w:r w:rsidR="00C338DA" w:rsidRPr="00850F9A">
        <w:rPr>
          <w:szCs w:val="20"/>
        </w:rPr>
        <w:t xml:space="preserve"> interest rates and unfortunate </w:t>
      </w:r>
      <w:r w:rsidR="00F904D0" w:rsidRPr="00850F9A">
        <w:rPr>
          <w:szCs w:val="20"/>
        </w:rPr>
        <w:t>envi</w:t>
      </w:r>
      <w:r w:rsidR="00C338DA" w:rsidRPr="00850F9A">
        <w:rPr>
          <w:szCs w:val="20"/>
        </w:rPr>
        <w:t xml:space="preserve">ronmental disasters – growth markets </w:t>
      </w:r>
      <w:r w:rsidR="00C225D6" w:rsidRPr="00850F9A">
        <w:rPr>
          <w:szCs w:val="20"/>
        </w:rPr>
        <w:t xml:space="preserve">will </w:t>
      </w:r>
      <w:r w:rsidR="00C338DA" w:rsidRPr="00850F9A">
        <w:rPr>
          <w:szCs w:val="20"/>
        </w:rPr>
        <w:t xml:space="preserve">continue </w:t>
      </w:r>
      <w:r w:rsidR="00C225D6" w:rsidRPr="00850F9A">
        <w:rPr>
          <w:szCs w:val="20"/>
        </w:rPr>
        <w:t xml:space="preserve">to register </w:t>
      </w:r>
      <w:r w:rsidR="00C338DA" w:rsidRPr="00850F9A">
        <w:rPr>
          <w:szCs w:val="20"/>
        </w:rPr>
        <w:t xml:space="preserve">a rising share in global GDP </w:t>
      </w:r>
      <w:r w:rsidR="00C225D6" w:rsidRPr="00850F9A">
        <w:rPr>
          <w:szCs w:val="20"/>
        </w:rPr>
        <w:t>growth in the next five years, reaching almost 6</w:t>
      </w:r>
      <w:r w:rsidR="008D0B6D">
        <w:rPr>
          <w:szCs w:val="20"/>
        </w:rPr>
        <w:t>5</w:t>
      </w:r>
      <w:r w:rsidR="00C225D6" w:rsidRPr="00850F9A">
        <w:rPr>
          <w:szCs w:val="20"/>
        </w:rPr>
        <w:t>% by 2021</w:t>
      </w:r>
      <w:r w:rsidR="00A342C8" w:rsidRPr="00850F9A">
        <w:rPr>
          <w:rStyle w:val="FootnoteReference"/>
          <w:szCs w:val="20"/>
        </w:rPr>
        <w:footnoteReference w:id="1"/>
      </w:r>
      <w:r w:rsidR="00C225D6" w:rsidRPr="00850F9A">
        <w:rPr>
          <w:szCs w:val="20"/>
        </w:rPr>
        <w:t xml:space="preserve">. </w:t>
      </w:r>
    </w:p>
    <w:p w14:paraId="5CBB4B2A" w14:textId="77777777" w:rsidR="00F904D0" w:rsidRPr="00850F9A" w:rsidRDefault="00F904D0" w:rsidP="00351C2A">
      <w:pPr>
        <w:autoSpaceDE w:val="0"/>
        <w:autoSpaceDN w:val="0"/>
        <w:adjustRightInd w:val="0"/>
        <w:spacing w:line="240" w:lineRule="auto"/>
        <w:rPr>
          <w:szCs w:val="20"/>
        </w:rPr>
      </w:pPr>
    </w:p>
    <w:p w14:paraId="49B07F80" w14:textId="393032B5" w:rsidR="00D90359" w:rsidRPr="00850F9A" w:rsidRDefault="00D90359" w:rsidP="00351C2A">
      <w:pPr>
        <w:autoSpaceDE w:val="0"/>
        <w:autoSpaceDN w:val="0"/>
        <w:adjustRightInd w:val="0"/>
        <w:spacing w:line="240" w:lineRule="auto"/>
        <w:rPr>
          <w:rFonts w:cs="CharterITCStd-Regular"/>
          <w:b/>
          <w:szCs w:val="20"/>
        </w:rPr>
      </w:pPr>
      <w:r w:rsidRPr="00850F9A">
        <w:rPr>
          <w:b/>
          <w:szCs w:val="20"/>
        </w:rPr>
        <w:t>Opportunities defining growth markets</w:t>
      </w:r>
    </w:p>
    <w:p w14:paraId="7DEEBB48" w14:textId="5641A090" w:rsidR="00EE20F8" w:rsidRPr="00850F9A" w:rsidRDefault="0038029D" w:rsidP="00351C2A">
      <w:pPr>
        <w:autoSpaceDE w:val="0"/>
        <w:autoSpaceDN w:val="0"/>
        <w:adjustRightInd w:val="0"/>
        <w:spacing w:line="240" w:lineRule="auto"/>
        <w:rPr>
          <w:szCs w:val="20"/>
        </w:rPr>
      </w:pPr>
      <w:r w:rsidRPr="00850F9A">
        <w:rPr>
          <w:szCs w:val="20"/>
        </w:rPr>
        <w:t xml:space="preserve">To capitalise on </w:t>
      </w:r>
      <w:r w:rsidR="00C750CE">
        <w:rPr>
          <w:szCs w:val="20"/>
        </w:rPr>
        <w:t xml:space="preserve">the wide array of </w:t>
      </w:r>
      <w:r w:rsidR="009326ED">
        <w:rPr>
          <w:szCs w:val="20"/>
        </w:rPr>
        <w:t xml:space="preserve">growth </w:t>
      </w:r>
      <w:r w:rsidR="00B261E3">
        <w:rPr>
          <w:szCs w:val="20"/>
        </w:rPr>
        <w:t>opportunities</w:t>
      </w:r>
      <w:r w:rsidR="00C750CE">
        <w:rPr>
          <w:szCs w:val="20"/>
        </w:rPr>
        <w:t xml:space="preserve"> still out there</w:t>
      </w:r>
      <w:r w:rsidRPr="00850F9A">
        <w:rPr>
          <w:szCs w:val="20"/>
        </w:rPr>
        <w:t xml:space="preserve">, organisations need to </w:t>
      </w:r>
      <w:r w:rsidR="00EE20F8" w:rsidRPr="00991A93">
        <w:rPr>
          <w:szCs w:val="20"/>
        </w:rPr>
        <w:t>better understand the shifts governing the market and operational landscape</w:t>
      </w:r>
      <w:r w:rsidR="00B261E3">
        <w:rPr>
          <w:szCs w:val="20"/>
        </w:rPr>
        <w:t xml:space="preserve"> –</w:t>
      </w:r>
      <w:r w:rsidRPr="00850F9A">
        <w:rPr>
          <w:szCs w:val="20"/>
        </w:rPr>
        <w:t xml:space="preserve"> in particular across these six </w:t>
      </w:r>
      <w:r w:rsidR="00EB35DE">
        <w:rPr>
          <w:szCs w:val="20"/>
        </w:rPr>
        <w:t>key</w:t>
      </w:r>
      <w:r w:rsidR="00EB35DE" w:rsidRPr="00850F9A">
        <w:rPr>
          <w:szCs w:val="20"/>
        </w:rPr>
        <w:t xml:space="preserve"> </w:t>
      </w:r>
      <w:r w:rsidRPr="00850F9A">
        <w:rPr>
          <w:szCs w:val="20"/>
        </w:rPr>
        <w:t xml:space="preserve">sectors, which are essential </w:t>
      </w:r>
      <w:r w:rsidR="00EE20F8" w:rsidRPr="00991A93">
        <w:rPr>
          <w:szCs w:val="20"/>
        </w:rPr>
        <w:t xml:space="preserve">to achieving balanced economic and human </w:t>
      </w:r>
      <w:r w:rsidRPr="00850F9A">
        <w:rPr>
          <w:szCs w:val="20"/>
        </w:rPr>
        <w:t xml:space="preserve">development in the </w:t>
      </w:r>
      <w:r w:rsidR="00253EB4">
        <w:rPr>
          <w:szCs w:val="20"/>
        </w:rPr>
        <w:t>near future</w:t>
      </w:r>
      <w:r w:rsidRPr="00850F9A">
        <w:rPr>
          <w:szCs w:val="20"/>
        </w:rPr>
        <w:t>:</w:t>
      </w:r>
    </w:p>
    <w:p w14:paraId="15C0B593" w14:textId="77777777" w:rsidR="00351C2A" w:rsidRPr="00850F9A" w:rsidRDefault="00351C2A" w:rsidP="00351C2A">
      <w:pPr>
        <w:autoSpaceDE w:val="0"/>
        <w:autoSpaceDN w:val="0"/>
        <w:adjustRightInd w:val="0"/>
        <w:spacing w:line="240" w:lineRule="auto"/>
        <w:rPr>
          <w:rFonts w:cs="CharterITCStd-Regular"/>
          <w:szCs w:val="20"/>
        </w:rPr>
      </w:pPr>
    </w:p>
    <w:p w14:paraId="5B7EFFDE" w14:textId="77777777" w:rsidR="00DD02D4" w:rsidRPr="00547B51" w:rsidRDefault="00351C2A" w:rsidP="00351C2A">
      <w:pPr>
        <w:autoSpaceDE w:val="0"/>
        <w:autoSpaceDN w:val="0"/>
        <w:adjustRightInd w:val="0"/>
        <w:spacing w:line="240" w:lineRule="auto"/>
        <w:rPr>
          <w:rFonts w:cs="CharterITCStd-Regular"/>
          <w:color w:val="000000" w:themeColor="text1"/>
          <w:szCs w:val="20"/>
        </w:rPr>
      </w:pPr>
      <w:r w:rsidRPr="00547B51">
        <w:rPr>
          <w:rFonts w:cs="Arial"/>
          <w:b/>
          <w:color w:val="000000" w:themeColor="text1"/>
          <w:szCs w:val="20"/>
        </w:rPr>
        <w:t>Agriculture</w:t>
      </w:r>
    </w:p>
    <w:p w14:paraId="427C8EB4" w14:textId="7C52D02C" w:rsidR="003945F7" w:rsidRPr="003945F7" w:rsidRDefault="00351C2A" w:rsidP="002A0D89">
      <w:pPr>
        <w:autoSpaceDE w:val="0"/>
        <w:autoSpaceDN w:val="0"/>
        <w:adjustRightInd w:val="0"/>
        <w:spacing w:line="240" w:lineRule="auto"/>
        <w:rPr>
          <w:rFonts w:cs="CharterITCStd-Regular"/>
          <w:szCs w:val="20"/>
        </w:rPr>
      </w:pPr>
      <w:r w:rsidRPr="00850F9A">
        <w:rPr>
          <w:rFonts w:cs="CharterITCStd-Regular"/>
          <w:szCs w:val="20"/>
        </w:rPr>
        <w:t>Sustaining growth in agriculture is of high importance to growth markets</w:t>
      </w:r>
      <w:r w:rsidR="00253EB4">
        <w:rPr>
          <w:rFonts w:cs="CharterITCStd-Regular"/>
          <w:szCs w:val="20"/>
        </w:rPr>
        <w:t>, where the sector is a primary source of livelihood. In fact, a large majority of the global agricultural labour force (over 90%) still reside in developing countries</w:t>
      </w:r>
      <w:r w:rsidR="00253EB4">
        <w:rPr>
          <w:rStyle w:val="FootnoteReference"/>
          <w:rFonts w:cs="CharterITCStd-Regular"/>
          <w:szCs w:val="20"/>
        </w:rPr>
        <w:footnoteReference w:id="2"/>
      </w:r>
      <w:r w:rsidR="00253EB4">
        <w:rPr>
          <w:rFonts w:cs="CharterITCStd-Regular"/>
          <w:szCs w:val="20"/>
        </w:rPr>
        <w:t>.</w:t>
      </w:r>
      <w:r w:rsidRPr="00850F9A">
        <w:rPr>
          <w:rFonts w:cs="CharterITCStd-Regular"/>
          <w:szCs w:val="20"/>
        </w:rPr>
        <w:t xml:space="preserve"> </w:t>
      </w:r>
      <w:r w:rsidR="00ED6A2F">
        <w:rPr>
          <w:rFonts w:cs="CharterITCStd-Regular"/>
          <w:szCs w:val="20"/>
        </w:rPr>
        <w:t xml:space="preserve">Growth opportunities in agriculture spread across production, enabling farmers to be more efficient and to deliver higher yield, and consumption – addressing </w:t>
      </w:r>
      <w:r w:rsidR="0086464A">
        <w:rPr>
          <w:rFonts w:cs="CharterITCStd-Regular"/>
          <w:szCs w:val="20"/>
        </w:rPr>
        <w:t xml:space="preserve">the </w:t>
      </w:r>
      <w:r w:rsidR="00ED6A2F">
        <w:rPr>
          <w:rFonts w:cs="CharterITCStd-Regular"/>
          <w:szCs w:val="20"/>
        </w:rPr>
        <w:t xml:space="preserve">ever-changing food and drink preferences of consumers. </w:t>
      </w:r>
    </w:p>
    <w:p w14:paraId="3F7B6808" w14:textId="77777777" w:rsidR="003945F7" w:rsidRDefault="003945F7" w:rsidP="002A0D89">
      <w:pPr>
        <w:autoSpaceDE w:val="0"/>
        <w:autoSpaceDN w:val="0"/>
        <w:adjustRightInd w:val="0"/>
        <w:spacing w:line="240" w:lineRule="auto"/>
        <w:rPr>
          <w:rFonts w:cs="Arial"/>
          <w:b/>
          <w:color w:val="000000" w:themeColor="text1"/>
          <w:szCs w:val="20"/>
        </w:rPr>
      </w:pPr>
    </w:p>
    <w:p w14:paraId="5E4A8EF0" w14:textId="77777777" w:rsidR="003945F7" w:rsidRDefault="00351C2A" w:rsidP="002A0D89">
      <w:pPr>
        <w:autoSpaceDE w:val="0"/>
        <w:autoSpaceDN w:val="0"/>
        <w:adjustRightInd w:val="0"/>
        <w:spacing w:line="240" w:lineRule="auto"/>
        <w:rPr>
          <w:rFonts w:cs="Arial"/>
          <w:b/>
          <w:color w:val="000000" w:themeColor="text1"/>
          <w:szCs w:val="20"/>
        </w:rPr>
      </w:pPr>
      <w:r w:rsidRPr="00547B51">
        <w:rPr>
          <w:rFonts w:cs="Arial"/>
          <w:b/>
          <w:color w:val="000000" w:themeColor="text1"/>
          <w:szCs w:val="20"/>
        </w:rPr>
        <w:t xml:space="preserve">Health &amp; </w:t>
      </w:r>
      <w:r w:rsidR="00991A93" w:rsidRPr="00547B51">
        <w:rPr>
          <w:rFonts w:cs="Arial"/>
          <w:b/>
          <w:color w:val="000000" w:themeColor="text1"/>
          <w:szCs w:val="20"/>
        </w:rPr>
        <w:t>E</w:t>
      </w:r>
      <w:r w:rsidRPr="00547B51">
        <w:rPr>
          <w:rFonts w:cs="Arial"/>
          <w:b/>
          <w:color w:val="000000" w:themeColor="text1"/>
          <w:szCs w:val="20"/>
        </w:rPr>
        <w:t>ducatio</w:t>
      </w:r>
      <w:r w:rsidR="00DD02D4" w:rsidRPr="00547B51">
        <w:rPr>
          <w:rFonts w:cs="Arial"/>
          <w:b/>
          <w:color w:val="000000" w:themeColor="text1"/>
          <w:szCs w:val="20"/>
        </w:rPr>
        <w:t>n</w:t>
      </w:r>
    </w:p>
    <w:p w14:paraId="25C4B0C2" w14:textId="6D5A7662" w:rsidR="002A0D89" w:rsidRPr="003945F7" w:rsidRDefault="002A0D89" w:rsidP="002A0D89">
      <w:pPr>
        <w:autoSpaceDE w:val="0"/>
        <w:autoSpaceDN w:val="0"/>
        <w:adjustRightInd w:val="0"/>
        <w:spacing w:line="240" w:lineRule="auto"/>
        <w:rPr>
          <w:rFonts w:cs="Arial"/>
          <w:b/>
          <w:color w:val="000000" w:themeColor="text1"/>
          <w:szCs w:val="20"/>
        </w:rPr>
      </w:pPr>
      <w:r>
        <w:rPr>
          <w:rFonts w:cs="CharterITCStd-Regular"/>
          <w:szCs w:val="20"/>
          <w:lang w:val="en-US" w:eastAsia="en-GB"/>
        </w:rPr>
        <w:t>P</w:t>
      </w:r>
      <w:r w:rsidRPr="00850F9A">
        <w:rPr>
          <w:rFonts w:cs="CharterITCStd-Regular"/>
          <w:szCs w:val="20"/>
          <w:lang w:val="en-US" w:eastAsia="en-GB"/>
        </w:rPr>
        <w:t>ushed by the need to cover large</w:t>
      </w:r>
      <w:r>
        <w:rPr>
          <w:rFonts w:cs="CharterITCStd-Regular"/>
          <w:szCs w:val="20"/>
          <w:lang w:val="en-US" w:eastAsia="en-GB"/>
        </w:rPr>
        <w:t xml:space="preserve"> </w:t>
      </w:r>
      <w:r w:rsidRPr="00850F9A">
        <w:rPr>
          <w:rFonts w:cs="CharterITCStd-Regular"/>
          <w:szCs w:val="20"/>
          <w:lang w:val="en-US" w:eastAsia="en-GB"/>
        </w:rPr>
        <w:t>infrastructure and resource gaps, health expenditure is</w:t>
      </w:r>
      <w:r>
        <w:rPr>
          <w:rFonts w:cs="CharterITCStd-Regular"/>
          <w:szCs w:val="20"/>
          <w:lang w:val="en-US" w:eastAsia="en-GB"/>
        </w:rPr>
        <w:t xml:space="preserve"> </w:t>
      </w:r>
      <w:r w:rsidRPr="00850F9A">
        <w:rPr>
          <w:rFonts w:cs="CharterITCStd-Regular"/>
          <w:szCs w:val="20"/>
          <w:lang w:val="en-US" w:eastAsia="en-GB"/>
        </w:rPr>
        <w:t xml:space="preserve">expected to grow by 10.7% </w:t>
      </w:r>
      <w:r>
        <w:rPr>
          <w:rFonts w:cs="CharterITCStd-Regular"/>
          <w:szCs w:val="20"/>
          <w:lang w:val="en-US" w:eastAsia="en-GB"/>
        </w:rPr>
        <w:t xml:space="preserve">annually </w:t>
      </w:r>
      <w:r w:rsidRPr="00850F9A">
        <w:rPr>
          <w:rFonts w:cs="CharterITCStd-Regular"/>
          <w:szCs w:val="20"/>
          <w:lang w:val="en-US" w:eastAsia="en-GB"/>
        </w:rPr>
        <w:t xml:space="preserve">in growth markets </w:t>
      </w:r>
      <w:r>
        <w:rPr>
          <w:rFonts w:cs="CharterITCStd-Regular"/>
          <w:szCs w:val="20"/>
          <w:lang w:val="en-US" w:eastAsia="en-GB"/>
        </w:rPr>
        <w:t xml:space="preserve">versus </w:t>
      </w:r>
      <w:r w:rsidRPr="00850F9A">
        <w:rPr>
          <w:rFonts w:cs="CharterITCStd-Regular"/>
          <w:szCs w:val="20"/>
          <w:lang w:val="en-US" w:eastAsia="en-GB"/>
        </w:rPr>
        <w:t>a low 3.7% in developed economies by 2022.</w:t>
      </w:r>
      <w:r>
        <w:rPr>
          <w:rFonts w:cs="CharterITCStd-Regular"/>
          <w:szCs w:val="20"/>
          <w:lang w:val="en-US" w:eastAsia="en-GB"/>
        </w:rPr>
        <w:t xml:space="preserve"> The </w:t>
      </w:r>
      <w:r>
        <w:rPr>
          <w:rFonts w:cs="CharterITCStd-Regular"/>
          <w:szCs w:val="20"/>
          <w:lang w:val="en-US" w:eastAsia="en-GB"/>
        </w:rPr>
        <w:lastRenderedPageBreak/>
        <w:t>opportunity size for maturing markets is also supposed to touch USD 4 trillion in annual spend by 2022</w:t>
      </w:r>
      <w:r>
        <w:rPr>
          <w:rStyle w:val="FootnoteReference"/>
          <w:rFonts w:cs="CharterITCStd-Regular"/>
          <w:szCs w:val="20"/>
          <w:lang w:val="en-US" w:eastAsia="en-GB"/>
        </w:rPr>
        <w:footnoteReference w:id="3"/>
      </w:r>
      <w:r>
        <w:rPr>
          <w:rFonts w:cs="CharterITCStd-Regular"/>
          <w:szCs w:val="20"/>
          <w:lang w:val="en-US" w:eastAsia="en-GB"/>
        </w:rPr>
        <w:t xml:space="preserve"> – creating new opportunities for </w:t>
      </w:r>
      <w:r w:rsidRPr="00850F9A">
        <w:rPr>
          <w:rFonts w:cs="CharterITCStd-Regular"/>
          <w:szCs w:val="20"/>
          <w:lang w:val="en-US" w:eastAsia="en-GB"/>
        </w:rPr>
        <w:t>life sci</w:t>
      </w:r>
      <w:r>
        <w:rPr>
          <w:rFonts w:cs="CharterITCStd-Regular"/>
          <w:szCs w:val="20"/>
          <w:lang w:val="en-US" w:eastAsia="en-GB"/>
        </w:rPr>
        <w:t xml:space="preserve">ences companies, medical device </w:t>
      </w:r>
      <w:r w:rsidRPr="00850F9A">
        <w:rPr>
          <w:rFonts w:cs="CharterITCStd-Regular"/>
          <w:szCs w:val="20"/>
          <w:lang w:val="en-US" w:eastAsia="en-GB"/>
        </w:rPr>
        <w:t>manufacturers, pharma</w:t>
      </w:r>
      <w:r>
        <w:rPr>
          <w:rFonts w:cs="CharterITCStd-Regular"/>
          <w:szCs w:val="20"/>
          <w:lang w:val="en-US" w:eastAsia="en-GB"/>
        </w:rPr>
        <w:t xml:space="preserve">ceutical companies and delivery </w:t>
      </w:r>
      <w:r w:rsidRPr="00850F9A">
        <w:rPr>
          <w:rFonts w:cs="CharterITCStd-Regular"/>
          <w:szCs w:val="20"/>
          <w:lang w:val="en-US" w:eastAsia="en-GB"/>
        </w:rPr>
        <w:t>service providers.</w:t>
      </w:r>
    </w:p>
    <w:p w14:paraId="220933CF" w14:textId="77777777" w:rsidR="002A0D89" w:rsidRPr="00850F9A" w:rsidRDefault="002A0D89" w:rsidP="002A0D89">
      <w:pPr>
        <w:autoSpaceDE w:val="0"/>
        <w:autoSpaceDN w:val="0"/>
        <w:adjustRightInd w:val="0"/>
        <w:spacing w:line="240" w:lineRule="auto"/>
        <w:rPr>
          <w:rFonts w:cs="CharterITCStd-Regular"/>
          <w:szCs w:val="20"/>
          <w:lang w:val="en-US" w:eastAsia="en-GB"/>
        </w:rPr>
      </w:pPr>
    </w:p>
    <w:p w14:paraId="56153F69" w14:textId="0F1676FC" w:rsidR="002A0D89" w:rsidRPr="00850F9A" w:rsidRDefault="009326ED">
      <w:pPr>
        <w:autoSpaceDE w:val="0"/>
        <w:autoSpaceDN w:val="0"/>
        <w:adjustRightInd w:val="0"/>
        <w:spacing w:line="240" w:lineRule="auto"/>
        <w:rPr>
          <w:rFonts w:cs="Arial"/>
          <w:b/>
          <w:color w:val="C00000"/>
          <w:szCs w:val="20"/>
        </w:rPr>
      </w:pPr>
      <w:r>
        <w:rPr>
          <w:rFonts w:cs="CharterITCStd-Regular"/>
          <w:szCs w:val="20"/>
          <w:lang w:val="en-US" w:eastAsia="en-GB"/>
        </w:rPr>
        <w:t>D</w:t>
      </w:r>
      <w:r w:rsidRPr="00850F9A">
        <w:rPr>
          <w:rFonts w:cs="CharterITCStd-Regular"/>
          <w:szCs w:val="20"/>
          <w:lang w:val="en-US" w:eastAsia="en-GB"/>
        </w:rPr>
        <w:t>igital health is</w:t>
      </w:r>
      <w:r>
        <w:rPr>
          <w:rFonts w:cs="CharterITCStd-Regular"/>
          <w:szCs w:val="20"/>
          <w:lang w:val="en-US" w:eastAsia="en-GB"/>
        </w:rPr>
        <w:t xml:space="preserve"> emerging as a growth sector </w:t>
      </w:r>
      <w:r w:rsidRPr="00850F9A">
        <w:rPr>
          <w:rFonts w:cs="CharterITCStd-Regular"/>
          <w:szCs w:val="20"/>
          <w:lang w:val="en-US" w:eastAsia="en-GB"/>
        </w:rPr>
        <w:t>worldwide, garnering USD 13 b</w:t>
      </w:r>
      <w:r>
        <w:rPr>
          <w:rFonts w:cs="CharterITCStd-Regular"/>
          <w:szCs w:val="20"/>
          <w:lang w:val="en-US" w:eastAsia="en-GB"/>
        </w:rPr>
        <w:t xml:space="preserve">illion in investments over 2014 </w:t>
      </w:r>
      <w:r w:rsidRPr="00850F9A">
        <w:rPr>
          <w:rFonts w:cs="CharterITCStd-Regular"/>
          <w:szCs w:val="20"/>
          <w:lang w:val="en-US" w:eastAsia="en-GB"/>
        </w:rPr>
        <w:t>and 2015</w:t>
      </w:r>
      <w:r>
        <w:rPr>
          <w:rStyle w:val="FootnoteReference"/>
          <w:rFonts w:cs="CharterITCStd-Regular"/>
          <w:szCs w:val="20"/>
          <w:lang w:val="en-US" w:eastAsia="en-GB"/>
        </w:rPr>
        <w:footnoteReference w:id="4"/>
      </w:r>
      <w:r w:rsidRPr="00850F9A">
        <w:rPr>
          <w:rFonts w:cs="CharterITCStd-Regular"/>
          <w:szCs w:val="20"/>
          <w:lang w:val="en-US" w:eastAsia="en-GB"/>
        </w:rPr>
        <w:t xml:space="preserve">. </w:t>
      </w:r>
      <w:r>
        <w:rPr>
          <w:rFonts w:cs="CharterITCStd-Regular"/>
          <w:szCs w:val="20"/>
          <w:lang w:val="en-US" w:eastAsia="en-GB"/>
        </w:rPr>
        <w:t>Unsurprisingly, t</w:t>
      </w:r>
      <w:r w:rsidR="002A0D89" w:rsidRPr="00850F9A">
        <w:rPr>
          <w:rFonts w:cs="CharterITCStd-Regular"/>
          <w:szCs w:val="20"/>
          <w:lang w:val="en-US" w:eastAsia="en-GB"/>
        </w:rPr>
        <w:t>he adoption of technology-dr</w:t>
      </w:r>
      <w:r w:rsidR="002A0D89">
        <w:rPr>
          <w:rFonts w:cs="CharterITCStd-Regular"/>
          <w:szCs w:val="20"/>
          <w:lang w:val="en-US" w:eastAsia="en-GB"/>
        </w:rPr>
        <w:t xml:space="preserve">iven solutions is expected </w:t>
      </w:r>
      <w:r w:rsidR="002A0D89" w:rsidRPr="00850F9A">
        <w:rPr>
          <w:rFonts w:cs="CharterITCStd-Regular"/>
          <w:szCs w:val="20"/>
          <w:lang w:val="en-US" w:eastAsia="en-GB"/>
        </w:rPr>
        <w:t xml:space="preserve">to </w:t>
      </w:r>
      <w:r w:rsidR="00A7332C">
        <w:rPr>
          <w:rFonts w:cs="CharterITCStd-Regular"/>
          <w:szCs w:val="20"/>
          <w:lang w:val="en-US" w:eastAsia="en-GB"/>
        </w:rPr>
        <w:t>increase</w:t>
      </w:r>
      <w:r w:rsidR="002A0D89" w:rsidRPr="00850F9A">
        <w:rPr>
          <w:rFonts w:cs="CharterITCStd-Regular"/>
          <w:szCs w:val="20"/>
          <w:lang w:val="en-US" w:eastAsia="en-GB"/>
        </w:rPr>
        <w:t>, with growth marke</w:t>
      </w:r>
      <w:r w:rsidR="001413D2">
        <w:rPr>
          <w:rFonts w:cs="CharterITCStd-Regular"/>
          <w:szCs w:val="20"/>
          <w:lang w:val="en-US" w:eastAsia="en-GB"/>
        </w:rPr>
        <w:t xml:space="preserve">ts looking at low cost and less </w:t>
      </w:r>
      <w:r w:rsidR="002A0D89" w:rsidRPr="00850F9A">
        <w:rPr>
          <w:rFonts w:cs="CharterITCStd-Regular"/>
          <w:szCs w:val="20"/>
          <w:lang w:val="en-US" w:eastAsia="en-GB"/>
        </w:rPr>
        <w:t>resource-intensive options t</w:t>
      </w:r>
      <w:r w:rsidR="001413D2">
        <w:rPr>
          <w:rFonts w:cs="CharterITCStd-Regular"/>
          <w:szCs w:val="20"/>
          <w:lang w:val="en-US" w:eastAsia="en-GB"/>
        </w:rPr>
        <w:t xml:space="preserve">o bridge existing gaps. </w:t>
      </w:r>
    </w:p>
    <w:p w14:paraId="3B8781B5" w14:textId="77777777" w:rsidR="00351C2A" w:rsidRPr="00850F9A" w:rsidRDefault="00351C2A" w:rsidP="00351C2A">
      <w:pPr>
        <w:autoSpaceDE w:val="0"/>
        <w:autoSpaceDN w:val="0"/>
        <w:adjustRightInd w:val="0"/>
        <w:spacing w:line="240" w:lineRule="auto"/>
        <w:rPr>
          <w:rFonts w:cs="CharterITCStd-Regular"/>
          <w:szCs w:val="20"/>
        </w:rPr>
      </w:pPr>
    </w:p>
    <w:p w14:paraId="3700F622" w14:textId="77777777" w:rsidR="00DD02D4" w:rsidRPr="00547B51" w:rsidRDefault="00351C2A" w:rsidP="00351C2A">
      <w:pPr>
        <w:autoSpaceDE w:val="0"/>
        <w:autoSpaceDN w:val="0"/>
        <w:adjustRightInd w:val="0"/>
        <w:spacing w:line="240" w:lineRule="auto"/>
        <w:rPr>
          <w:rFonts w:cs="Arial"/>
          <w:b/>
          <w:color w:val="000000" w:themeColor="text1"/>
          <w:szCs w:val="20"/>
        </w:rPr>
      </w:pPr>
      <w:r w:rsidRPr="00547B51">
        <w:rPr>
          <w:rFonts w:cs="Arial"/>
          <w:b/>
          <w:color w:val="000000" w:themeColor="text1"/>
          <w:szCs w:val="20"/>
        </w:rPr>
        <w:t>Manufacturing</w:t>
      </w:r>
    </w:p>
    <w:p w14:paraId="23309506" w14:textId="73A54740" w:rsidR="00F30FE5" w:rsidRDefault="00351C2A" w:rsidP="00F30FE5">
      <w:pPr>
        <w:autoSpaceDE w:val="0"/>
        <w:autoSpaceDN w:val="0"/>
        <w:adjustRightInd w:val="0"/>
        <w:spacing w:line="240" w:lineRule="auto"/>
        <w:rPr>
          <w:rFonts w:cs="CharterITCStd-Regular"/>
          <w:szCs w:val="20"/>
        </w:rPr>
      </w:pPr>
      <w:r w:rsidRPr="00850F9A">
        <w:rPr>
          <w:rFonts w:cs="CharterITCStd-Regular"/>
          <w:szCs w:val="20"/>
        </w:rPr>
        <w:t>Growth markets are now responsible for almost 60% of all low and medium technology manufacturing worldwide.</w:t>
      </w:r>
      <w:r w:rsidR="00F30FE5">
        <w:rPr>
          <w:rFonts w:cs="CharterITCStd-Regular"/>
          <w:szCs w:val="20"/>
        </w:rPr>
        <w:t xml:space="preserve"> </w:t>
      </w:r>
      <w:r w:rsidR="009326ED">
        <w:rPr>
          <w:rFonts w:cs="CharterITCStd-Regular"/>
          <w:szCs w:val="20"/>
        </w:rPr>
        <w:t>E</w:t>
      </w:r>
      <w:r w:rsidR="00F30FE5">
        <w:rPr>
          <w:rFonts w:cs="CharterITCStd-Regular"/>
          <w:szCs w:val="20"/>
        </w:rPr>
        <w:t>ven more noteworthy is the speed at which these markets have grown their share in high-tech manufacturing – account</w:t>
      </w:r>
      <w:r w:rsidR="0097271A">
        <w:rPr>
          <w:rFonts w:cs="CharterITCStd-Regular"/>
          <w:szCs w:val="20"/>
        </w:rPr>
        <w:t>ing</w:t>
      </w:r>
      <w:r w:rsidR="00F30FE5">
        <w:rPr>
          <w:rFonts w:cs="CharterITCStd-Regular"/>
          <w:szCs w:val="20"/>
        </w:rPr>
        <w:t xml:space="preserve"> for almost 50% of manufacturing </w:t>
      </w:r>
      <w:r w:rsidR="008D0B6D">
        <w:rPr>
          <w:rFonts w:cs="CharterITCStd-Regular"/>
          <w:szCs w:val="20"/>
        </w:rPr>
        <w:t xml:space="preserve">value-add </w:t>
      </w:r>
      <w:r w:rsidR="0097271A">
        <w:rPr>
          <w:rFonts w:cs="CharterITCStd-Regular"/>
          <w:szCs w:val="20"/>
        </w:rPr>
        <w:t>globally</w:t>
      </w:r>
      <w:r w:rsidR="00F30FE5">
        <w:rPr>
          <w:rFonts w:cs="CharterITCStd-Regular"/>
          <w:szCs w:val="20"/>
        </w:rPr>
        <w:t>.</w:t>
      </w:r>
      <w:r w:rsidR="008D0B6D">
        <w:rPr>
          <w:rFonts w:cs="CharterITCStd-Regular"/>
          <w:szCs w:val="20"/>
        </w:rPr>
        <w:t xml:space="preserve"> </w:t>
      </w:r>
      <w:r w:rsidR="009326ED">
        <w:rPr>
          <w:rFonts w:cs="CharterITCStd-Regular"/>
          <w:szCs w:val="20"/>
        </w:rPr>
        <w:t>The i</w:t>
      </w:r>
      <w:r w:rsidR="008D0B6D">
        <w:rPr>
          <w:rFonts w:cs="CharterITCStd-Regular"/>
          <w:szCs w:val="20"/>
        </w:rPr>
        <w:t>ntroduction of new production technologies and changing cost dynamics are further expected to influence global manufacturing competitiveness in the coming years.</w:t>
      </w:r>
    </w:p>
    <w:p w14:paraId="6AFEBC65" w14:textId="77777777" w:rsidR="00351C2A" w:rsidRPr="00850F9A" w:rsidRDefault="00351C2A" w:rsidP="00351C2A">
      <w:pPr>
        <w:autoSpaceDE w:val="0"/>
        <w:autoSpaceDN w:val="0"/>
        <w:adjustRightInd w:val="0"/>
        <w:spacing w:line="240" w:lineRule="auto"/>
        <w:rPr>
          <w:rFonts w:cs="CharterITCStd-Regular"/>
          <w:szCs w:val="20"/>
        </w:rPr>
      </w:pPr>
    </w:p>
    <w:p w14:paraId="06BC7DD1" w14:textId="77777777" w:rsidR="00DD02D4" w:rsidRPr="00547B51" w:rsidRDefault="00351C2A" w:rsidP="00351C2A">
      <w:pPr>
        <w:autoSpaceDE w:val="0"/>
        <w:autoSpaceDN w:val="0"/>
        <w:adjustRightInd w:val="0"/>
        <w:spacing w:line="240" w:lineRule="auto"/>
        <w:rPr>
          <w:rFonts w:cs="Arial"/>
          <w:b/>
          <w:color w:val="000000" w:themeColor="text1"/>
          <w:szCs w:val="20"/>
        </w:rPr>
      </w:pPr>
      <w:r w:rsidRPr="00547B51">
        <w:rPr>
          <w:rFonts w:cs="Arial"/>
          <w:b/>
          <w:color w:val="000000" w:themeColor="text1"/>
          <w:szCs w:val="20"/>
        </w:rPr>
        <w:t>Retail &amp; consumer goods</w:t>
      </w:r>
    </w:p>
    <w:p w14:paraId="3A91469A" w14:textId="0D8007DA" w:rsidR="00B57DD2" w:rsidRPr="00850F9A" w:rsidRDefault="008C7251">
      <w:pPr>
        <w:autoSpaceDE w:val="0"/>
        <w:autoSpaceDN w:val="0"/>
        <w:adjustRightInd w:val="0"/>
        <w:spacing w:line="240" w:lineRule="auto"/>
        <w:rPr>
          <w:rFonts w:cs="CharterITCStd-Regular"/>
          <w:szCs w:val="20"/>
          <w:lang w:val="en-US"/>
        </w:rPr>
      </w:pPr>
      <w:r w:rsidRPr="00850F9A">
        <w:rPr>
          <w:rFonts w:cs="CharterITCStd-Regular"/>
          <w:szCs w:val="20"/>
          <w:lang w:val="en-US"/>
        </w:rPr>
        <w:t xml:space="preserve">Domestic consumption is one of the most important </w:t>
      </w:r>
      <w:r w:rsidR="00B57DD2">
        <w:rPr>
          <w:rFonts w:cs="CharterITCStd-Regular"/>
          <w:szCs w:val="20"/>
          <w:lang w:val="en-US"/>
        </w:rPr>
        <w:t xml:space="preserve">factors </w:t>
      </w:r>
      <w:r w:rsidRPr="00850F9A">
        <w:rPr>
          <w:rFonts w:cs="CharterITCStd-Regular"/>
          <w:szCs w:val="20"/>
          <w:lang w:val="en-US"/>
        </w:rPr>
        <w:t xml:space="preserve">in keeping a growth market’s economy moving upward </w:t>
      </w:r>
      <w:proofErr w:type="spellStart"/>
      <w:r w:rsidRPr="00850F9A">
        <w:rPr>
          <w:rFonts w:cs="CharterITCStd-Regular"/>
          <w:szCs w:val="20"/>
          <w:lang w:val="en-US"/>
        </w:rPr>
        <w:t>direc</w:t>
      </w:r>
      <w:proofErr w:type="spellEnd"/>
      <w:r w:rsidRPr="00850F9A">
        <w:rPr>
          <w:rFonts w:cs="CharterITCStd-Regular"/>
          <w:szCs w:val="20"/>
          <w:lang w:val="en-US"/>
        </w:rPr>
        <w:t>.</w:t>
      </w:r>
      <w:r w:rsidR="00E6463B" w:rsidRPr="00850F9A">
        <w:rPr>
          <w:rFonts w:cs="CharterITCStd-Regular"/>
          <w:szCs w:val="20"/>
          <w:lang w:val="en-US"/>
        </w:rPr>
        <w:t xml:space="preserve"> </w:t>
      </w:r>
      <w:r w:rsidR="00B57DD2">
        <w:rPr>
          <w:rFonts w:cs="CharterITCStd-Regular"/>
          <w:szCs w:val="20"/>
          <w:lang w:val="en-US"/>
        </w:rPr>
        <w:t>This is driven by the</w:t>
      </w:r>
      <w:r w:rsidR="00D3511F">
        <w:rPr>
          <w:rFonts w:cs="CharterITCStd-Regular"/>
          <w:szCs w:val="20"/>
          <w:lang w:val="en-US"/>
        </w:rPr>
        <w:t xml:space="preserve"> expansion of the middle class, who have a </w:t>
      </w:r>
      <w:r w:rsidR="00D3511F" w:rsidRPr="00F65B15">
        <w:rPr>
          <w:rFonts w:cs="CharterITCStd-Regular"/>
          <w:szCs w:val="20"/>
          <w:lang w:val="en-US"/>
        </w:rPr>
        <w:t xml:space="preserve">higher propensity to pay for quality and value, </w:t>
      </w:r>
      <w:r w:rsidR="00D3511F">
        <w:rPr>
          <w:rFonts w:cs="CharterITCStd-Regular"/>
          <w:szCs w:val="20"/>
          <w:lang w:val="en-US"/>
        </w:rPr>
        <w:t xml:space="preserve">therefore boosting </w:t>
      </w:r>
      <w:r w:rsidR="00D3511F" w:rsidRPr="00F65B15">
        <w:rPr>
          <w:rFonts w:cs="CharterITCStd-Regular"/>
          <w:szCs w:val="20"/>
          <w:lang w:val="en-US"/>
        </w:rPr>
        <w:t>opportunities across the sector, particularly for discretionary and aspirational products such as clothing, entertainment, leisure and automobiles.</w:t>
      </w:r>
      <w:r w:rsidR="00D3511F">
        <w:rPr>
          <w:rFonts w:cs="CharterITCStd-Regular"/>
          <w:szCs w:val="20"/>
          <w:lang w:val="en-US"/>
        </w:rPr>
        <w:t xml:space="preserve"> </w:t>
      </w:r>
      <w:r w:rsidR="00AE497B">
        <w:rPr>
          <w:rFonts w:cs="CharterITCStd-Regular"/>
          <w:szCs w:val="20"/>
          <w:lang w:val="en-US"/>
        </w:rPr>
        <w:t xml:space="preserve">Up until 2010, </w:t>
      </w:r>
      <w:r w:rsidR="00D3511F">
        <w:rPr>
          <w:rFonts w:cs="CharterITCStd-Regular"/>
          <w:szCs w:val="20"/>
          <w:lang w:val="en-US"/>
        </w:rPr>
        <w:t xml:space="preserve">46% of the world’s middle class lived in growth markets, but by </w:t>
      </w:r>
      <w:r w:rsidR="00A06E9B">
        <w:rPr>
          <w:rFonts w:cs="CharterITCStd-Regular"/>
          <w:szCs w:val="20"/>
          <w:lang w:val="en-US"/>
        </w:rPr>
        <w:t>2020, this will have increased to almost 70% and to nearly 80% by 2030</w:t>
      </w:r>
      <w:r w:rsidR="006D7D5C">
        <w:rPr>
          <w:rStyle w:val="FootnoteReference"/>
          <w:rFonts w:cs="CharterITCStd-Regular"/>
          <w:szCs w:val="20"/>
          <w:lang w:val="en-US"/>
        </w:rPr>
        <w:footnoteReference w:id="5"/>
      </w:r>
      <w:r w:rsidR="00A06E9B">
        <w:rPr>
          <w:rFonts w:cs="CharterITCStd-Regular"/>
          <w:szCs w:val="20"/>
          <w:lang w:val="en-US"/>
        </w:rPr>
        <w:t xml:space="preserve">. </w:t>
      </w:r>
    </w:p>
    <w:p w14:paraId="735051D7" w14:textId="77777777" w:rsidR="00351C2A" w:rsidRPr="00850F9A" w:rsidRDefault="00351C2A" w:rsidP="00351C2A">
      <w:pPr>
        <w:autoSpaceDE w:val="0"/>
        <w:autoSpaceDN w:val="0"/>
        <w:adjustRightInd w:val="0"/>
        <w:spacing w:line="240" w:lineRule="auto"/>
        <w:rPr>
          <w:rFonts w:cs="CharterITCStd-Regular"/>
          <w:szCs w:val="20"/>
        </w:rPr>
      </w:pPr>
    </w:p>
    <w:p w14:paraId="16C9B2F3" w14:textId="77777777" w:rsidR="006D7D5C" w:rsidRPr="00547B51" w:rsidRDefault="00351C2A" w:rsidP="00F30FE5">
      <w:pPr>
        <w:autoSpaceDE w:val="0"/>
        <w:autoSpaceDN w:val="0"/>
        <w:adjustRightInd w:val="0"/>
        <w:spacing w:line="240" w:lineRule="auto"/>
        <w:rPr>
          <w:rFonts w:cs="Arial"/>
          <w:color w:val="000000" w:themeColor="text1"/>
          <w:szCs w:val="20"/>
        </w:rPr>
      </w:pPr>
      <w:r w:rsidRPr="00547B51">
        <w:rPr>
          <w:rFonts w:cs="Arial"/>
          <w:b/>
          <w:color w:val="000000" w:themeColor="text1"/>
          <w:szCs w:val="20"/>
        </w:rPr>
        <w:t>Financial services</w:t>
      </w:r>
    </w:p>
    <w:p w14:paraId="3BF9CB79" w14:textId="03B9E554" w:rsidR="00AB0B28" w:rsidRPr="00850F9A" w:rsidRDefault="00AB0B28" w:rsidP="00AB0B28">
      <w:pPr>
        <w:autoSpaceDE w:val="0"/>
        <w:autoSpaceDN w:val="0"/>
        <w:adjustRightInd w:val="0"/>
        <w:spacing w:line="240" w:lineRule="auto"/>
        <w:rPr>
          <w:rFonts w:cs="CharterITCStd-Regular"/>
          <w:szCs w:val="20"/>
          <w:lang w:val="en-US"/>
        </w:rPr>
      </w:pPr>
      <w:r>
        <w:rPr>
          <w:rFonts w:cs="CharterITCStd-Regular"/>
          <w:szCs w:val="20"/>
          <w:lang w:val="en-US"/>
        </w:rPr>
        <w:t xml:space="preserve">Expanding </w:t>
      </w:r>
      <w:r w:rsidRPr="00850F9A">
        <w:rPr>
          <w:rFonts w:cs="CharterITCStd-Regular"/>
          <w:szCs w:val="20"/>
          <w:lang w:val="en-US"/>
        </w:rPr>
        <w:t xml:space="preserve">access to financial services amongst households will be key to improving the availability of domestic growth capital in growth markets. </w:t>
      </w:r>
      <w:r>
        <w:rPr>
          <w:rFonts w:cs="CharterITCStd-Regular"/>
          <w:szCs w:val="20"/>
          <w:lang w:val="en-US"/>
        </w:rPr>
        <w:t xml:space="preserve">This can be achieved through technological investments, which </w:t>
      </w:r>
      <w:r w:rsidR="00AE497B">
        <w:rPr>
          <w:rFonts w:cs="CharterITCStd-Regular"/>
          <w:szCs w:val="20"/>
          <w:lang w:val="en-US"/>
        </w:rPr>
        <w:t>are</w:t>
      </w:r>
      <w:r>
        <w:rPr>
          <w:rFonts w:cs="CharterITCStd-Regular"/>
          <w:szCs w:val="20"/>
          <w:lang w:val="en-US"/>
        </w:rPr>
        <w:t xml:space="preserve"> key to improve reach and accessibility to financial services; alternative payments such as non-cash transactions; and the launch of non-traditional sector participants such as e-commerce companies and mobile operators. </w:t>
      </w:r>
    </w:p>
    <w:p w14:paraId="38395DE9" w14:textId="76E95B9C" w:rsidR="00D90359" w:rsidRPr="00850F9A" w:rsidRDefault="00D90359" w:rsidP="00351C2A">
      <w:pPr>
        <w:autoSpaceDE w:val="0"/>
        <w:autoSpaceDN w:val="0"/>
        <w:adjustRightInd w:val="0"/>
        <w:spacing w:line="240" w:lineRule="auto"/>
        <w:rPr>
          <w:rFonts w:cs="CharterITCStd-Regular"/>
          <w:szCs w:val="20"/>
        </w:rPr>
      </w:pPr>
    </w:p>
    <w:p w14:paraId="391F0B95" w14:textId="77777777" w:rsidR="00DD02D4" w:rsidRPr="00547B51" w:rsidRDefault="00351C2A" w:rsidP="00351C2A">
      <w:pPr>
        <w:autoSpaceDE w:val="0"/>
        <w:autoSpaceDN w:val="0"/>
        <w:adjustRightInd w:val="0"/>
        <w:spacing w:line="240" w:lineRule="auto"/>
        <w:rPr>
          <w:rFonts w:cs="Arial"/>
          <w:b/>
          <w:color w:val="000000" w:themeColor="text1"/>
          <w:szCs w:val="20"/>
        </w:rPr>
      </w:pPr>
      <w:r w:rsidRPr="00547B51">
        <w:rPr>
          <w:rFonts w:cs="Arial"/>
          <w:b/>
          <w:color w:val="000000" w:themeColor="text1"/>
          <w:szCs w:val="20"/>
        </w:rPr>
        <w:t>Transport &amp; communications</w:t>
      </w:r>
    </w:p>
    <w:p w14:paraId="623AE050" w14:textId="223C098D" w:rsidR="00351C2A" w:rsidRDefault="00351C2A" w:rsidP="00351C2A">
      <w:pPr>
        <w:autoSpaceDE w:val="0"/>
        <w:autoSpaceDN w:val="0"/>
        <w:adjustRightInd w:val="0"/>
        <w:spacing w:line="240" w:lineRule="auto"/>
        <w:rPr>
          <w:rFonts w:cs="CharterITCStd-Regular"/>
          <w:szCs w:val="20"/>
        </w:rPr>
      </w:pPr>
      <w:r w:rsidRPr="00850F9A">
        <w:rPr>
          <w:rFonts w:cs="CharterITCStd-Regular"/>
          <w:szCs w:val="20"/>
        </w:rPr>
        <w:t xml:space="preserve">Connectivity is fundamental to growth in any country, but in many growth markets the scale and quality of connectivity infrastructure, across both transport and </w:t>
      </w:r>
      <w:r w:rsidR="00AB0B28" w:rsidRPr="00DD02D4">
        <w:rPr>
          <w:rFonts w:cs="CharterITCStd-Regular"/>
          <w:szCs w:val="20"/>
        </w:rPr>
        <w:t>communication is</w:t>
      </w:r>
      <w:r w:rsidRPr="00850F9A">
        <w:rPr>
          <w:rFonts w:cs="CharterITCStd-Regular"/>
          <w:szCs w:val="20"/>
        </w:rPr>
        <w:t xml:space="preserve"> below what is needed to facilitate and sustain high growth. This presents many opportunities </w:t>
      </w:r>
      <w:r w:rsidR="00900E2D">
        <w:rPr>
          <w:rFonts w:cs="CharterITCStd-Regular"/>
          <w:szCs w:val="20"/>
        </w:rPr>
        <w:t xml:space="preserve">to venture into </w:t>
      </w:r>
      <w:r w:rsidR="00AB0B28">
        <w:rPr>
          <w:rFonts w:cs="CharterITCStd-Regular"/>
          <w:szCs w:val="20"/>
        </w:rPr>
        <w:t xml:space="preserve">areas such as improving road connectivity, increasing third-party logistics services, </w:t>
      </w:r>
      <w:r w:rsidR="00900E2D">
        <w:rPr>
          <w:rFonts w:cs="CharterITCStd-Regular"/>
          <w:szCs w:val="20"/>
        </w:rPr>
        <w:t xml:space="preserve">and in increasing mobile </w:t>
      </w:r>
      <w:r w:rsidR="003F285F">
        <w:rPr>
          <w:rFonts w:cs="CharterITCStd-Regular"/>
          <w:szCs w:val="20"/>
        </w:rPr>
        <w:t xml:space="preserve">and Internet </w:t>
      </w:r>
      <w:r w:rsidR="00900E2D">
        <w:rPr>
          <w:rFonts w:cs="CharterITCStd-Regular"/>
          <w:szCs w:val="20"/>
        </w:rPr>
        <w:t xml:space="preserve">penetration in both urban and rural communities in maturing markets. </w:t>
      </w:r>
    </w:p>
    <w:p w14:paraId="1EB3F205" w14:textId="77777777" w:rsidR="003F285F" w:rsidRDefault="003F285F" w:rsidP="00351C2A">
      <w:pPr>
        <w:autoSpaceDE w:val="0"/>
        <w:autoSpaceDN w:val="0"/>
        <w:adjustRightInd w:val="0"/>
        <w:spacing w:line="240" w:lineRule="auto"/>
        <w:rPr>
          <w:rFonts w:cs="CharterITCStd-Regular"/>
          <w:szCs w:val="20"/>
        </w:rPr>
      </w:pPr>
    </w:p>
    <w:p w14:paraId="0BD4876B" w14:textId="0D9F84A9" w:rsidR="00D90359" w:rsidRPr="00850F9A" w:rsidRDefault="003F285F" w:rsidP="00351C2A">
      <w:pPr>
        <w:autoSpaceDE w:val="0"/>
        <w:autoSpaceDN w:val="0"/>
        <w:adjustRightInd w:val="0"/>
        <w:spacing w:line="240" w:lineRule="auto"/>
        <w:rPr>
          <w:rFonts w:cs="CharterITCStd-Regular"/>
          <w:szCs w:val="20"/>
        </w:rPr>
      </w:pPr>
      <w:r>
        <w:rPr>
          <w:b/>
          <w:szCs w:val="20"/>
        </w:rPr>
        <w:t>Capabilit</w:t>
      </w:r>
      <w:r w:rsidR="000D610D">
        <w:rPr>
          <w:b/>
          <w:szCs w:val="20"/>
        </w:rPr>
        <w:t xml:space="preserve">ies needed </w:t>
      </w:r>
      <w:r>
        <w:rPr>
          <w:b/>
          <w:szCs w:val="20"/>
        </w:rPr>
        <w:t>for success</w:t>
      </w:r>
    </w:p>
    <w:p w14:paraId="726E9E43" w14:textId="77777777" w:rsidR="003F285F" w:rsidRPr="00850F9A" w:rsidRDefault="003F285F" w:rsidP="00547B51">
      <w:pPr>
        <w:spacing w:line="240" w:lineRule="auto"/>
        <w:rPr>
          <w:rFonts w:cs="CharterITCStd-Regular"/>
          <w:szCs w:val="20"/>
        </w:rPr>
      </w:pPr>
      <w:r w:rsidRPr="00991A93">
        <w:rPr>
          <w:rFonts w:cs="CharterITCStd-Regular"/>
          <w:szCs w:val="20"/>
        </w:rPr>
        <w:t>The report also discusses capabilities required to navigate through the complex business environment and institutional voids associated with growth markets. Companies will need to develop flexible business models which are more suitable for the local market, while developing new capabilities based on operational efficiency, innovation</w:t>
      </w:r>
      <w:r w:rsidRPr="00850F9A">
        <w:rPr>
          <w:rFonts w:cs="CharterITCStd-Regular"/>
          <w:szCs w:val="20"/>
        </w:rPr>
        <w:t xml:space="preserve"> and go-to-market excellence.</w:t>
      </w:r>
    </w:p>
    <w:p w14:paraId="07BC5746" w14:textId="77777777" w:rsidR="00351C2A" w:rsidRPr="00850F9A" w:rsidRDefault="00351C2A">
      <w:pPr>
        <w:autoSpaceDE w:val="0"/>
        <w:autoSpaceDN w:val="0"/>
        <w:adjustRightInd w:val="0"/>
        <w:spacing w:line="240" w:lineRule="auto"/>
        <w:rPr>
          <w:rFonts w:cs="CharterITCStd-Regular"/>
          <w:szCs w:val="20"/>
        </w:rPr>
      </w:pPr>
    </w:p>
    <w:p w14:paraId="5F6CD5B8" w14:textId="74473352" w:rsidR="00351C2A" w:rsidRPr="00850F9A" w:rsidRDefault="00351C2A">
      <w:pPr>
        <w:autoSpaceDE w:val="0"/>
        <w:autoSpaceDN w:val="0"/>
        <w:adjustRightInd w:val="0"/>
        <w:spacing w:line="240" w:lineRule="auto"/>
        <w:rPr>
          <w:rFonts w:cs="CharterITCStd-Regular"/>
          <w:szCs w:val="20"/>
        </w:rPr>
      </w:pPr>
      <w:r w:rsidRPr="00850F9A">
        <w:rPr>
          <w:szCs w:val="20"/>
        </w:rPr>
        <w:t xml:space="preserve">David </w:t>
      </w:r>
      <w:proofErr w:type="spellStart"/>
      <w:r w:rsidRPr="00850F9A">
        <w:rPr>
          <w:szCs w:val="20"/>
        </w:rPr>
        <w:t>Wijeratne</w:t>
      </w:r>
      <w:proofErr w:type="spellEnd"/>
      <w:r w:rsidRPr="00850F9A">
        <w:rPr>
          <w:szCs w:val="20"/>
        </w:rPr>
        <w:t>, PwC’s Growth Markets Centre Leader, says:</w:t>
      </w:r>
    </w:p>
    <w:p w14:paraId="6D4FE402" w14:textId="77777777" w:rsidR="00351C2A" w:rsidRPr="00850F9A" w:rsidRDefault="00351C2A">
      <w:pPr>
        <w:autoSpaceDE w:val="0"/>
        <w:autoSpaceDN w:val="0"/>
        <w:adjustRightInd w:val="0"/>
        <w:spacing w:line="240" w:lineRule="auto"/>
        <w:rPr>
          <w:rFonts w:cs="CharterITCStd-Regular"/>
          <w:szCs w:val="20"/>
        </w:rPr>
      </w:pPr>
    </w:p>
    <w:p w14:paraId="637F5471" w14:textId="76F6178B" w:rsidR="00351C2A" w:rsidRPr="00850F9A" w:rsidRDefault="00351C2A">
      <w:pPr>
        <w:autoSpaceDE w:val="0"/>
        <w:autoSpaceDN w:val="0"/>
        <w:adjustRightInd w:val="0"/>
        <w:spacing w:line="240" w:lineRule="auto"/>
        <w:ind w:left="720"/>
        <w:rPr>
          <w:rFonts w:cs="CharterITCStd-Regular"/>
          <w:color w:val="000000" w:themeColor="text1"/>
          <w:szCs w:val="20"/>
        </w:rPr>
      </w:pPr>
      <w:r w:rsidRPr="00850F9A">
        <w:rPr>
          <w:rFonts w:cs="CharterITCStd-Regular"/>
          <w:color w:val="000000" w:themeColor="text1"/>
          <w:szCs w:val="20"/>
        </w:rPr>
        <w:t xml:space="preserve">“As we enter </w:t>
      </w:r>
      <w:r w:rsidR="00991A93">
        <w:rPr>
          <w:rFonts w:cs="CharterITCStd-Regular"/>
          <w:color w:val="000000" w:themeColor="text1"/>
          <w:szCs w:val="20"/>
        </w:rPr>
        <w:t>2017</w:t>
      </w:r>
      <w:r w:rsidRPr="00850F9A">
        <w:rPr>
          <w:rFonts w:cs="CharterITCStd-Regular"/>
          <w:color w:val="000000" w:themeColor="text1"/>
          <w:szCs w:val="20"/>
        </w:rPr>
        <w:t>,</w:t>
      </w:r>
      <w:r w:rsidR="00F30FE5">
        <w:rPr>
          <w:rFonts w:cs="CharterITCStd-Regular"/>
          <w:color w:val="000000" w:themeColor="text1"/>
          <w:szCs w:val="20"/>
        </w:rPr>
        <w:t xml:space="preserve"> it’s clear that</w:t>
      </w:r>
      <w:r w:rsidRPr="00850F9A">
        <w:rPr>
          <w:rFonts w:cs="CharterITCStd-Regular"/>
          <w:color w:val="000000" w:themeColor="text1"/>
          <w:szCs w:val="20"/>
        </w:rPr>
        <w:t xml:space="preserve"> growth markets are on the verge of a new era of leading global growth in which they are projected to enjoy almost two times the absolute growth in GDP as compared to developed mar</w:t>
      </w:r>
      <w:r w:rsidR="00FF002A">
        <w:rPr>
          <w:rFonts w:cs="CharterITCStd-Regular"/>
          <w:color w:val="000000" w:themeColor="text1"/>
          <w:szCs w:val="20"/>
        </w:rPr>
        <w:t>kets by 2021, and account for 65</w:t>
      </w:r>
      <w:r w:rsidRPr="00850F9A">
        <w:rPr>
          <w:rFonts w:cs="CharterITCStd-Regular"/>
          <w:color w:val="000000" w:themeColor="text1"/>
          <w:szCs w:val="20"/>
        </w:rPr>
        <w:t>% of global growth within the next five years. This will create significant opportunities for private sector players looking to create and deliver value to the billions of people expected to join the middle class in these markets.”</w:t>
      </w:r>
    </w:p>
    <w:p w14:paraId="2D0668DC" w14:textId="1F0D2FD2" w:rsidR="001550F4" w:rsidRPr="00850F9A" w:rsidRDefault="001550F4" w:rsidP="00F566FF">
      <w:pPr>
        <w:autoSpaceDE w:val="0"/>
        <w:autoSpaceDN w:val="0"/>
        <w:adjustRightInd w:val="0"/>
        <w:spacing w:line="240" w:lineRule="auto"/>
        <w:rPr>
          <w:rFonts w:cs="CharterITC-Regu"/>
          <w:b/>
          <w:color w:val="000000" w:themeColor="text1"/>
          <w:szCs w:val="20"/>
        </w:rPr>
      </w:pPr>
    </w:p>
    <w:p w14:paraId="60ADEDE3" w14:textId="10091CF3" w:rsidR="005C4682" w:rsidRPr="003945F7" w:rsidRDefault="00EB59E8" w:rsidP="003945F7">
      <w:pPr>
        <w:pStyle w:val="ReleaseBodyText"/>
        <w:jc w:val="right"/>
        <w:rPr>
          <w:rFonts w:ascii="Georgia" w:hAnsi="Georgia" w:cs="Georgia"/>
          <w:b/>
          <w:bCs/>
          <w:color w:val="000000"/>
          <w:lang w:eastAsia="en-GB"/>
        </w:rPr>
      </w:pPr>
      <w:r w:rsidRPr="00850F9A">
        <w:rPr>
          <w:rFonts w:ascii="Georgia" w:hAnsi="Georgia" w:cs="Georgia"/>
          <w:b/>
          <w:bCs/>
          <w:color w:val="000000"/>
          <w:lang w:eastAsia="en-GB"/>
        </w:rPr>
        <w:t>Ends</w:t>
      </w:r>
      <w:bookmarkStart w:id="0" w:name="_GoBack"/>
      <w:bookmarkEnd w:id="0"/>
    </w:p>
    <w:p w14:paraId="1EB1C485" w14:textId="508530BF" w:rsidR="00AE3B4D" w:rsidRPr="00850F9A" w:rsidRDefault="00EB59E8" w:rsidP="00850F9A">
      <w:pPr>
        <w:spacing w:line="240" w:lineRule="auto"/>
        <w:rPr>
          <w:b/>
          <w:szCs w:val="20"/>
        </w:rPr>
      </w:pPr>
      <w:r w:rsidRPr="00850F9A">
        <w:rPr>
          <w:b/>
          <w:szCs w:val="20"/>
        </w:rPr>
        <w:lastRenderedPageBreak/>
        <w:t>Note</w:t>
      </w:r>
      <w:r w:rsidRPr="00850F9A">
        <w:rPr>
          <w:b/>
          <w:strike/>
          <w:szCs w:val="20"/>
        </w:rPr>
        <w:t>s</w:t>
      </w:r>
      <w:r w:rsidR="00E35B73" w:rsidRPr="00850F9A">
        <w:rPr>
          <w:b/>
          <w:szCs w:val="20"/>
        </w:rPr>
        <w:t xml:space="preserve"> to editor:</w:t>
      </w:r>
    </w:p>
    <w:p w14:paraId="29335A87" w14:textId="77777777" w:rsidR="00AE3B4D" w:rsidRPr="00850F9A" w:rsidRDefault="00AE3B4D" w:rsidP="00AE3B4D">
      <w:pPr>
        <w:tabs>
          <w:tab w:val="left" w:pos="2043"/>
        </w:tabs>
        <w:autoSpaceDE w:val="0"/>
        <w:autoSpaceDN w:val="0"/>
        <w:adjustRightInd w:val="0"/>
        <w:spacing w:line="240" w:lineRule="auto"/>
        <w:rPr>
          <w:b/>
          <w:szCs w:val="20"/>
        </w:rPr>
      </w:pPr>
    </w:p>
    <w:p w14:paraId="154CD795" w14:textId="4FAC53AB" w:rsidR="00351C2A" w:rsidRPr="00850F9A" w:rsidRDefault="00351C2A" w:rsidP="00351C2A">
      <w:pPr>
        <w:pStyle w:val="NormalWeb"/>
        <w:shd w:val="clear" w:color="auto" w:fill="FFFFFF"/>
        <w:spacing w:before="0" w:beforeAutospacing="0" w:after="269" w:afterAutospacing="0"/>
        <w:rPr>
          <w:rFonts w:ascii="Georgia" w:hAnsi="Georgia" w:cs="Arial"/>
          <w:color w:val="000000"/>
          <w:sz w:val="20"/>
          <w:szCs w:val="20"/>
        </w:rPr>
      </w:pPr>
      <w:r w:rsidRPr="00850F9A">
        <w:rPr>
          <w:rFonts w:ascii="Georgia" w:hAnsi="Georgia" w:cs="Arial"/>
          <w:color w:val="000000"/>
          <w:sz w:val="20"/>
          <w:szCs w:val="20"/>
        </w:rPr>
        <w:t xml:space="preserve">PwC’s Growth Markets Centre </w:t>
      </w:r>
      <w:r w:rsidR="00991A93">
        <w:rPr>
          <w:rFonts w:ascii="Georgia" w:hAnsi="Georgia" w:cs="Arial"/>
          <w:color w:val="000000"/>
          <w:sz w:val="20"/>
          <w:szCs w:val="20"/>
        </w:rPr>
        <w:t>is global team, which supports companies navigate the ever changing complexities of entering and expanding into and from developing markets</w:t>
      </w:r>
      <w:r w:rsidRPr="00850F9A">
        <w:rPr>
          <w:rFonts w:ascii="Georgia" w:hAnsi="Georgia" w:cs="Arial"/>
          <w:color w:val="000000"/>
          <w:sz w:val="20"/>
          <w:szCs w:val="20"/>
        </w:rPr>
        <w:t xml:space="preserve">. For more information, </w:t>
      </w:r>
      <w:r w:rsidR="00991A93">
        <w:rPr>
          <w:rFonts w:ascii="Georgia" w:hAnsi="Georgia" w:cs="Arial"/>
          <w:color w:val="000000"/>
          <w:sz w:val="20"/>
          <w:szCs w:val="20"/>
        </w:rPr>
        <w:t xml:space="preserve">please contact </w:t>
      </w:r>
      <w:hyperlink r:id="rId10" w:history="1">
        <w:r w:rsidR="00991A93" w:rsidRPr="00991A93">
          <w:rPr>
            <w:rStyle w:val="Hyperlink"/>
            <w:rFonts w:ascii="Georgia" w:hAnsi="Georgia" w:cs="Arial"/>
            <w:sz w:val="20"/>
            <w:szCs w:val="20"/>
          </w:rPr>
          <w:t>David Wijeratne</w:t>
        </w:r>
      </w:hyperlink>
      <w:r w:rsidR="00991A93">
        <w:rPr>
          <w:rFonts w:ascii="Georgia" w:hAnsi="Georgia" w:cs="Arial"/>
          <w:color w:val="000000"/>
          <w:sz w:val="20"/>
          <w:szCs w:val="20"/>
        </w:rPr>
        <w:t xml:space="preserve"> – PwC Growth Markets Centre Leader or </w:t>
      </w:r>
      <w:r w:rsidRPr="00850F9A">
        <w:rPr>
          <w:rFonts w:ascii="Georgia" w:hAnsi="Georgia" w:cs="Arial"/>
          <w:color w:val="000000"/>
          <w:sz w:val="20"/>
          <w:szCs w:val="20"/>
        </w:rPr>
        <w:t>visit</w:t>
      </w:r>
      <w:r w:rsidRPr="00850F9A">
        <w:rPr>
          <w:rStyle w:val="apple-converted-space"/>
          <w:rFonts w:ascii="Georgia" w:hAnsi="Georgia" w:cs="Arial"/>
          <w:color w:val="000000"/>
          <w:sz w:val="20"/>
          <w:szCs w:val="20"/>
        </w:rPr>
        <w:t> </w:t>
      </w:r>
      <w:hyperlink r:id="rId11" w:tgtFrame="_blank" w:history="1">
        <w:r w:rsidRPr="00850F9A">
          <w:rPr>
            <w:rStyle w:val="Hyperlink"/>
            <w:rFonts w:ascii="Georgia" w:hAnsi="Georgia" w:cs="Arial"/>
            <w:color w:val="2BA6CB"/>
            <w:sz w:val="20"/>
            <w:szCs w:val="20"/>
          </w:rPr>
          <w:t>www.pwc.com/gmc</w:t>
        </w:r>
      </w:hyperlink>
      <w:r w:rsidRPr="00850F9A">
        <w:rPr>
          <w:color w:val="000000"/>
          <w:sz w:val="20"/>
          <w:szCs w:val="20"/>
        </w:rPr>
        <w:t>​</w:t>
      </w:r>
    </w:p>
    <w:p w14:paraId="3FF72EA2" w14:textId="031ED6D9" w:rsidR="00351C2A" w:rsidRPr="00850F9A" w:rsidRDefault="00351C2A" w:rsidP="00351C2A">
      <w:pPr>
        <w:pStyle w:val="NormalWeb"/>
        <w:shd w:val="clear" w:color="auto" w:fill="FFFFFF"/>
        <w:spacing w:before="0" w:beforeAutospacing="0" w:after="269" w:afterAutospacing="0"/>
        <w:rPr>
          <w:rFonts w:ascii="Georgia" w:hAnsi="Georgia" w:cs="Arial"/>
          <w:color w:val="000000"/>
          <w:sz w:val="20"/>
          <w:szCs w:val="20"/>
        </w:rPr>
      </w:pPr>
      <w:r w:rsidRPr="00850F9A">
        <w:rPr>
          <w:rFonts w:ascii="Georgia" w:hAnsi="Georgia" w:cs="Arial"/>
          <w:color w:val="000000"/>
          <w:sz w:val="20"/>
          <w:szCs w:val="20"/>
        </w:rPr>
        <w:t>You can download a copy of ‘Winning in maturing markets’ </w:t>
      </w:r>
      <w:hyperlink r:id="rId12" w:tgtFrame="_blank" w:history="1">
        <w:r w:rsidRPr="00850F9A">
          <w:rPr>
            <w:rStyle w:val="Hyperlink"/>
            <w:rFonts w:ascii="Georgia" w:hAnsi="Georgia" w:cs="Arial"/>
            <w:color w:val="2BA6CB"/>
            <w:sz w:val="20"/>
            <w:szCs w:val="20"/>
          </w:rPr>
          <w:t>here</w:t>
        </w:r>
      </w:hyperlink>
      <w:r w:rsidRPr="00850F9A">
        <w:rPr>
          <w:color w:val="000000"/>
          <w:sz w:val="20"/>
          <w:szCs w:val="20"/>
        </w:rPr>
        <w:t>​</w:t>
      </w:r>
      <w:r w:rsidRPr="00850F9A">
        <w:rPr>
          <w:rFonts w:ascii="Georgia" w:hAnsi="Georgia" w:cs="Arial"/>
          <w:color w:val="000000"/>
          <w:sz w:val="20"/>
          <w:szCs w:val="20"/>
        </w:rPr>
        <w:t>.</w:t>
      </w:r>
    </w:p>
    <w:p w14:paraId="225E2260" w14:textId="77777777" w:rsidR="005C4682" w:rsidRPr="00850F9A" w:rsidRDefault="00B87D94" w:rsidP="005C4682">
      <w:pPr>
        <w:pStyle w:val="NormalWeb"/>
        <w:shd w:val="clear" w:color="auto" w:fill="FFFFFF"/>
        <w:spacing w:after="120" w:afterAutospacing="0"/>
        <w:rPr>
          <w:rFonts w:ascii="Georgia" w:hAnsi="Georgia" w:cs="Georgia"/>
          <w:b/>
          <w:sz w:val="20"/>
          <w:szCs w:val="20"/>
        </w:rPr>
      </w:pPr>
      <w:r w:rsidRPr="00850F9A">
        <w:rPr>
          <w:rFonts w:ascii="Georgia" w:hAnsi="Georgia" w:cs="Georgia"/>
          <w:b/>
          <w:sz w:val="20"/>
          <w:szCs w:val="20"/>
        </w:rPr>
        <w:t>About PwC</w:t>
      </w:r>
    </w:p>
    <w:p w14:paraId="752F4B14" w14:textId="441A26AC" w:rsidR="00A43813" w:rsidRPr="00850F9A" w:rsidRDefault="00D41942" w:rsidP="005C4682">
      <w:pPr>
        <w:pStyle w:val="NormalWeb"/>
        <w:shd w:val="clear" w:color="auto" w:fill="FFFFFF"/>
        <w:spacing w:after="120" w:afterAutospacing="0"/>
        <w:rPr>
          <w:rFonts w:ascii="Georgia" w:eastAsia="Calibri" w:hAnsi="Georgia" w:cs="Georgia"/>
          <w:color w:val="000000"/>
          <w:sz w:val="20"/>
          <w:szCs w:val="20"/>
        </w:rPr>
      </w:pPr>
      <w:r w:rsidRPr="00850F9A">
        <w:rPr>
          <w:rFonts w:ascii="Georgia" w:hAnsi="Georgia" w:cs="Georgia"/>
          <w:sz w:val="20"/>
          <w:szCs w:val="20"/>
        </w:rPr>
        <w:t xml:space="preserve">At PwC, our purpose is to build trust in society and solve important problems. We’re a network of firms in </w:t>
      </w:r>
      <w:r w:rsidR="00D03811" w:rsidRPr="00850F9A">
        <w:rPr>
          <w:rFonts w:ascii="Georgia" w:hAnsi="Georgia" w:cs="Georgia"/>
          <w:sz w:val="20"/>
          <w:szCs w:val="20"/>
        </w:rPr>
        <w:t>157 countries with more than 223</w:t>
      </w:r>
      <w:r w:rsidRPr="00850F9A">
        <w:rPr>
          <w:rFonts w:ascii="Georgia" w:hAnsi="Georgia" w:cs="Georgia"/>
          <w:sz w:val="20"/>
          <w:szCs w:val="20"/>
        </w:rPr>
        <w:t xml:space="preserve">,000 people who are committed to delivering quality in assurance, advisory and tax services. Find out more and tell us what matters to you by visiting us at </w:t>
      </w:r>
      <w:hyperlink r:id="rId13" w:history="1">
        <w:r w:rsidR="009174E4" w:rsidRPr="00850F9A">
          <w:rPr>
            <w:rStyle w:val="Hyperlink"/>
            <w:rFonts w:ascii="Georgia" w:hAnsi="Georgia" w:cs="Georgia"/>
            <w:sz w:val="20"/>
            <w:szCs w:val="20"/>
          </w:rPr>
          <w:t>www.pwc.com</w:t>
        </w:r>
      </w:hyperlink>
      <w:r w:rsidR="009174E4" w:rsidRPr="00850F9A">
        <w:rPr>
          <w:rFonts w:ascii="Georgia" w:hAnsi="Georgia" w:cs="Georgia"/>
          <w:sz w:val="20"/>
          <w:szCs w:val="20"/>
        </w:rPr>
        <w:t>.</w:t>
      </w:r>
      <w:r w:rsidR="009174E4" w:rsidRPr="00850F9A">
        <w:rPr>
          <w:rFonts w:ascii="Georgia" w:eastAsia="Calibri" w:hAnsi="Georgia" w:cs="Georgia"/>
          <w:color w:val="000000"/>
          <w:sz w:val="20"/>
          <w:szCs w:val="20"/>
        </w:rPr>
        <w:t xml:space="preserve"> </w:t>
      </w:r>
      <w:r w:rsidRPr="00850F9A">
        <w:rPr>
          <w:rFonts w:ascii="Georgia" w:eastAsia="Calibri" w:hAnsi="Georgia" w:cs="Georgia"/>
          <w:color w:val="000000"/>
          <w:sz w:val="20"/>
          <w:szCs w:val="20"/>
        </w:rPr>
        <w:br/>
      </w:r>
      <w:r w:rsidRPr="00850F9A">
        <w:rPr>
          <w:rFonts w:ascii="Georgia" w:eastAsia="Calibri" w:hAnsi="Georgia" w:cs="Georgia"/>
          <w:color w:val="000000"/>
          <w:sz w:val="20"/>
          <w:szCs w:val="20"/>
        </w:rPr>
        <w:br/>
      </w:r>
      <w:r w:rsidRPr="00850F9A">
        <w:rPr>
          <w:rFonts w:ascii="Georgia" w:hAnsi="Georgia" w:cs="Georgia"/>
          <w:sz w:val="20"/>
          <w:szCs w:val="20"/>
        </w:rPr>
        <w:t xml:space="preserve">PwC refers to the PwC network and/or one or more of its member firms, each of which is a separate legal entity. Please see </w:t>
      </w:r>
      <w:hyperlink r:id="rId14" w:history="1">
        <w:r w:rsidR="009174E4" w:rsidRPr="00850F9A">
          <w:rPr>
            <w:rStyle w:val="Hyperlink"/>
            <w:rFonts w:ascii="Georgia" w:hAnsi="Georgia" w:cs="Georgia"/>
            <w:sz w:val="20"/>
            <w:szCs w:val="20"/>
          </w:rPr>
          <w:t>www.pwc.com/structure</w:t>
        </w:r>
      </w:hyperlink>
      <w:r w:rsidR="009174E4" w:rsidRPr="00850F9A">
        <w:rPr>
          <w:rFonts w:ascii="Georgia" w:hAnsi="Georgia" w:cs="Georgia"/>
          <w:sz w:val="20"/>
          <w:szCs w:val="20"/>
        </w:rPr>
        <w:t xml:space="preserve"> </w:t>
      </w:r>
      <w:r w:rsidR="00D03811" w:rsidRPr="00850F9A">
        <w:rPr>
          <w:rFonts w:ascii="Georgia" w:hAnsi="Georgia" w:cs="Georgia"/>
          <w:sz w:val="20"/>
          <w:szCs w:val="20"/>
        </w:rPr>
        <w:t>for further details.</w:t>
      </w:r>
      <w:r w:rsidR="00D03811" w:rsidRPr="00850F9A">
        <w:rPr>
          <w:rFonts w:ascii="Georgia" w:hAnsi="Georgia" w:cs="Georgia"/>
          <w:sz w:val="20"/>
          <w:szCs w:val="20"/>
        </w:rPr>
        <w:br/>
      </w:r>
      <w:r w:rsidR="00D03811" w:rsidRPr="00850F9A">
        <w:rPr>
          <w:rFonts w:ascii="Georgia" w:hAnsi="Georgia" w:cs="Georgia"/>
          <w:sz w:val="20"/>
          <w:szCs w:val="20"/>
        </w:rPr>
        <w:br/>
        <w:t>© 2017</w:t>
      </w:r>
      <w:r w:rsidRPr="00850F9A">
        <w:rPr>
          <w:rFonts w:ascii="Georgia" w:hAnsi="Georgia" w:cs="Georgia"/>
          <w:sz w:val="20"/>
          <w:szCs w:val="20"/>
        </w:rPr>
        <w:t xml:space="preserve"> PwC. All rights reserved.</w:t>
      </w:r>
      <w:r w:rsidR="00F308ED" w:rsidRPr="00850F9A">
        <w:rPr>
          <w:rFonts w:ascii="Georgia" w:hAnsi="Georgia" w:cs="Georgia"/>
          <w:sz w:val="20"/>
          <w:szCs w:val="20"/>
        </w:rPr>
        <w:br/>
      </w:r>
    </w:p>
    <w:sectPr w:rsidR="00A43813" w:rsidRPr="00850F9A" w:rsidSect="00D41942">
      <w:headerReference w:type="even" r:id="rId15"/>
      <w:headerReference w:type="default" r:id="rId16"/>
      <w:footerReference w:type="even" r:id="rId17"/>
      <w:footerReference w:type="default" r:id="rId18"/>
      <w:headerReference w:type="first" r:id="rId19"/>
      <w:pgSz w:w="11907" w:h="16839"/>
      <w:pgMar w:top="3137" w:right="850" w:bottom="851"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12A2" w14:textId="77777777" w:rsidR="00B166D2" w:rsidRDefault="00B166D2">
      <w:pPr>
        <w:spacing w:line="240" w:lineRule="auto"/>
      </w:pPr>
      <w:r>
        <w:separator/>
      </w:r>
    </w:p>
  </w:endnote>
  <w:endnote w:type="continuationSeparator" w:id="0">
    <w:p w14:paraId="72B2F9AC" w14:textId="77777777" w:rsidR="00B166D2" w:rsidRDefault="00B16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 w:name="CharterITCSt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7024" w14:textId="77777777" w:rsidR="004B1F5A" w:rsidRDefault="004B1F5A">
    <w:pPr>
      <w:pStyle w:val="Footer"/>
    </w:pPr>
    <w:r>
      <w:fldChar w:fldCharType="begin"/>
    </w:r>
    <w:r>
      <w:instrText xml:space="preserve"> PAGE  \* MERGEFORMAT </w:instrText>
    </w:r>
    <w:r>
      <w:fldChar w:fldCharType="separate"/>
    </w:r>
    <w:r w:rsidR="003945F7">
      <w:rPr>
        <w:noProof/>
      </w:rPr>
      <w:t>2</w:t>
    </w:r>
    <w:r>
      <w:rPr>
        <w:noProof/>
      </w:rPr>
      <w:fldChar w:fldCharType="end"/>
    </w:r>
    <w:r>
      <w:t xml:space="preserve"> of </w:t>
    </w:r>
    <w:fldSimple w:instr=" NUMPAGES  \* MERGEFORMAT ">
      <w:r w:rsidR="003945F7">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BB0D" w14:textId="77777777" w:rsidR="004B1F5A" w:rsidRDefault="004B1F5A">
    <w:pPr>
      <w:pStyle w:val="Footer"/>
    </w:pPr>
    <w:r>
      <w:fldChar w:fldCharType="begin"/>
    </w:r>
    <w:r>
      <w:instrText xml:space="preserve"> PAGE  \* MERGEFORMAT </w:instrText>
    </w:r>
    <w:r>
      <w:fldChar w:fldCharType="separate"/>
    </w:r>
    <w:r w:rsidR="003945F7">
      <w:rPr>
        <w:noProof/>
      </w:rPr>
      <w:t>3</w:t>
    </w:r>
    <w:r>
      <w:rPr>
        <w:noProof/>
      </w:rPr>
      <w:fldChar w:fldCharType="end"/>
    </w:r>
    <w:r>
      <w:t xml:space="preserve"> of </w:t>
    </w:r>
    <w:fldSimple w:instr=" NUMPAGES  \* MERGEFORMAT ">
      <w:r w:rsidR="003945F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073C" w14:textId="77777777" w:rsidR="00B166D2" w:rsidRDefault="00B166D2">
      <w:pPr>
        <w:spacing w:line="240" w:lineRule="auto"/>
      </w:pPr>
      <w:r>
        <w:separator/>
      </w:r>
    </w:p>
  </w:footnote>
  <w:footnote w:type="continuationSeparator" w:id="0">
    <w:p w14:paraId="5E7CCD81" w14:textId="77777777" w:rsidR="00B166D2" w:rsidRDefault="00B166D2">
      <w:pPr>
        <w:spacing w:line="240" w:lineRule="auto"/>
      </w:pPr>
      <w:r>
        <w:continuationSeparator/>
      </w:r>
    </w:p>
  </w:footnote>
  <w:footnote w:id="1">
    <w:p w14:paraId="11782233" w14:textId="570EED79" w:rsidR="00A342C8" w:rsidRPr="00850F9A" w:rsidRDefault="00A342C8" w:rsidP="00850F9A">
      <w:pPr>
        <w:autoSpaceDE w:val="0"/>
        <w:autoSpaceDN w:val="0"/>
        <w:adjustRightInd w:val="0"/>
        <w:spacing w:line="240" w:lineRule="auto"/>
        <w:rPr>
          <w:rFonts w:ascii="CharterITCStd-Regular" w:hAnsi="CharterITCStd-Regular" w:cs="CharterITCStd-Regular"/>
          <w:sz w:val="18"/>
          <w:szCs w:val="18"/>
          <w:lang w:val="en-US" w:eastAsia="en-GB"/>
        </w:rPr>
      </w:pPr>
      <w:r>
        <w:rPr>
          <w:rStyle w:val="FootnoteReference"/>
        </w:rPr>
        <w:footnoteRef/>
      </w:r>
      <w:r>
        <w:t xml:space="preserve"> </w:t>
      </w:r>
      <w:r>
        <w:rPr>
          <w:rFonts w:ascii="CharterITCStd-Regular" w:hAnsi="CharterITCStd-Regular" w:cs="CharterITCStd-Regular"/>
          <w:sz w:val="18"/>
          <w:szCs w:val="18"/>
          <w:lang w:val="en-US" w:eastAsia="en-GB"/>
        </w:rPr>
        <w:t>International Monetary Fund, World Economic Outlook, October 2016.</w:t>
      </w:r>
    </w:p>
  </w:footnote>
  <w:footnote w:id="2">
    <w:p w14:paraId="400376EB" w14:textId="13A3D06F" w:rsidR="00253EB4" w:rsidRDefault="00253EB4">
      <w:pPr>
        <w:pStyle w:val="FootnoteText"/>
      </w:pPr>
      <w:r>
        <w:rPr>
          <w:rStyle w:val="FootnoteReference"/>
        </w:rPr>
        <w:footnoteRef/>
      </w:r>
      <w:r>
        <w:t xml:space="preserve"> </w:t>
      </w:r>
      <w:r>
        <w:rPr>
          <w:rFonts w:ascii="CharterITCStd-Regular" w:hAnsi="CharterITCStd-Regular" w:cs="CharterITCStd-Regular"/>
          <w:sz w:val="18"/>
          <w:szCs w:val="18"/>
          <w:lang w:val="en-US" w:eastAsia="en-GB"/>
        </w:rPr>
        <w:t>Business Monitor International, 2016.</w:t>
      </w:r>
    </w:p>
  </w:footnote>
  <w:footnote w:id="3">
    <w:p w14:paraId="70970736" w14:textId="295974D5" w:rsidR="002A0D89" w:rsidRPr="00850F9A" w:rsidRDefault="002A0D89" w:rsidP="00850F9A">
      <w:pPr>
        <w:autoSpaceDE w:val="0"/>
        <w:autoSpaceDN w:val="0"/>
        <w:adjustRightInd w:val="0"/>
        <w:spacing w:line="240" w:lineRule="auto"/>
        <w:rPr>
          <w:rFonts w:ascii="CharterITCStd-Regular" w:hAnsi="CharterITCStd-Regular" w:cs="CharterITCStd-Regular"/>
          <w:sz w:val="18"/>
          <w:szCs w:val="18"/>
          <w:lang w:val="en-US" w:eastAsia="en-GB"/>
        </w:rPr>
      </w:pPr>
      <w:r>
        <w:rPr>
          <w:rStyle w:val="FootnoteReference"/>
        </w:rPr>
        <w:footnoteRef/>
      </w:r>
      <w:r>
        <w:t xml:space="preserve"> </w:t>
      </w:r>
      <w:r>
        <w:rPr>
          <w:rFonts w:ascii="CharterITCStd-Regular" w:hAnsi="CharterITCStd-Regular" w:cs="CharterITCStd-Regular"/>
          <w:sz w:val="18"/>
          <w:szCs w:val="18"/>
          <w:lang w:val="en-US" w:eastAsia="en-GB"/>
        </w:rPr>
        <w:t>World Economic Forum, Health Systems Leapfrogging in Emerging Economies, January 2014.</w:t>
      </w:r>
    </w:p>
  </w:footnote>
  <w:footnote w:id="4">
    <w:p w14:paraId="7A3467C9" w14:textId="77777777" w:rsidR="009326ED" w:rsidRPr="00850F9A" w:rsidRDefault="009326ED" w:rsidP="009326ED">
      <w:pPr>
        <w:autoSpaceDE w:val="0"/>
        <w:autoSpaceDN w:val="0"/>
        <w:adjustRightInd w:val="0"/>
        <w:spacing w:line="240" w:lineRule="auto"/>
        <w:rPr>
          <w:rFonts w:ascii="CharterITCStd-Regular" w:hAnsi="CharterITCStd-Regular" w:cs="CharterITCStd-Regular"/>
          <w:sz w:val="18"/>
          <w:szCs w:val="18"/>
          <w:lang w:val="en-US" w:eastAsia="en-GB"/>
        </w:rPr>
      </w:pPr>
      <w:r>
        <w:rPr>
          <w:rStyle w:val="FootnoteReference"/>
        </w:rPr>
        <w:footnoteRef/>
      </w:r>
      <w:r>
        <w:t xml:space="preserve"> </w:t>
      </w:r>
      <w:proofErr w:type="spellStart"/>
      <w:r>
        <w:rPr>
          <w:rFonts w:ascii="CharterITCStd-Regular" w:hAnsi="CharterITCStd-Regular" w:cs="CharterITCStd-Regular"/>
          <w:sz w:val="18"/>
          <w:szCs w:val="18"/>
          <w:lang w:val="en-US" w:eastAsia="en-GB"/>
        </w:rPr>
        <w:t>StartUp</w:t>
      </w:r>
      <w:proofErr w:type="spellEnd"/>
      <w:r>
        <w:rPr>
          <w:rFonts w:ascii="CharterITCStd-Regular" w:hAnsi="CharterITCStd-Regular" w:cs="CharterITCStd-Regular"/>
          <w:sz w:val="18"/>
          <w:szCs w:val="18"/>
          <w:lang w:val="en-US" w:eastAsia="en-GB"/>
        </w:rPr>
        <w:t xml:space="preserve"> Health Insights, Digital Health Funding Rankings, 2015, 2016</w:t>
      </w:r>
    </w:p>
  </w:footnote>
  <w:footnote w:id="5">
    <w:p w14:paraId="4943580B" w14:textId="4F8310E4" w:rsidR="006D7D5C" w:rsidRPr="00850F9A" w:rsidRDefault="006D7D5C" w:rsidP="00850F9A">
      <w:pPr>
        <w:autoSpaceDE w:val="0"/>
        <w:autoSpaceDN w:val="0"/>
        <w:adjustRightInd w:val="0"/>
        <w:spacing w:line="240" w:lineRule="auto"/>
        <w:rPr>
          <w:rFonts w:ascii="CharterITCStd-Regular" w:hAnsi="CharterITCStd-Regular" w:cs="CharterITCStd-Regular"/>
          <w:sz w:val="18"/>
          <w:szCs w:val="18"/>
          <w:lang w:val="en-US" w:eastAsia="en-GB"/>
        </w:rPr>
      </w:pPr>
      <w:r>
        <w:rPr>
          <w:rStyle w:val="FootnoteReference"/>
        </w:rPr>
        <w:footnoteRef/>
      </w:r>
      <w:r>
        <w:t xml:space="preserve"> </w:t>
      </w:r>
      <w:r>
        <w:rPr>
          <w:rFonts w:ascii="CharterITCStd-Regular" w:hAnsi="CharterITCStd-Regular" w:cs="CharterITCStd-Regular"/>
          <w:sz w:val="18"/>
          <w:szCs w:val="18"/>
          <w:lang w:val="en-US" w:eastAsia="en-GB"/>
        </w:rPr>
        <w:t>PwC and Switzerland Global Enterprise, Rising Middle Class – Global Outlook and Growth Potential,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C2C2" w14:textId="77777777" w:rsidR="004B1F5A" w:rsidRDefault="004B1F5A">
    <w:pPr>
      <w:pStyle w:val="Header"/>
    </w:pPr>
    <w:r>
      <w:rPr>
        <w:noProof/>
        <w:lang w:val="en-US"/>
      </w:rPr>
      <w:drawing>
        <wp:anchor distT="0" distB="0" distL="114300" distR="114300" simplePos="0" relativeHeight="251660288" behindDoc="0" locked="1" layoutInCell="1" allowOverlap="1" wp14:anchorId="1F4A232E" wp14:editId="7A345E9E">
          <wp:simplePos x="0" y="0"/>
          <wp:positionH relativeFrom="page">
            <wp:posOffset>431165</wp:posOffset>
          </wp:positionH>
          <wp:positionV relativeFrom="page">
            <wp:posOffset>490855</wp:posOffset>
          </wp:positionV>
          <wp:extent cx="1410970" cy="1268730"/>
          <wp:effectExtent l="0" t="0" r="0" b="0"/>
          <wp:wrapNone/>
          <wp:docPr id="14"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76779165" w14:textId="77777777" w:rsidR="004B1F5A" w:rsidRDefault="004B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A466C" w14:textId="77777777" w:rsidR="004B1F5A" w:rsidRDefault="004B1F5A">
    <w:pPr>
      <w:pStyle w:val="Header"/>
    </w:pPr>
    <w:r>
      <w:rPr>
        <w:noProof/>
        <w:lang w:val="en-US"/>
      </w:rPr>
      <w:drawing>
        <wp:anchor distT="0" distB="0" distL="114300" distR="114300" simplePos="0" relativeHeight="251658240" behindDoc="0" locked="1" layoutInCell="1" allowOverlap="1" wp14:anchorId="461EDB78" wp14:editId="28D65F0A">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542C5B6D" w14:textId="77777777" w:rsidR="004B1F5A" w:rsidRDefault="004B1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7847" w14:textId="77777777" w:rsidR="004B1F5A" w:rsidRDefault="004B1F5A">
    <w:pPr>
      <w:pStyle w:val="Header"/>
    </w:pPr>
    <w:r>
      <w:rPr>
        <w:noProof/>
        <w:lang w:val="en-US"/>
      </w:rPr>
      <w:drawing>
        <wp:anchor distT="0" distB="0" distL="114300" distR="114300" simplePos="0" relativeHeight="251656192" behindDoc="0" locked="1" layoutInCell="1" allowOverlap="1" wp14:anchorId="4308D14F" wp14:editId="445292E6">
          <wp:simplePos x="0" y="0"/>
          <wp:positionH relativeFrom="page">
            <wp:posOffset>431165</wp:posOffset>
          </wp:positionH>
          <wp:positionV relativeFrom="page">
            <wp:posOffset>490855</wp:posOffset>
          </wp:positionV>
          <wp:extent cx="1410970" cy="1268730"/>
          <wp:effectExtent l="0" t="0" r="0" b="0"/>
          <wp:wrapNone/>
          <wp:docPr id="1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961BEA"/>
    <w:lvl w:ilvl="0">
      <w:numFmt w:val="bullet"/>
      <w:lvlText w:val="*"/>
      <w:lvlJc w:val="left"/>
    </w:lvl>
  </w:abstractNum>
  <w:abstractNum w:abstractNumId="1" w15:restartNumberingAfterBreak="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37A79"/>
    <w:multiLevelType w:val="hybridMultilevel"/>
    <w:tmpl w:val="AB9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5589"/>
    <w:multiLevelType w:val="hybridMultilevel"/>
    <w:tmpl w:val="61D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A63A6F"/>
    <w:multiLevelType w:val="hybridMultilevel"/>
    <w:tmpl w:val="D81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3A60"/>
    <w:multiLevelType w:val="hybridMultilevel"/>
    <w:tmpl w:val="EB7A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10A10"/>
    <w:multiLevelType w:val="hybridMultilevel"/>
    <w:tmpl w:val="624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24B8"/>
    <w:multiLevelType w:val="hybridMultilevel"/>
    <w:tmpl w:val="9BB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2A64"/>
    <w:multiLevelType w:val="hybridMultilevel"/>
    <w:tmpl w:val="1A3020B4"/>
    <w:lvl w:ilvl="0" w:tplc="9296026A">
      <w:start w:val="1"/>
      <w:numFmt w:val="decimal"/>
      <w:lvlText w:val="%1."/>
      <w:lvlJc w:val="left"/>
      <w:pPr>
        <w:ind w:left="720" w:hanging="360"/>
      </w:pPr>
      <w:rPr>
        <w:rFonts w:ascii="Times New Roman" w:hAnsi="Times New Roman" w:cs="Helv"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214"/>
    <w:multiLevelType w:val="hybridMultilevel"/>
    <w:tmpl w:val="2CD20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9C0E64"/>
    <w:multiLevelType w:val="hybridMultilevel"/>
    <w:tmpl w:val="D91813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DBF0F64"/>
    <w:multiLevelType w:val="hybridMultilevel"/>
    <w:tmpl w:val="3FD6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64FD5"/>
    <w:multiLevelType w:val="hybridMultilevel"/>
    <w:tmpl w:val="B714F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72EAB"/>
    <w:multiLevelType w:val="hybridMultilevel"/>
    <w:tmpl w:val="3B1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144A5"/>
    <w:multiLevelType w:val="hybridMultilevel"/>
    <w:tmpl w:val="67DC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B490D"/>
    <w:multiLevelType w:val="hybridMultilevel"/>
    <w:tmpl w:val="546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66F7F"/>
    <w:multiLevelType w:val="hybridMultilevel"/>
    <w:tmpl w:val="80D4AA64"/>
    <w:lvl w:ilvl="0" w:tplc="0807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45750"/>
    <w:multiLevelType w:val="hybridMultilevel"/>
    <w:tmpl w:val="CC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605326A9"/>
    <w:multiLevelType w:val="hybridMultilevel"/>
    <w:tmpl w:val="A2226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021DD"/>
    <w:multiLevelType w:val="hybridMultilevel"/>
    <w:tmpl w:val="C14060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99A114A"/>
    <w:multiLevelType w:val="hybridMultilevel"/>
    <w:tmpl w:val="D438E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2A1072"/>
    <w:multiLevelType w:val="hybridMultilevel"/>
    <w:tmpl w:val="51F8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D79B9"/>
    <w:multiLevelType w:val="hybridMultilevel"/>
    <w:tmpl w:val="C9EABCF8"/>
    <w:lvl w:ilvl="0" w:tplc="0FF8FAB4">
      <w:start w:val="1"/>
      <w:numFmt w:val="decimal"/>
      <w:lvlText w:val="%1."/>
      <w:lvlJc w:val="left"/>
      <w:pPr>
        <w:ind w:left="720" w:hanging="360"/>
      </w:pPr>
      <w:rPr>
        <w:rFonts w:ascii="Georgia" w:eastAsiaTheme="minorHAnsi" w:hAnsi="Georg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90343"/>
    <w:multiLevelType w:val="hybridMultilevel"/>
    <w:tmpl w:val="AF84FE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A945A4"/>
    <w:multiLevelType w:val="hybridMultilevel"/>
    <w:tmpl w:val="E70653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40"/>
  </w:num>
  <w:num w:numId="5">
    <w:abstractNumId w:val="40"/>
    <w:lvlOverride w:ilvl="0">
      <w:startOverride w:val="1"/>
    </w:lvlOverride>
  </w:num>
  <w:num w:numId="6">
    <w:abstractNumId w:val="6"/>
  </w:num>
  <w:num w:numId="7">
    <w:abstractNumId w:val="23"/>
  </w:num>
  <w:num w:numId="8">
    <w:abstractNumId w:val="24"/>
  </w:num>
  <w:num w:numId="9">
    <w:abstractNumId w:val="18"/>
  </w:num>
  <w:num w:numId="10">
    <w:abstractNumId w:val="1"/>
  </w:num>
  <w:num w:numId="11">
    <w:abstractNumId w:val="4"/>
  </w:num>
  <w:num w:numId="12">
    <w:abstractNumId w:val="15"/>
  </w:num>
  <w:num w:numId="13">
    <w:abstractNumId w:val="8"/>
  </w:num>
  <w:num w:numId="14">
    <w:abstractNumId w:val="34"/>
  </w:num>
  <w:num w:numId="15">
    <w:abstractNumId w:val="29"/>
  </w:num>
  <w:num w:numId="16">
    <w:abstractNumId w:val="0"/>
    <w:lvlOverride w:ilvl="0">
      <w:lvl w:ilvl="0">
        <w:numFmt w:val="bullet"/>
        <w:lvlText w:val="•"/>
        <w:legacy w:legacy="1" w:legacySpace="0" w:legacyIndent="0"/>
        <w:lvlJc w:val="left"/>
        <w:rPr>
          <w:rFonts w:ascii="Helv" w:hAnsi="Helv" w:hint="default"/>
        </w:rPr>
      </w:lvl>
    </w:lvlOverride>
  </w:num>
  <w:num w:numId="17">
    <w:abstractNumId w:val="36"/>
  </w:num>
  <w:num w:numId="18">
    <w:abstractNumId w:val="32"/>
  </w:num>
  <w:num w:numId="19">
    <w:abstractNumId w:val="26"/>
  </w:num>
  <w:num w:numId="20">
    <w:abstractNumId w:val="17"/>
  </w:num>
  <w:num w:numId="21">
    <w:abstractNumId w:val="38"/>
  </w:num>
  <w:num w:numId="22">
    <w:abstractNumId w:val="30"/>
  </w:num>
  <w:num w:numId="23">
    <w:abstractNumId w:val="25"/>
  </w:num>
  <w:num w:numId="24">
    <w:abstractNumId w:val="9"/>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3"/>
  </w:num>
  <w:num w:numId="27">
    <w:abstractNumId w:val="16"/>
  </w:num>
  <w:num w:numId="28">
    <w:abstractNumId w:val="45"/>
  </w:num>
  <w:num w:numId="29">
    <w:abstractNumId w:val="39"/>
  </w:num>
  <w:num w:numId="30">
    <w:abstractNumId w:val="33"/>
  </w:num>
  <w:num w:numId="31">
    <w:abstractNumId w:val="22"/>
  </w:num>
  <w:num w:numId="32">
    <w:abstractNumId w:val="41"/>
  </w:num>
  <w:num w:numId="33">
    <w:abstractNumId w:val="20"/>
  </w:num>
  <w:num w:numId="34">
    <w:abstractNumId w:val="44"/>
  </w:num>
  <w:num w:numId="35">
    <w:abstractNumId w:val="19"/>
  </w:num>
  <w:num w:numId="36">
    <w:abstractNumId w:val="11"/>
  </w:num>
  <w:num w:numId="37">
    <w:abstractNumId w:val="14"/>
  </w:num>
  <w:num w:numId="38">
    <w:abstractNumId w:val="2"/>
  </w:num>
  <w:num w:numId="39">
    <w:abstractNumId w:val="21"/>
  </w:num>
  <w:num w:numId="40">
    <w:abstractNumId w:val="42"/>
  </w:num>
  <w:num w:numId="41">
    <w:abstractNumId w:val="35"/>
  </w:num>
  <w:num w:numId="42">
    <w:abstractNumId w:val="27"/>
  </w:num>
  <w:num w:numId="43">
    <w:abstractNumId w:val="31"/>
  </w:num>
  <w:num w:numId="44">
    <w:abstractNumId w:val="28"/>
  </w:num>
  <w:num w:numId="45">
    <w:abstractNumId w:val="10"/>
  </w:num>
  <w:num w:numId="46">
    <w:abstractNumId w:val="43"/>
  </w:num>
  <w:num w:numId="47">
    <w:abstractNumId w:val="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F"/>
    <w:rsid w:val="0000021D"/>
    <w:rsid w:val="00006089"/>
    <w:rsid w:val="00006F1C"/>
    <w:rsid w:val="0001257D"/>
    <w:rsid w:val="00025B36"/>
    <w:rsid w:val="00025B59"/>
    <w:rsid w:val="00026D41"/>
    <w:rsid w:val="00027AD2"/>
    <w:rsid w:val="00031B7C"/>
    <w:rsid w:val="00042A50"/>
    <w:rsid w:val="0004559F"/>
    <w:rsid w:val="00051E03"/>
    <w:rsid w:val="00073420"/>
    <w:rsid w:val="000738F4"/>
    <w:rsid w:val="00080B6D"/>
    <w:rsid w:val="00083BE3"/>
    <w:rsid w:val="00092A23"/>
    <w:rsid w:val="000A2E67"/>
    <w:rsid w:val="000A3F05"/>
    <w:rsid w:val="000A7587"/>
    <w:rsid w:val="000B25F0"/>
    <w:rsid w:val="000B4BA3"/>
    <w:rsid w:val="000C05B0"/>
    <w:rsid w:val="000C1459"/>
    <w:rsid w:val="000C6668"/>
    <w:rsid w:val="000C7CA9"/>
    <w:rsid w:val="000D610D"/>
    <w:rsid w:val="000E597C"/>
    <w:rsid w:val="000E5BB5"/>
    <w:rsid w:val="000E5EAD"/>
    <w:rsid w:val="000E74B6"/>
    <w:rsid w:val="000F025A"/>
    <w:rsid w:val="000F3CAA"/>
    <w:rsid w:val="001037C2"/>
    <w:rsid w:val="00104822"/>
    <w:rsid w:val="001203FF"/>
    <w:rsid w:val="00130C58"/>
    <w:rsid w:val="00131EF6"/>
    <w:rsid w:val="001413D2"/>
    <w:rsid w:val="00142030"/>
    <w:rsid w:val="001450BB"/>
    <w:rsid w:val="00147E8C"/>
    <w:rsid w:val="001550F4"/>
    <w:rsid w:val="00155152"/>
    <w:rsid w:val="00157979"/>
    <w:rsid w:val="001619B9"/>
    <w:rsid w:val="001779EF"/>
    <w:rsid w:val="001801A1"/>
    <w:rsid w:val="00180257"/>
    <w:rsid w:val="00181097"/>
    <w:rsid w:val="00184B99"/>
    <w:rsid w:val="00184E43"/>
    <w:rsid w:val="001864CA"/>
    <w:rsid w:val="0019109A"/>
    <w:rsid w:val="00191764"/>
    <w:rsid w:val="00192574"/>
    <w:rsid w:val="00196791"/>
    <w:rsid w:val="001C1F5A"/>
    <w:rsid w:val="001C556A"/>
    <w:rsid w:val="001D0CCD"/>
    <w:rsid w:val="001D457F"/>
    <w:rsid w:val="001D519A"/>
    <w:rsid w:val="001D69EB"/>
    <w:rsid w:val="001D71C8"/>
    <w:rsid w:val="001E1771"/>
    <w:rsid w:val="001E509F"/>
    <w:rsid w:val="001F09A1"/>
    <w:rsid w:val="001F5310"/>
    <w:rsid w:val="001F7FDE"/>
    <w:rsid w:val="0020384E"/>
    <w:rsid w:val="002064F5"/>
    <w:rsid w:val="00206D7D"/>
    <w:rsid w:val="002101C8"/>
    <w:rsid w:val="002175B4"/>
    <w:rsid w:val="00217A05"/>
    <w:rsid w:val="00223485"/>
    <w:rsid w:val="00234A3A"/>
    <w:rsid w:val="00242B72"/>
    <w:rsid w:val="002456A6"/>
    <w:rsid w:val="00247A1B"/>
    <w:rsid w:val="00250156"/>
    <w:rsid w:val="00253931"/>
    <w:rsid w:val="00253EB4"/>
    <w:rsid w:val="0026194C"/>
    <w:rsid w:val="00262F9A"/>
    <w:rsid w:val="002716DF"/>
    <w:rsid w:val="00281AA1"/>
    <w:rsid w:val="002927B4"/>
    <w:rsid w:val="002A06E4"/>
    <w:rsid w:val="002A0725"/>
    <w:rsid w:val="002A0D89"/>
    <w:rsid w:val="002A26BA"/>
    <w:rsid w:val="002B4ED6"/>
    <w:rsid w:val="002C02FA"/>
    <w:rsid w:val="002C7410"/>
    <w:rsid w:val="002D4EBF"/>
    <w:rsid w:val="002F2508"/>
    <w:rsid w:val="002F583B"/>
    <w:rsid w:val="003014BF"/>
    <w:rsid w:val="003120B9"/>
    <w:rsid w:val="003217FA"/>
    <w:rsid w:val="003269F4"/>
    <w:rsid w:val="00327CAA"/>
    <w:rsid w:val="003307DC"/>
    <w:rsid w:val="003319AF"/>
    <w:rsid w:val="003350DB"/>
    <w:rsid w:val="0033514E"/>
    <w:rsid w:val="00340E5C"/>
    <w:rsid w:val="00351C2A"/>
    <w:rsid w:val="003668DB"/>
    <w:rsid w:val="00370616"/>
    <w:rsid w:val="00370FD7"/>
    <w:rsid w:val="0037166E"/>
    <w:rsid w:val="0038029D"/>
    <w:rsid w:val="00381CEA"/>
    <w:rsid w:val="003903B3"/>
    <w:rsid w:val="00391F75"/>
    <w:rsid w:val="00392E9E"/>
    <w:rsid w:val="003945F7"/>
    <w:rsid w:val="00396F94"/>
    <w:rsid w:val="003A3A5F"/>
    <w:rsid w:val="003B0A15"/>
    <w:rsid w:val="003B3245"/>
    <w:rsid w:val="003C6020"/>
    <w:rsid w:val="003D0769"/>
    <w:rsid w:val="003D6E6F"/>
    <w:rsid w:val="003F285F"/>
    <w:rsid w:val="003F5D7C"/>
    <w:rsid w:val="004004AB"/>
    <w:rsid w:val="00407BA3"/>
    <w:rsid w:val="0042239C"/>
    <w:rsid w:val="004347BD"/>
    <w:rsid w:val="00435890"/>
    <w:rsid w:val="00435DE4"/>
    <w:rsid w:val="00451C86"/>
    <w:rsid w:val="00464666"/>
    <w:rsid w:val="0046480B"/>
    <w:rsid w:val="00467301"/>
    <w:rsid w:val="0047511F"/>
    <w:rsid w:val="004843BF"/>
    <w:rsid w:val="00484C34"/>
    <w:rsid w:val="004875B1"/>
    <w:rsid w:val="0049184A"/>
    <w:rsid w:val="00491C0A"/>
    <w:rsid w:val="004A3B4F"/>
    <w:rsid w:val="004A3D60"/>
    <w:rsid w:val="004A53CD"/>
    <w:rsid w:val="004A6875"/>
    <w:rsid w:val="004A77C1"/>
    <w:rsid w:val="004B0B70"/>
    <w:rsid w:val="004B1F5A"/>
    <w:rsid w:val="004B6CF2"/>
    <w:rsid w:val="004C37E5"/>
    <w:rsid w:val="004C456F"/>
    <w:rsid w:val="004C6379"/>
    <w:rsid w:val="004E6818"/>
    <w:rsid w:val="004F16C3"/>
    <w:rsid w:val="00502C36"/>
    <w:rsid w:val="00504AC6"/>
    <w:rsid w:val="00512190"/>
    <w:rsid w:val="0051679C"/>
    <w:rsid w:val="005351C7"/>
    <w:rsid w:val="00536B56"/>
    <w:rsid w:val="00547B51"/>
    <w:rsid w:val="00547F5D"/>
    <w:rsid w:val="0055109A"/>
    <w:rsid w:val="00552F79"/>
    <w:rsid w:val="00560F75"/>
    <w:rsid w:val="00563941"/>
    <w:rsid w:val="00576701"/>
    <w:rsid w:val="00596248"/>
    <w:rsid w:val="005A56A0"/>
    <w:rsid w:val="005A7F7D"/>
    <w:rsid w:val="005B4F8B"/>
    <w:rsid w:val="005C100D"/>
    <w:rsid w:val="005C4682"/>
    <w:rsid w:val="005E1A2F"/>
    <w:rsid w:val="005E3303"/>
    <w:rsid w:val="005F0918"/>
    <w:rsid w:val="00602098"/>
    <w:rsid w:val="006056B6"/>
    <w:rsid w:val="006064AB"/>
    <w:rsid w:val="00617A6D"/>
    <w:rsid w:val="00626306"/>
    <w:rsid w:val="00634DFE"/>
    <w:rsid w:val="006357DF"/>
    <w:rsid w:val="00647916"/>
    <w:rsid w:val="00664438"/>
    <w:rsid w:val="00671153"/>
    <w:rsid w:val="00681FA2"/>
    <w:rsid w:val="0068344E"/>
    <w:rsid w:val="0068466B"/>
    <w:rsid w:val="00684734"/>
    <w:rsid w:val="00686F0B"/>
    <w:rsid w:val="00691323"/>
    <w:rsid w:val="006928B6"/>
    <w:rsid w:val="006A798F"/>
    <w:rsid w:val="006D0353"/>
    <w:rsid w:val="006D7D5C"/>
    <w:rsid w:val="006E269D"/>
    <w:rsid w:val="006E531D"/>
    <w:rsid w:val="006F5AE7"/>
    <w:rsid w:val="006F7060"/>
    <w:rsid w:val="00702AC7"/>
    <w:rsid w:val="00703ADD"/>
    <w:rsid w:val="0070640E"/>
    <w:rsid w:val="00707E58"/>
    <w:rsid w:val="007112C6"/>
    <w:rsid w:val="00716059"/>
    <w:rsid w:val="007213AF"/>
    <w:rsid w:val="007214ED"/>
    <w:rsid w:val="00736CFA"/>
    <w:rsid w:val="00737E70"/>
    <w:rsid w:val="00745677"/>
    <w:rsid w:val="00757CE0"/>
    <w:rsid w:val="00757DE7"/>
    <w:rsid w:val="007602F6"/>
    <w:rsid w:val="007632D3"/>
    <w:rsid w:val="0078192B"/>
    <w:rsid w:val="00786237"/>
    <w:rsid w:val="00786361"/>
    <w:rsid w:val="00796245"/>
    <w:rsid w:val="007A1D35"/>
    <w:rsid w:val="007A6851"/>
    <w:rsid w:val="007B4128"/>
    <w:rsid w:val="007C4D9A"/>
    <w:rsid w:val="007E5FC3"/>
    <w:rsid w:val="007E67BE"/>
    <w:rsid w:val="007E7C2D"/>
    <w:rsid w:val="007F231D"/>
    <w:rsid w:val="007F32A4"/>
    <w:rsid w:val="0082432C"/>
    <w:rsid w:val="00831B1C"/>
    <w:rsid w:val="00833EF4"/>
    <w:rsid w:val="00836C80"/>
    <w:rsid w:val="00842BCD"/>
    <w:rsid w:val="00846730"/>
    <w:rsid w:val="008478E6"/>
    <w:rsid w:val="00850F9A"/>
    <w:rsid w:val="0086384A"/>
    <w:rsid w:val="0086464A"/>
    <w:rsid w:val="008669CA"/>
    <w:rsid w:val="0087791A"/>
    <w:rsid w:val="00883B2F"/>
    <w:rsid w:val="00884ABF"/>
    <w:rsid w:val="0088640A"/>
    <w:rsid w:val="00890DB6"/>
    <w:rsid w:val="008925C4"/>
    <w:rsid w:val="008A36AD"/>
    <w:rsid w:val="008B6898"/>
    <w:rsid w:val="008C0265"/>
    <w:rsid w:val="008C137C"/>
    <w:rsid w:val="008C465B"/>
    <w:rsid w:val="008C7251"/>
    <w:rsid w:val="008D0B6D"/>
    <w:rsid w:val="008D42AE"/>
    <w:rsid w:val="008E3475"/>
    <w:rsid w:val="008E7B72"/>
    <w:rsid w:val="008F1D2C"/>
    <w:rsid w:val="008F3D83"/>
    <w:rsid w:val="008F4A74"/>
    <w:rsid w:val="008F6C69"/>
    <w:rsid w:val="00900E2D"/>
    <w:rsid w:val="00902DF5"/>
    <w:rsid w:val="00905927"/>
    <w:rsid w:val="00915D42"/>
    <w:rsid w:val="00915D58"/>
    <w:rsid w:val="00916130"/>
    <w:rsid w:val="009174E4"/>
    <w:rsid w:val="009231DE"/>
    <w:rsid w:val="009326ED"/>
    <w:rsid w:val="009374C1"/>
    <w:rsid w:val="00942489"/>
    <w:rsid w:val="00947DB5"/>
    <w:rsid w:val="00952C90"/>
    <w:rsid w:val="00957055"/>
    <w:rsid w:val="0096366C"/>
    <w:rsid w:val="00966D9A"/>
    <w:rsid w:val="00967E01"/>
    <w:rsid w:val="0097271A"/>
    <w:rsid w:val="009749D2"/>
    <w:rsid w:val="00974E5C"/>
    <w:rsid w:val="00980FE7"/>
    <w:rsid w:val="00991A93"/>
    <w:rsid w:val="009A0687"/>
    <w:rsid w:val="009A2C87"/>
    <w:rsid w:val="009A3681"/>
    <w:rsid w:val="009D12DD"/>
    <w:rsid w:val="009E0240"/>
    <w:rsid w:val="009F1C29"/>
    <w:rsid w:val="009F2AA8"/>
    <w:rsid w:val="00A021AB"/>
    <w:rsid w:val="00A02236"/>
    <w:rsid w:val="00A04D27"/>
    <w:rsid w:val="00A06E9B"/>
    <w:rsid w:val="00A11301"/>
    <w:rsid w:val="00A12B7C"/>
    <w:rsid w:val="00A20D0A"/>
    <w:rsid w:val="00A2125E"/>
    <w:rsid w:val="00A22786"/>
    <w:rsid w:val="00A2674D"/>
    <w:rsid w:val="00A342C8"/>
    <w:rsid w:val="00A3649C"/>
    <w:rsid w:val="00A36C4F"/>
    <w:rsid w:val="00A43813"/>
    <w:rsid w:val="00A44847"/>
    <w:rsid w:val="00A53974"/>
    <w:rsid w:val="00A558C0"/>
    <w:rsid w:val="00A611CA"/>
    <w:rsid w:val="00A7332C"/>
    <w:rsid w:val="00A737F6"/>
    <w:rsid w:val="00A76F6B"/>
    <w:rsid w:val="00A83BEC"/>
    <w:rsid w:val="00A9103D"/>
    <w:rsid w:val="00A95987"/>
    <w:rsid w:val="00AA3565"/>
    <w:rsid w:val="00AB0B28"/>
    <w:rsid w:val="00AB7F65"/>
    <w:rsid w:val="00AD0A70"/>
    <w:rsid w:val="00AD1C2A"/>
    <w:rsid w:val="00AD34E4"/>
    <w:rsid w:val="00AD6505"/>
    <w:rsid w:val="00AE24C1"/>
    <w:rsid w:val="00AE2AE8"/>
    <w:rsid w:val="00AE3B4D"/>
    <w:rsid w:val="00AE40A9"/>
    <w:rsid w:val="00AE497B"/>
    <w:rsid w:val="00B02678"/>
    <w:rsid w:val="00B166D2"/>
    <w:rsid w:val="00B218FC"/>
    <w:rsid w:val="00B261E3"/>
    <w:rsid w:val="00B26894"/>
    <w:rsid w:val="00B41A5E"/>
    <w:rsid w:val="00B5772D"/>
    <w:rsid w:val="00B57DD2"/>
    <w:rsid w:val="00B7432C"/>
    <w:rsid w:val="00B753B8"/>
    <w:rsid w:val="00B76604"/>
    <w:rsid w:val="00B81393"/>
    <w:rsid w:val="00B87D94"/>
    <w:rsid w:val="00B915A4"/>
    <w:rsid w:val="00B92202"/>
    <w:rsid w:val="00B95DF0"/>
    <w:rsid w:val="00BA1D9E"/>
    <w:rsid w:val="00BA2C44"/>
    <w:rsid w:val="00BA5793"/>
    <w:rsid w:val="00BA7AEC"/>
    <w:rsid w:val="00BB5805"/>
    <w:rsid w:val="00BC0AD3"/>
    <w:rsid w:val="00BC184A"/>
    <w:rsid w:val="00BC7B35"/>
    <w:rsid w:val="00BE53EB"/>
    <w:rsid w:val="00BF0726"/>
    <w:rsid w:val="00BF25E2"/>
    <w:rsid w:val="00BF7BE9"/>
    <w:rsid w:val="00C0173C"/>
    <w:rsid w:val="00C02C0C"/>
    <w:rsid w:val="00C02D2C"/>
    <w:rsid w:val="00C05316"/>
    <w:rsid w:val="00C05A4B"/>
    <w:rsid w:val="00C1474D"/>
    <w:rsid w:val="00C14ECD"/>
    <w:rsid w:val="00C17E0F"/>
    <w:rsid w:val="00C20808"/>
    <w:rsid w:val="00C21F61"/>
    <w:rsid w:val="00C225D6"/>
    <w:rsid w:val="00C25B6B"/>
    <w:rsid w:val="00C3002A"/>
    <w:rsid w:val="00C335C6"/>
    <w:rsid w:val="00C338DA"/>
    <w:rsid w:val="00C34563"/>
    <w:rsid w:val="00C40DEE"/>
    <w:rsid w:val="00C463D7"/>
    <w:rsid w:val="00C750CE"/>
    <w:rsid w:val="00C76C8A"/>
    <w:rsid w:val="00C83020"/>
    <w:rsid w:val="00C84232"/>
    <w:rsid w:val="00C847E0"/>
    <w:rsid w:val="00CA47D8"/>
    <w:rsid w:val="00CA485F"/>
    <w:rsid w:val="00CB2B63"/>
    <w:rsid w:val="00CB36CB"/>
    <w:rsid w:val="00CC0731"/>
    <w:rsid w:val="00CC319E"/>
    <w:rsid w:val="00CC4F0D"/>
    <w:rsid w:val="00CC6B76"/>
    <w:rsid w:val="00CD13EA"/>
    <w:rsid w:val="00CF1E36"/>
    <w:rsid w:val="00CF5C8F"/>
    <w:rsid w:val="00D03811"/>
    <w:rsid w:val="00D04058"/>
    <w:rsid w:val="00D05667"/>
    <w:rsid w:val="00D168BB"/>
    <w:rsid w:val="00D17AA8"/>
    <w:rsid w:val="00D3511F"/>
    <w:rsid w:val="00D378B1"/>
    <w:rsid w:val="00D40842"/>
    <w:rsid w:val="00D41942"/>
    <w:rsid w:val="00D46AAE"/>
    <w:rsid w:val="00D53F1E"/>
    <w:rsid w:val="00D61B21"/>
    <w:rsid w:val="00D6786E"/>
    <w:rsid w:val="00D824B2"/>
    <w:rsid w:val="00D873D6"/>
    <w:rsid w:val="00D90359"/>
    <w:rsid w:val="00D95AB0"/>
    <w:rsid w:val="00D967D9"/>
    <w:rsid w:val="00DA4D04"/>
    <w:rsid w:val="00DA536C"/>
    <w:rsid w:val="00DA7511"/>
    <w:rsid w:val="00DB1D43"/>
    <w:rsid w:val="00DB579D"/>
    <w:rsid w:val="00DB6992"/>
    <w:rsid w:val="00DB6FA8"/>
    <w:rsid w:val="00DB7A31"/>
    <w:rsid w:val="00DC06D8"/>
    <w:rsid w:val="00DC7EE3"/>
    <w:rsid w:val="00DD02D4"/>
    <w:rsid w:val="00DD059E"/>
    <w:rsid w:val="00DD2CC6"/>
    <w:rsid w:val="00DD5723"/>
    <w:rsid w:val="00DD5DC5"/>
    <w:rsid w:val="00DD7447"/>
    <w:rsid w:val="00DF7682"/>
    <w:rsid w:val="00E07BBF"/>
    <w:rsid w:val="00E07F2B"/>
    <w:rsid w:val="00E129E0"/>
    <w:rsid w:val="00E16A0B"/>
    <w:rsid w:val="00E3392F"/>
    <w:rsid w:val="00E35B73"/>
    <w:rsid w:val="00E41A00"/>
    <w:rsid w:val="00E44005"/>
    <w:rsid w:val="00E50FE3"/>
    <w:rsid w:val="00E622C6"/>
    <w:rsid w:val="00E6463B"/>
    <w:rsid w:val="00E65FD8"/>
    <w:rsid w:val="00E72918"/>
    <w:rsid w:val="00E74F6E"/>
    <w:rsid w:val="00E84975"/>
    <w:rsid w:val="00E863D8"/>
    <w:rsid w:val="00E932E1"/>
    <w:rsid w:val="00E93D80"/>
    <w:rsid w:val="00E9739D"/>
    <w:rsid w:val="00E97E9D"/>
    <w:rsid w:val="00EA08F7"/>
    <w:rsid w:val="00EA5E4B"/>
    <w:rsid w:val="00EB35DE"/>
    <w:rsid w:val="00EB41D7"/>
    <w:rsid w:val="00EB59E8"/>
    <w:rsid w:val="00EB5AE5"/>
    <w:rsid w:val="00EC2F36"/>
    <w:rsid w:val="00EC37A5"/>
    <w:rsid w:val="00EC4453"/>
    <w:rsid w:val="00EC5082"/>
    <w:rsid w:val="00EC6081"/>
    <w:rsid w:val="00EC7D6D"/>
    <w:rsid w:val="00ED0336"/>
    <w:rsid w:val="00ED4FDE"/>
    <w:rsid w:val="00ED6A2F"/>
    <w:rsid w:val="00EE20F8"/>
    <w:rsid w:val="00EE493F"/>
    <w:rsid w:val="00EF5FE9"/>
    <w:rsid w:val="00F0072F"/>
    <w:rsid w:val="00F01FEB"/>
    <w:rsid w:val="00F03552"/>
    <w:rsid w:val="00F0537B"/>
    <w:rsid w:val="00F0781F"/>
    <w:rsid w:val="00F10DEA"/>
    <w:rsid w:val="00F1189F"/>
    <w:rsid w:val="00F16B5C"/>
    <w:rsid w:val="00F308ED"/>
    <w:rsid w:val="00F30FE5"/>
    <w:rsid w:val="00F32364"/>
    <w:rsid w:val="00F3252C"/>
    <w:rsid w:val="00F33BE0"/>
    <w:rsid w:val="00F4086E"/>
    <w:rsid w:val="00F4214A"/>
    <w:rsid w:val="00F566FF"/>
    <w:rsid w:val="00F6326F"/>
    <w:rsid w:val="00F644F2"/>
    <w:rsid w:val="00F721EB"/>
    <w:rsid w:val="00F77143"/>
    <w:rsid w:val="00F8134D"/>
    <w:rsid w:val="00F82B48"/>
    <w:rsid w:val="00F8648C"/>
    <w:rsid w:val="00F904D0"/>
    <w:rsid w:val="00F92745"/>
    <w:rsid w:val="00F96690"/>
    <w:rsid w:val="00FA7A5B"/>
    <w:rsid w:val="00FA7E48"/>
    <w:rsid w:val="00FC08CB"/>
    <w:rsid w:val="00FC6B43"/>
    <w:rsid w:val="00FD1820"/>
    <w:rsid w:val="00FD427C"/>
    <w:rsid w:val="00FD5939"/>
    <w:rsid w:val="00FE046F"/>
    <w:rsid w:val="00FF002A"/>
    <w:rsid w:val="00FF40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863C1"/>
  <w15:docId w15:val="{94F8236F-0CA4-4D5E-9EA5-F1AAF3D2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BF"/>
    <w:pPr>
      <w:spacing w:line="240" w:lineRule="atLeast"/>
    </w:pPr>
    <w:rPr>
      <w:rFonts w:ascii="Georgia" w:hAnsi="Georgia"/>
      <w:szCs w:val="22"/>
      <w:lang w:eastAsia="en-US"/>
    </w:rPr>
  </w:style>
  <w:style w:type="paragraph" w:styleId="Heading1">
    <w:name w:val="heading 1"/>
    <w:basedOn w:val="Normal"/>
    <w:next w:val="Normal"/>
    <w:link w:val="Heading1Char"/>
    <w:qFormat/>
    <w:rsid w:val="003014B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3014B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4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014BF"/>
  </w:style>
  <w:style w:type="paragraph" w:styleId="Footer">
    <w:name w:val="footer"/>
    <w:basedOn w:val="Normal"/>
    <w:link w:val="FooterChar"/>
    <w:uiPriority w:val="99"/>
    <w:unhideWhenUsed/>
    <w:rsid w:val="003014BF"/>
    <w:pPr>
      <w:tabs>
        <w:tab w:val="center" w:pos="4513"/>
        <w:tab w:val="right" w:pos="9026"/>
      </w:tabs>
      <w:spacing w:line="240" w:lineRule="auto"/>
    </w:pPr>
  </w:style>
  <w:style w:type="character" w:customStyle="1" w:styleId="FooterChar">
    <w:name w:val="Footer Char"/>
    <w:basedOn w:val="DefaultParagraphFont"/>
    <w:link w:val="Footer"/>
    <w:uiPriority w:val="99"/>
    <w:rsid w:val="003014BF"/>
  </w:style>
  <w:style w:type="paragraph" w:styleId="BodyText">
    <w:name w:val="Body Text"/>
    <w:basedOn w:val="Normal"/>
    <w:link w:val="BodyTextChar"/>
    <w:uiPriority w:val="99"/>
    <w:unhideWhenUsed/>
    <w:rsid w:val="003014BF"/>
    <w:pPr>
      <w:spacing w:after="240"/>
    </w:pPr>
  </w:style>
  <w:style w:type="character" w:customStyle="1" w:styleId="BodyTextChar">
    <w:name w:val="Body Text Char"/>
    <w:basedOn w:val="DefaultParagraphFont"/>
    <w:link w:val="BodyText"/>
    <w:uiPriority w:val="99"/>
    <w:rsid w:val="003014BF"/>
    <w:rPr>
      <w:rFonts w:ascii="Georgia" w:hAnsi="Georgia"/>
      <w:sz w:val="20"/>
    </w:rPr>
  </w:style>
  <w:style w:type="paragraph" w:styleId="Title">
    <w:name w:val="Title"/>
    <w:basedOn w:val="Normal"/>
    <w:next w:val="Normal"/>
    <w:link w:val="TitleChar"/>
    <w:uiPriority w:val="10"/>
    <w:qFormat/>
    <w:rsid w:val="003014B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014B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014BF"/>
    <w:pPr>
      <w:spacing w:line="200" w:lineRule="atLeast"/>
    </w:pPr>
    <w:rPr>
      <w:i/>
      <w:sz w:val="18"/>
    </w:rPr>
  </w:style>
  <w:style w:type="character" w:customStyle="1" w:styleId="AddressChar">
    <w:name w:val="Address Char"/>
    <w:basedOn w:val="DefaultParagraphFont"/>
    <w:link w:val="Address"/>
    <w:rsid w:val="003014BF"/>
    <w:rPr>
      <w:rFonts w:ascii="Georgia" w:hAnsi="Georgia"/>
      <w:i/>
      <w:sz w:val="18"/>
    </w:rPr>
  </w:style>
  <w:style w:type="paragraph" w:customStyle="1" w:styleId="Disclaimer">
    <w:name w:val="Disclaimer"/>
    <w:basedOn w:val="Normal"/>
    <w:link w:val="DisclaimerChar"/>
    <w:rsid w:val="003014BF"/>
    <w:pPr>
      <w:spacing w:line="140" w:lineRule="atLeast"/>
    </w:pPr>
    <w:rPr>
      <w:rFonts w:ascii="Arial" w:hAnsi="Arial" w:cs="Arial"/>
      <w:sz w:val="12"/>
    </w:rPr>
  </w:style>
  <w:style w:type="character" w:customStyle="1" w:styleId="DisclaimerChar">
    <w:name w:val="Disclaimer Char"/>
    <w:basedOn w:val="DefaultParagraphFont"/>
    <w:link w:val="Disclaimer"/>
    <w:rsid w:val="003014BF"/>
    <w:rPr>
      <w:rFonts w:ascii="Arial" w:hAnsi="Arial" w:cs="Arial"/>
      <w:sz w:val="12"/>
    </w:rPr>
  </w:style>
  <w:style w:type="character" w:customStyle="1" w:styleId="Heading1Char">
    <w:name w:val="Heading 1 Char"/>
    <w:basedOn w:val="DefaultParagraphFont"/>
    <w:link w:val="Heading1"/>
    <w:rsid w:val="003014BF"/>
    <w:rPr>
      <w:rFonts w:ascii="Cambria" w:eastAsia="Times New Roman" w:hAnsi="Cambria" w:cs="Times New Roman"/>
      <w:b/>
      <w:bCs/>
      <w:kern w:val="32"/>
      <w:sz w:val="32"/>
      <w:szCs w:val="32"/>
    </w:rPr>
  </w:style>
  <w:style w:type="paragraph" w:customStyle="1" w:styleId="ReleaseBodyText">
    <w:name w:val="Release Body Text"/>
    <w:rsid w:val="003014BF"/>
    <w:rPr>
      <w:rFonts w:ascii="Arial" w:eastAsia="Times New Roman" w:hAnsi="Arial" w:cs="Arial"/>
      <w:lang w:eastAsia="en-US"/>
    </w:rPr>
  </w:style>
  <w:style w:type="paragraph" w:customStyle="1" w:styleId="Heading">
    <w:name w:val="Heading"/>
    <w:basedOn w:val="Normal"/>
    <w:rsid w:val="003014BF"/>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3014BF"/>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3014BF"/>
  </w:style>
  <w:style w:type="paragraph" w:customStyle="1" w:styleId="ListNumbered">
    <w:name w:val="List Numbered"/>
    <w:basedOn w:val="Normal"/>
    <w:rsid w:val="003014B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3014BF"/>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3014BF"/>
    <w:rPr>
      <w:strike w:val="0"/>
      <w:dstrike w:val="0"/>
      <w:color w:val="0097DC"/>
      <w:u w:val="none"/>
      <w:effect w:val="none"/>
    </w:rPr>
  </w:style>
  <w:style w:type="character" w:styleId="Strong">
    <w:name w:val="Strong"/>
    <w:basedOn w:val="DefaultParagraphFont"/>
    <w:uiPriority w:val="22"/>
    <w:qFormat/>
    <w:rsid w:val="003014BF"/>
    <w:rPr>
      <w:b/>
      <w:bCs/>
    </w:rPr>
  </w:style>
  <w:style w:type="character" w:customStyle="1" w:styleId="date-display-single">
    <w:name w:val="date-display-single"/>
    <w:basedOn w:val="DefaultParagraphFont"/>
    <w:rsid w:val="003014BF"/>
  </w:style>
  <w:style w:type="character" w:customStyle="1" w:styleId="date-display-start">
    <w:name w:val="date-display-start"/>
    <w:basedOn w:val="DefaultParagraphFont"/>
    <w:rsid w:val="003014BF"/>
  </w:style>
  <w:style w:type="character" w:customStyle="1" w:styleId="date-display-end">
    <w:name w:val="date-display-end"/>
    <w:basedOn w:val="DefaultParagraphFont"/>
    <w:rsid w:val="003014BF"/>
  </w:style>
  <w:style w:type="character" w:customStyle="1" w:styleId="date-display-separator">
    <w:name w:val="date-display-separator"/>
    <w:basedOn w:val="DefaultParagraphFont"/>
    <w:rsid w:val="003014BF"/>
  </w:style>
  <w:style w:type="character" w:customStyle="1" w:styleId="field-content2">
    <w:name w:val="field-content2"/>
    <w:basedOn w:val="DefaultParagraphFont"/>
    <w:rsid w:val="003014BF"/>
  </w:style>
  <w:style w:type="character" w:styleId="CommentReference">
    <w:name w:val="annotation reference"/>
    <w:basedOn w:val="DefaultParagraphFont"/>
    <w:uiPriority w:val="99"/>
    <w:semiHidden/>
    <w:unhideWhenUsed/>
    <w:rsid w:val="003014BF"/>
    <w:rPr>
      <w:sz w:val="16"/>
      <w:szCs w:val="16"/>
    </w:rPr>
  </w:style>
  <w:style w:type="paragraph" w:styleId="CommentText">
    <w:name w:val="annotation text"/>
    <w:basedOn w:val="Normal"/>
    <w:link w:val="CommentTextChar"/>
    <w:uiPriority w:val="99"/>
    <w:unhideWhenUsed/>
    <w:rsid w:val="003014BF"/>
    <w:rPr>
      <w:szCs w:val="20"/>
    </w:rPr>
  </w:style>
  <w:style w:type="character" w:customStyle="1" w:styleId="CommentTextChar">
    <w:name w:val="Comment Text Char"/>
    <w:basedOn w:val="DefaultParagraphFont"/>
    <w:link w:val="CommentText"/>
    <w:uiPriority w:val="99"/>
    <w:rsid w:val="003014B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3014BF"/>
    <w:rPr>
      <w:b/>
      <w:bCs/>
    </w:rPr>
  </w:style>
  <w:style w:type="character" w:customStyle="1" w:styleId="CommentSubjectChar">
    <w:name w:val="Comment Subject Char"/>
    <w:basedOn w:val="CommentTextChar"/>
    <w:link w:val="CommentSubject"/>
    <w:uiPriority w:val="99"/>
    <w:semiHidden/>
    <w:rsid w:val="003014BF"/>
    <w:rPr>
      <w:rFonts w:ascii="Georgia" w:hAnsi="Georgia"/>
      <w:b/>
      <w:bCs/>
      <w:lang w:eastAsia="en-US"/>
    </w:rPr>
  </w:style>
  <w:style w:type="paragraph" w:styleId="BalloonText">
    <w:name w:val="Balloon Text"/>
    <w:basedOn w:val="Normal"/>
    <w:link w:val="BalloonTextChar"/>
    <w:uiPriority w:val="99"/>
    <w:semiHidden/>
    <w:unhideWhenUsed/>
    <w:rsid w:val="00301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BF"/>
    <w:rPr>
      <w:rFonts w:ascii="Tahoma" w:hAnsi="Tahoma" w:cs="Tahoma"/>
      <w:sz w:val="16"/>
      <w:szCs w:val="16"/>
      <w:lang w:eastAsia="en-US"/>
    </w:rPr>
  </w:style>
  <w:style w:type="character" w:customStyle="1" w:styleId="at5">
    <w:name w:val="a__t5"/>
    <w:basedOn w:val="DefaultParagraphFont"/>
    <w:rsid w:val="003014BF"/>
  </w:style>
  <w:style w:type="paragraph" w:customStyle="1" w:styleId="PIText">
    <w:name w:val="PI Text"/>
    <w:basedOn w:val="BodyTextIndent"/>
    <w:link w:val="PITextZchn"/>
    <w:rsid w:val="003014BF"/>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3014BF"/>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3014BF"/>
    <w:pPr>
      <w:spacing w:after="120"/>
      <w:ind w:left="283"/>
    </w:pPr>
  </w:style>
  <w:style w:type="character" w:customStyle="1" w:styleId="BodyTextIndentChar">
    <w:name w:val="Body Text Indent Char"/>
    <w:basedOn w:val="DefaultParagraphFont"/>
    <w:link w:val="BodyTextIndent"/>
    <w:uiPriority w:val="99"/>
    <w:semiHidden/>
    <w:rsid w:val="003014BF"/>
    <w:rPr>
      <w:rFonts w:ascii="Georgia" w:hAnsi="Georgia"/>
      <w:szCs w:val="22"/>
      <w:lang w:eastAsia="en-US"/>
    </w:rPr>
  </w:style>
  <w:style w:type="paragraph" w:styleId="Quote">
    <w:name w:val="Quote"/>
    <w:basedOn w:val="ReleaseBodyText"/>
    <w:link w:val="QuoteChar"/>
    <w:qFormat/>
    <w:rsid w:val="003014BF"/>
    <w:pPr>
      <w:ind w:left="540"/>
    </w:pPr>
  </w:style>
  <w:style w:type="character" w:customStyle="1" w:styleId="QuoteChar">
    <w:name w:val="Quote Char"/>
    <w:basedOn w:val="DefaultParagraphFont"/>
    <w:link w:val="Quote"/>
    <w:rsid w:val="003014BF"/>
    <w:rPr>
      <w:rFonts w:ascii="Arial" w:eastAsia="Times New Roman" w:hAnsi="Arial" w:cs="Arial"/>
      <w:lang w:eastAsia="en-US"/>
    </w:rPr>
  </w:style>
  <w:style w:type="paragraph" w:customStyle="1" w:styleId="Listsub-heading">
    <w:name w:val="List sub-heading"/>
    <w:basedOn w:val="Normal"/>
    <w:rsid w:val="003014BF"/>
    <w:pPr>
      <w:spacing w:line="240" w:lineRule="auto"/>
    </w:pPr>
    <w:rPr>
      <w:rFonts w:ascii="Arial" w:eastAsia="Times New Roman" w:hAnsi="Arial" w:cs="Arial"/>
      <w:b/>
      <w:i/>
      <w:szCs w:val="20"/>
    </w:rPr>
  </w:style>
  <w:style w:type="paragraph" w:customStyle="1" w:styleId="ListBullet1">
    <w:name w:val="List Bullet1"/>
    <w:basedOn w:val="Normal"/>
    <w:rsid w:val="003014BF"/>
    <w:pPr>
      <w:numPr>
        <w:numId w:val="19"/>
      </w:numPr>
      <w:spacing w:line="240" w:lineRule="auto"/>
    </w:pPr>
    <w:rPr>
      <w:rFonts w:ascii="Arial" w:eastAsia="Times New Roman" w:hAnsi="Arial" w:cs="Arial"/>
      <w:szCs w:val="20"/>
    </w:rPr>
  </w:style>
  <w:style w:type="paragraph" w:styleId="NormalWeb">
    <w:name w:val="Normal (Web)"/>
    <w:basedOn w:val="Normal"/>
    <w:uiPriority w:val="99"/>
    <w:unhideWhenUsed/>
    <w:rsid w:val="003014BF"/>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915A4"/>
    <w:rPr>
      <w:color w:val="800080" w:themeColor="followedHyperlink"/>
      <w:u w:val="single"/>
    </w:rPr>
  </w:style>
  <w:style w:type="paragraph" w:customStyle="1" w:styleId="Default">
    <w:name w:val="Default"/>
    <w:rsid w:val="000C6668"/>
    <w:pPr>
      <w:autoSpaceDE w:val="0"/>
      <w:autoSpaceDN w:val="0"/>
      <w:adjustRightInd w:val="0"/>
    </w:pPr>
    <w:rPr>
      <w:rFonts w:ascii="Georgia" w:eastAsiaTheme="minorHAnsi" w:hAnsi="Georgia" w:cs="Georgia"/>
      <w:color w:val="000000"/>
      <w:sz w:val="24"/>
      <w:szCs w:val="24"/>
      <w:lang w:val="en-US" w:eastAsia="en-US"/>
    </w:rPr>
  </w:style>
  <w:style w:type="character" w:customStyle="1" w:styleId="apple-converted-space">
    <w:name w:val="apple-converted-space"/>
    <w:basedOn w:val="DefaultParagraphFont"/>
    <w:rsid w:val="00EF5FE9"/>
  </w:style>
  <w:style w:type="character" w:styleId="Emphasis">
    <w:name w:val="Emphasis"/>
    <w:basedOn w:val="DefaultParagraphFont"/>
    <w:hidden/>
    <w:uiPriority w:val="20"/>
    <w:qFormat/>
    <w:rsid w:val="00EA08F7"/>
    <w:rPr>
      <w:i/>
      <w:iCs/>
    </w:rPr>
  </w:style>
  <w:style w:type="paragraph" w:customStyle="1" w:styleId="BodySingle">
    <w:name w:val="Body Single"/>
    <w:basedOn w:val="BodyText"/>
    <w:link w:val="BodySingleChar"/>
    <w:qFormat/>
    <w:rsid w:val="004A77C1"/>
    <w:pPr>
      <w:spacing w:after="0"/>
    </w:pPr>
    <w:rPr>
      <w:rFonts w:eastAsiaTheme="minorHAnsi" w:cstheme="minorBidi"/>
      <w:szCs w:val="20"/>
    </w:rPr>
  </w:style>
  <w:style w:type="character" w:customStyle="1" w:styleId="BodySingleChar">
    <w:name w:val="Body Single Char"/>
    <w:basedOn w:val="BodyTextChar"/>
    <w:link w:val="BodySingle"/>
    <w:rsid w:val="004A77C1"/>
    <w:rPr>
      <w:rFonts w:ascii="Georgia" w:eastAsiaTheme="minorHAnsi" w:hAnsi="Georgia" w:cstheme="minorBidi"/>
      <w:sz w:val="20"/>
      <w:lang w:eastAsia="en-US"/>
    </w:rPr>
  </w:style>
  <w:style w:type="paragraph" w:styleId="FootnoteText">
    <w:name w:val="footnote text"/>
    <w:basedOn w:val="Normal"/>
    <w:link w:val="FootnoteTextChar"/>
    <w:uiPriority w:val="99"/>
    <w:semiHidden/>
    <w:unhideWhenUsed/>
    <w:rsid w:val="00A342C8"/>
    <w:pPr>
      <w:spacing w:line="240" w:lineRule="auto"/>
    </w:pPr>
    <w:rPr>
      <w:szCs w:val="20"/>
    </w:rPr>
  </w:style>
  <w:style w:type="character" w:customStyle="1" w:styleId="FootnoteTextChar">
    <w:name w:val="Footnote Text Char"/>
    <w:basedOn w:val="DefaultParagraphFont"/>
    <w:link w:val="FootnoteText"/>
    <w:uiPriority w:val="99"/>
    <w:semiHidden/>
    <w:rsid w:val="00A342C8"/>
    <w:rPr>
      <w:rFonts w:ascii="Georgia" w:hAnsi="Georgia"/>
      <w:lang w:eastAsia="en-US"/>
    </w:rPr>
  </w:style>
  <w:style w:type="character" w:styleId="FootnoteReference">
    <w:name w:val="footnote reference"/>
    <w:basedOn w:val="DefaultParagraphFont"/>
    <w:uiPriority w:val="99"/>
    <w:semiHidden/>
    <w:unhideWhenUsed/>
    <w:rsid w:val="00A342C8"/>
    <w:rPr>
      <w:vertAlign w:val="superscript"/>
    </w:rPr>
  </w:style>
  <w:style w:type="paragraph" w:styleId="Revision">
    <w:name w:val="Revision"/>
    <w:hidden/>
    <w:uiPriority w:val="99"/>
    <w:semiHidden/>
    <w:rsid w:val="00850F9A"/>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95765">
      <w:bodyDiv w:val="1"/>
      <w:marLeft w:val="0"/>
      <w:marRight w:val="0"/>
      <w:marTop w:val="0"/>
      <w:marBottom w:val="0"/>
      <w:divBdr>
        <w:top w:val="none" w:sz="0" w:space="0" w:color="auto"/>
        <w:left w:val="none" w:sz="0" w:space="0" w:color="auto"/>
        <w:bottom w:val="none" w:sz="0" w:space="0" w:color="auto"/>
        <w:right w:val="none" w:sz="0" w:space="0" w:color="auto"/>
      </w:divBdr>
    </w:div>
    <w:div w:id="1843079614">
      <w:bodyDiv w:val="1"/>
      <w:marLeft w:val="0"/>
      <w:marRight w:val="0"/>
      <w:marTop w:val="0"/>
      <w:marBottom w:val="0"/>
      <w:divBdr>
        <w:top w:val="none" w:sz="0" w:space="0" w:color="auto"/>
        <w:left w:val="none" w:sz="0" w:space="0" w:color="auto"/>
        <w:bottom w:val="none" w:sz="0" w:space="0" w:color="auto"/>
        <w:right w:val="none" w:sz="0" w:space="0" w:color="auto"/>
      </w:divBdr>
      <w:divsChild>
        <w:div w:id="683634772">
          <w:marLeft w:val="0"/>
          <w:marRight w:val="0"/>
          <w:marTop w:val="0"/>
          <w:marBottom w:val="0"/>
          <w:divBdr>
            <w:top w:val="none" w:sz="0" w:space="0" w:color="auto"/>
            <w:left w:val="none" w:sz="0" w:space="0" w:color="auto"/>
            <w:bottom w:val="none" w:sz="0" w:space="0" w:color="auto"/>
            <w:right w:val="none" w:sz="0" w:space="0" w:color="auto"/>
          </w:divBdr>
          <w:divsChild>
            <w:div w:id="984890206">
              <w:marLeft w:val="0"/>
              <w:marRight w:val="0"/>
              <w:marTop w:val="0"/>
              <w:marBottom w:val="0"/>
              <w:divBdr>
                <w:top w:val="none" w:sz="0" w:space="0" w:color="auto"/>
                <w:left w:val="none" w:sz="0" w:space="0" w:color="auto"/>
                <w:bottom w:val="none" w:sz="0" w:space="0" w:color="auto"/>
                <w:right w:val="none" w:sz="0" w:space="0" w:color="auto"/>
              </w:divBdr>
              <w:divsChild>
                <w:div w:id="2140293533">
                  <w:marLeft w:val="0"/>
                  <w:marRight w:val="0"/>
                  <w:marTop w:val="0"/>
                  <w:marBottom w:val="0"/>
                  <w:divBdr>
                    <w:top w:val="none" w:sz="0" w:space="0" w:color="auto"/>
                    <w:left w:val="none" w:sz="0" w:space="0" w:color="auto"/>
                    <w:bottom w:val="none" w:sz="0" w:space="0" w:color="auto"/>
                    <w:right w:val="none" w:sz="0" w:space="0" w:color="auto"/>
                  </w:divBdr>
                  <w:divsChild>
                    <w:div w:id="670835007">
                      <w:marLeft w:val="0"/>
                      <w:marRight w:val="125"/>
                      <w:marTop w:val="0"/>
                      <w:marBottom w:val="0"/>
                      <w:divBdr>
                        <w:top w:val="none" w:sz="0" w:space="0" w:color="auto"/>
                        <w:left w:val="none" w:sz="0" w:space="0" w:color="auto"/>
                        <w:bottom w:val="none" w:sz="0" w:space="0" w:color="auto"/>
                        <w:right w:val="none" w:sz="0" w:space="0" w:color="auto"/>
                      </w:divBdr>
                      <w:divsChild>
                        <w:div w:id="305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blankenspoor@nl.pwc.com" TargetMode="External"/><Relationship Id="rId13" Type="http://schemas.openxmlformats.org/officeDocument/2006/relationships/hyperlink" Target="http://www.pw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wc.com/gx/en/issues/high-growth-markets/publications/winning-in-maturing-marke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gm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wijeratne@sg.pwc.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wc.to/2jctwS5" TargetMode="External"/><Relationship Id="rId14" Type="http://schemas.openxmlformats.org/officeDocument/2006/relationships/hyperlink" Target="http://www.pwc.com/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8E39-CA22-4F9F-9742-22EF7856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7375</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Blankenspoor, Joost</cp:lastModifiedBy>
  <cp:revision>2</cp:revision>
  <cp:lastPrinted>2016-04-27T12:47:00Z</cp:lastPrinted>
  <dcterms:created xsi:type="dcterms:W3CDTF">2017-01-24T08:31:00Z</dcterms:created>
  <dcterms:modified xsi:type="dcterms:W3CDTF">2017-01-24T08:31:00Z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