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8EC" w:rsidRDefault="005A18EC" w:rsidP="004A171E">
      <w:pPr>
        <w:pStyle w:val="Title"/>
        <w:spacing w:after="0"/>
        <w:rPr>
          <w:rFonts w:asciiTheme="majorHAnsi" w:hAnsiTheme="majorHAnsi"/>
          <w:color w:val="auto"/>
          <w:sz w:val="20"/>
          <w:szCs w:val="20"/>
          <w:lang w:val="en-US"/>
        </w:rPr>
      </w:pP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20"/>
      </w:tblGrid>
      <w:tr w:rsidR="00AC1703" w:rsidRPr="003760F6" w:rsidTr="00F12272">
        <w:tc>
          <w:tcPr>
            <w:tcW w:w="1345" w:type="dxa"/>
          </w:tcPr>
          <w:p w:rsidR="00AC1703" w:rsidRPr="003760F6" w:rsidRDefault="00AC1703" w:rsidP="00F12272">
            <w:pPr>
              <w:rPr>
                <w:i/>
              </w:rPr>
            </w:pPr>
            <w:r w:rsidRPr="003760F6">
              <w:rPr>
                <w:i/>
              </w:rPr>
              <w:t>Date:</w:t>
            </w:r>
          </w:p>
        </w:tc>
        <w:tc>
          <w:tcPr>
            <w:tcW w:w="7920" w:type="dxa"/>
          </w:tcPr>
          <w:p w:rsidR="00AC1703" w:rsidRPr="003760F6" w:rsidRDefault="00AC1703" w:rsidP="00F12272">
            <w:pPr>
              <w:rPr>
                <w:b/>
                <w:color w:val="FF0000"/>
              </w:rPr>
            </w:pPr>
            <w:r w:rsidRPr="003760F6">
              <w:rPr>
                <w:b/>
                <w:color w:val="FF0000"/>
              </w:rPr>
              <w:t xml:space="preserve">Embargoed – 18:30 </w:t>
            </w:r>
            <w:r>
              <w:rPr>
                <w:b/>
                <w:color w:val="FF0000"/>
              </w:rPr>
              <w:t>Central European Time</w:t>
            </w:r>
            <w:r w:rsidRPr="003760F6">
              <w:rPr>
                <w:b/>
                <w:color w:val="FF0000"/>
              </w:rPr>
              <w:t xml:space="preserve"> – Monday, 16 January 2017</w:t>
            </w:r>
          </w:p>
          <w:p w:rsidR="00AC1703" w:rsidRPr="003760F6" w:rsidRDefault="00AC1703" w:rsidP="00F12272"/>
        </w:tc>
      </w:tr>
      <w:tr w:rsidR="00AC1703" w:rsidRPr="003760F6" w:rsidTr="00F12272">
        <w:tc>
          <w:tcPr>
            <w:tcW w:w="1345" w:type="dxa"/>
          </w:tcPr>
          <w:p w:rsidR="00AC1703" w:rsidRPr="003760F6" w:rsidRDefault="00AC1703" w:rsidP="00F12272">
            <w:pPr>
              <w:rPr>
                <w:i/>
              </w:rPr>
            </w:pPr>
            <w:r w:rsidRPr="003760F6">
              <w:rPr>
                <w:i/>
              </w:rPr>
              <w:t>Contact:</w:t>
            </w:r>
          </w:p>
        </w:tc>
        <w:tc>
          <w:tcPr>
            <w:tcW w:w="7920" w:type="dxa"/>
          </w:tcPr>
          <w:p w:rsidR="00AC1703" w:rsidRPr="00D35103" w:rsidRDefault="00AC1703" w:rsidP="00AC1703">
            <w:pPr>
              <w:autoSpaceDE w:val="0"/>
              <w:autoSpaceDN w:val="0"/>
              <w:adjustRightInd w:val="0"/>
              <w:spacing w:line="240" w:lineRule="auto"/>
              <w:rPr>
                <w:rFonts w:asciiTheme="majorHAnsi" w:hAnsiTheme="majorHAnsi" w:cs="Helv"/>
                <w:szCs w:val="20"/>
                <w:lang w:val="en-US" w:eastAsia="pl-PL"/>
              </w:rPr>
            </w:pPr>
            <w:r w:rsidRPr="00D35103">
              <w:rPr>
                <w:rFonts w:asciiTheme="majorHAnsi" w:hAnsiTheme="majorHAnsi" w:cs="Helv"/>
                <w:szCs w:val="20"/>
                <w:lang w:val="en-US" w:eastAsia="pl-PL"/>
              </w:rPr>
              <w:t>Jeffery McMillan</w:t>
            </w:r>
          </w:p>
          <w:p w:rsidR="00AC1703" w:rsidRPr="00D35103" w:rsidRDefault="00AC1703" w:rsidP="00AC1703">
            <w:pPr>
              <w:autoSpaceDE w:val="0"/>
              <w:autoSpaceDN w:val="0"/>
              <w:adjustRightInd w:val="0"/>
              <w:spacing w:line="240" w:lineRule="auto"/>
              <w:rPr>
                <w:rFonts w:asciiTheme="majorHAnsi" w:hAnsiTheme="majorHAnsi" w:cs="Helv"/>
                <w:szCs w:val="20"/>
                <w:lang w:val="en-US" w:eastAsia="pl-PL"/>
              </w:rPr>
            </w:pPr>
            <w:r w:rsidRPr="00D35103">
              <w:rPr>
                <w:rFonts w:asciiTheme="majorHAnsi" w:hAnsiTheme="majorHAnsi" w:cs="Helv"/>
                <w:szCs w:val="20"/>
                <w:lang w:val="en-US" w:eastAsia="pl-PL"/>
              </w:rPr>
              <w:t>Director of Communications, PwC CEE</w:t>
            </w:r>
          </w:p>
          <w:p w:rsidR="00AC1703" w:rsidRPr="00D35103" w:rsidRDefault="00AC1703" w:rsidP="00AC1703">
            <w:pPr>
              <w:autoSpaceDE w:val="0"/>
              <w:autoSpaceDN w:val="0"/>
              <w:adjustRightInd w:val="0"/>
              <w:spacing w:line="240" w:lineRule="auto"/>
              <w:rPr>
                <w:rFonts w:asciiTheme="majorHAnsi" w:hAnsiTheme="majorHAnsi" w:cs="Helv"/>
                <w:szCs w:val="20"/>
                <w:lang w:val="en-US" w:eastAsia="pl-PL"/>
              </w:rPr>
            </w:pPr>
            <w:r w:rsidRPr="00D35103">
              <w:rPr>
                <w:rFonts w:asciiTheme="majorHAnsi" w:hAnsiTheme="majorHAnsi" w:cs="Helv"/>
                <w:szCs w:val="20"/>
                <w:lang w:val="en-US" w:eastAsia="pl-PL"/>
              </w:rPr>
              <w:t>M: +48 519 506 633</w:t>
            </w:r>
          </w:p>
          <w:p w:rsidR="00AC1703" w:rsidRPr="00D35103" w:rsidRDefault="005574CD" w:rsidP="00AC1703">
            <w:pPr>
              <w:autoSpaceDE w:val="0"/>
              <w:autoSpaceDN w:val="0"/>
              <w:adjustRightInd w:val="0"/>
              <w:spacing w:line="240" w:lineRule="auto"/>
              <w:rPr>
                <w:rFonts w:asciiTheme="majorHAnsi" w:hAnsiTheme="majorHAnsi" w:cs="Helv"/>
                <w:szCs w:val="20"/>
                <w:lang w:val="en-US" w:eastAsia="pl-PL"/>
              </w:rPr>
            </w:pPr>
            <w:hyperlink r:id="rId8" w:history="1">
              <w:r w:rsidR="00AC1703" w:rsidRPr="00D35103">
                <w:rPr>
                  <w:rStyle w:val="Hyperlink"/>
                  <w:rFonts w:asciiTheme="majorHAnsi" w:hAnsiTheme="majorHAnsi" w:cs="Helv"/>
                  <w:szCs w:val="20"/>
                  <w:lang w:val="en-US" w:eastAsia="pl-PL"/>
                </w:rPr>
                <w:t>jeffery.mcmillan@pl.pwc.com</w:t>
              </w:r>
            </w:hyperlink>
            <w:r w:rsidR="00AC1703" w:rsidRPr="00D35103">
              <w:rPr>
                <w:rFonts w:asciiTheme="majorHAnsi" w:hAnsiTheme="majorHAnsi" w:cs="Helv"/>
                <w:szCs w:val="20"/>
                <w:lang w:val="en-US" w:eastAsia="pl-PL"/>
              </w:rPr>
              <w:t xml:space="preserve"> </w:t>
            </w:r>
          </w:p>
          <w:p w:rsidR="00AC1703" w:rsidRPr="00AC1703" w:rsidRDefault="00AC1703" w:rsidP="00AC1703">
            <w:pPr>
              <w:rPr>
                <w:lang w:val="en-US"/>
              </w:rPr>
            </w:pPr>
          </w:p>
        </w:tc>
      </w:tr>
    </w:tbl>
    <w:p w:rsidR="00AC1703" w:rsidRPr="003760F6" w:rsidRDefault="00AC1703" w:rsidP="00AC1703">
      <w:pPr>
        <w:rPr>
          <w:szCs w:val="20"/>
        </w:rPr>
      </w:pPr>
    </w:p>
    <w:p w:rsidR="00AC1703" w:rsidRPr="003760F6" w:rsidRDefault="00AC1703" w:rsidP="00AC1703">
      <w:pPr>
        <w:ind w:left="1440"/>
        <w:rPr>
          <w:i/>
          <w:color w:val="000000" w:themeColor="text1"/>
          <w:szCs w:val="20"/>
        </w:rPr>
      </w:pPr>
      <w:r w:rsidRPr="003760F6">
        <w:rPr>
          <w:i/>
          <w:color w:val="000000" w:themeColor="text1"/>
          <w:szCs w:val="20"/>
        </w:rPr>
        <w:t xml:space="preserve">More details: </w:t>
      </w:r>
      <w:hyperlink r:id="rId9" w:history="1">
        <w:r w:rsidRPr="004E318C">
          <w:rPr>
            <w:rStyle w:val="Hyperlink"/>
            <w:i/>
            <w:szCs w:val="20"/>
          </w:rPr>
          <w:t>http://press.pwc.com</w:t>
        </w:r>
      </w:hyperlink>
      <w:r>
        <w:rPr>
          <w:i/>
          <w:szCs w:val="20"/>
        </w:rPr>
        <w:t xml:space="preserve">, </w:t>
      </w:r>
      <w:hyperlink r:id="rId10" w:history="1">
        <w:proofErr w:type="spellStart"/>
        <w:r w:rsidRPr="00593B25">
          <w:rPr>
            <w:rStyle w:val="Hyperlink"/>
            <w:i/>
            <w:szCs w:val="20"/>
          </w:rPr>
          <w:t>ceosurvey.pwc</w:t>
        </w:r>
        <w:proofErr w:type="spellEnd"/>
      </w:hyperlink>
    </w:p>
    <w:p w:rsidR="00AC1703" w:rsidRPr="003760F6" w:rsidRDefault="00AC1703" w:rsidP="00AC1703">
      <w:pPr>
        <w:ind w:left="1440" w:right="-90"/>
        <w:rPr>
          <w:i/>
          <w:color w:val="000000" w:themeColor="text1"/>
          <w:szCs w:val="20"/>
        </w:rPr>
      </w:pPr>
      <w:r w:rsidRPr="003760F6">
        <w:rPr>
          <w:i/>
          <w:color w:val="000000" w:themeColor="text1"/>
          <w:szCs w:val="20"/>
        </w:rPr>
        <w:t>Follow/retweet: @</w:t>
      </w:r>
      <w:proofErr w:type="spellStart"/>
      <w:r w:rsidRPr="003760F6">
        <w:rPr>
          <w:i/>
          <w:color w:val="000000" w:themeColor="text1"/>
          <w:szCs w:val="20"/>
        </w:rPr>
        <w:t>pwc</w:t>
      </w:r>
      <w:proofErr w:type="spellEnd"/>
    </w:p>
    <w:p w:rsidR="005A18EC" w:rsidRPr="002404B8" w:rsidRDefault="005A18EC" w:rsidP="004A171E">
      <w:pPr>
        <w:spacing w:line="240" w:lineRule="auto"/>
        <w:rPr>
          <w:rFonts w:asciiTheme="majorHAnsi" w:hAnsiTheme="majorHAnsi"/>
          <w:bCs/>
          <w:szCs w:val="20"/>
          <w:lang w:val="en-US"/>
        </w:rPr>
      </w:pPr>
      <w:r w:rsidRPr="002404B8">
        <w:rPr>
          <w:rFonts w:asciiTheme="majorHAnsi" w:hAnsiTheme="majorHAnsi"/>
          <w:bCs/>
          <w:szCs w:val="20"/>
          <w:lang w:val="en-US"/>
        </w:rPr>
        <w:t xml:space="preserve"> </w:t>
      </w:r>
    </w:p>
    <w:p w:rsidR="005A18EC" w:rsidRDefault="005A18EC" w:rsidP="004A171E">
      <w:pPr>
        <w:spacing w:line="240" w:lineRule="auto"/>
        <w:rPr>
          <w:rFonts w:asciiTheme="majorHAnsi" w:hAnsiTheme="majorHAnsi"/>
          <w:b/>
          <w:bCs/>
          <w:szCs w:val="20"/>
          <w:lang w:val="en-US"/>
        </w:rPr>
      </w:pPr>
    </w:p>
    <w:p w:rsidR="005A18EC" w:rsidRDefault="005A18EC" w:rsidP="00022560">
      <w:pPr>
        <w:spacing w:line="240" w:lineRule="auto"/>
        <w:rPr>
          <w:rFonts w:asciiTheme="majorHAnsi" w:hAnsiTheme="majorHAnsi"/>
          <w:b/>
          <w:bCs/>
          <w:i/>
          <w:iCs/>
          <w:color w:val="E0301E"/>
          <w:szCs w:val="20"/>
        </w:rPr>
      </w:pPr>
    </w:p>
    <w:p w:rsidR="005A18EC" w:rsidRPr="001F32EB" w:rsidRDefault="005A18EC" w:rsidP="004A171E">
      <w:pPr>
        <w:pStyle w:val="Title"/>
        <w:spacing w:after="0"/>
        <w:rPr>
          <w:color w:val="auto"/>
        </w:rPr>
      </w:pPr>
    </w:p>
    <w:p w:rsidR="00AC1703" w:rsidRPr="003760F6" w:rsidRDefault="00AC1703" w:rsidP="00AC1703">
      <w:pPr>
        <w:jc w:val="center"/>
        <w:rPr>
          <w:rStyle w:val="Emphasis"/>
          <w:b/>
          <w:bCs/>
          <w:i w:val="0"/>
          <w:color w:val="0D0D0D"/>
          <w:sz w:val="24"/>
          <w:szCs w:val="24"/>
        </w:rPr>
      </w:pPr>
      <w:r w:rsidRPr="003760F6">
        <w:rPr>
          <w:rStyle w:val="Emphasis"/>
          <w:b/>
          <w:bCs/>
          <w:color w:val="0D0D0D"/>
          <w:sz w:val="24"/>
          <w:szCs w:val="24"/>
        </w:rPr>
        <w:t>CEO</w:t>
      </w:r>
      <w:r>
        <w:rPr>
          <w:rStyle w:val="Emphasis"/>
          <w:b/>
          <w:bCs/>
          <w:color w:val="0D0D0D"/>
          <w:sz w:val="24"/>
          <w:szCs w:val="24"/>
        </w:rPr>
        <w:t xml:space="preserve"> </w:t>
      </w:r>
      <w:r w:rsidRPr="003760F6">
        <w:rPr>
          <w:rStyle w:val="Emphasis"/>
          <w:b/>
          <w:bCs/>
          <w:color w:val="0D0D0D"/>
          <w:sz w:val="24"/>
          <w:szCs w:val="24"/>
        </w:rPr>
        <w:t xml:space="preserve">confidence rises </w:t>
      </w:r>
      <w:r w:rsidR="00B31DA7">
        <w:rPr>
          <w:rStyle w:val="Emphasis"/>
          <w:b/>
          <w:bCs/>
          <w:color w:val="0D0D0D"/>
          <w:sz w:val="24"/>
          <w:szCs w:val="24"/>
        </w:rPr>
        <w:t>in CEE</w:t>
      </w:r>
      <w:r w:rsidR="00B31DA7" w:rsidRPr="003760F6">
        <w:rPr>
          <w:rStyle w:val="Emphasis"/>
          <w:b/>
          <w:bCs/>
          <w:color w:val="0D0D0D"/>
          <w:sz w:val="24"/>
          <w:szCs w:val="24"/>
        </w:rPr>
        <w:t xml:space="preserve"> </w:t>
      </w:r>
      <w:r w:rsidRPr="003760F6">
        <w:rPr>
          <w:rStyle w:val="Emphasis"/>
          <w:b/>
          <w:bCs/>
          <w:color w:val="0D0D0D"/>
          <w:sz w:val="24"/>
          <w:szCs w:val="24"/>
        </w:rPr>
        <w:t>despite new risks and uncertainty</w:t>
      </w:r>
    </w:p>
    <w:p w:rsidR="00AC1703" w:rsidRDefault="00AC1703">
      <w:pPr>
        <w:spacing w:after="160" w:line="259" w:lineRule="auto"/>
        <w:rPr>
          <w:rFonts w:asciiTheme="majorHAnsi" w:eastAsia="Calibri" w:hAnsiTheme="majorHAnsi"/>
          <w:sz w:val="22"/>
        </w:rPr>
      </w:pPr>
    </w:p>
    <w:p w:rsidR="00AC1703" w:rsidRPr="00AC1703" w:rsidRDefault="00AC1703" w:rsidP="00AC1703">
      <w:pPr>
        <w:pStyle w:val="ListParagraph"/>
        <w:numPr>
          <w:ilvl w:val="0"/>
          <w:numId w:val="8"/>
        </w:numPr>
        <w:spacing w:after="0" w:line="240" w:lineRule="auto"/>
        <w:rPr>
          <w:rFonts w:asciiTheme="majorHAnsi" w:hAnsiTheme="majorHAnsi"/>
          <w:lang w:val="en-GB"/>
        </w:rPr>
      </w:pPr>
      <w:r w:rsidRPr="00AC1703">
        <w:rPr>
          <w:rFonts w:asciiTheme="majorHAnsi" w:hAnsiTheme="majorHAnsi"/>
          <w:lang w:val="en-GB"/>
        </w:rPr>
        <w:t>Confidence in company growth rises, in line with global figure</w:t>
      </w:r>
    </w:p>
    <w:p w:rsidR="00AC1703" w:rsidRPr="00AC1703" w:rsidRDefault="00AC1703" w:rsidP="00AC1703">
      <w:pPr>
        <w:pStyle w:val="ListParagraph"/>
        <w:numPr>
          <w:ilvl w:val="0"/>
          <w:numId w:val="8"/>
        </w:numPr>
        <w:spacing w:after="0" w:line="240" w:lineRule="auto"/>
        <w:rPr>
          <w:rFonts w:asciiTheme="majorHAnsi" w:hAnsiTheme="majorHAnsi"/>
          <w:lang w:val="en-GB"/>
        </w:rPr>
      </w:pPr>
      <w:r w:rsidRPr="00AC1703">
        <w:rPr>
          <w:rFonts w:asciiTheme="majorHAnsi" w:hAnsiTheme="majorHAnsi"/>
          <w:lang w:val="en-GB"/>
        </w:rPr>
        <w:t>CEE business leaders see more benefits from globalisation than their global peers</w:t>
      </w:r>
    </w:p>
    <w:p w:rsidR="00AC1703" w:rsidRPr="00AC1703" w:rsidRDefault="00AC1703" w:rsidP="00AC1703">
      <w:pPr>
        <w:pStyle w:val="ListParagraph"/>
        <w:numPr>
          <w:ilvl w:val="0"/>
          <w:numId w:val="8"/>
        </w:numPr>
        <w:spacing w:after="0" w:line="240" w:lineRule="auto"/>
        <w:rPr>
          <w:rFonts w:asciiTheme="majorHAnsi" w:hAnsiTheme="majorHAnsi"/>
          <w:lang w:val="en-GB"/>
        </w:rPr>
      </w:pPr>
      <w:r w:rsidRPr="00AC1703">
        <w:rPr>
          <w:rFonts w:asciiTheme="majorHAnsi" w:hAnsiTheme="majorHAnsi"/>
          <w:lang w:val="en-GB"/>
        </w:rPr>
        <w:t>Geopolitical uncertainty tops the list of threats that concern CEOs</w:t>
      </w:r>
    </w:p>
    <w:p w:rsidR="00AC1703" w:rsidRPr="00AC1703" w:rsidRDefault="00AC1703" w:rsidP="00AC1703">
      <w:pPr>
        <w:pStyle w:val="ListParagraph"/>
        <w:numPr>
          <w:ilvl w:val="0"/>
          <w:numId w:val="8"/>
        </w:numPr>
        <w:spacing w:after="0" w:line="240" w:lineRule="auto"/>
        <w:rPr>
          <w:rFonts w:asciiTheme="majorHAnsi" w:hAnsiTheme="majorHAnsi"/>
          <w:lang w:val="en-GB"/>
        </w:rPr>
      </w:pPr>
      <w:r w:rsidRPr="00AC1703">
        <w:rPr>
          <w:rFonts w:asciiTheme="majorHAnsi" w:hAnsiTheme="majorHAnsi"/>
          <w:lang w:val="en-GB"/>
        </w:rPr>
        <w:t>CEOs in the region are committed to innovation to capitalise on new opportunities</w:t>
      </w:r>
    </w:p>
    <w:p w:rsidR="00AC1703" w:rsidRPr="00AC1703" w:rsidRDefault="00AC1703" w:rsidP="00AC1703">
      <w:pPr>
        <w:rPr>
          <w:rFonts w:asciiTheme="majorHAnsi" w:hAnsiTheme="majorHAnsi" w:cs="Arial"/>
          <w:b/>
          <w:color w:val="000000"/>
          <w:szCs w:val="20"/>
        </w:rPr>
      </w:pPr>
    </w:p>
    <w:p w:rsidR="00AC1703" w:rsidRPr="00652786" w:rsidRDefault="00AC1703" w:rsidP="00AC1703">
      <w:r>
        <w:rPr>
          <w:rFonts w:asciiTheme="majorHAnsi" w:hAnsiTheme="majorHAnsi" w:cs="Arial"/>
          <w:b/>
          <w:color w:val="000000"/>
          <w:szCs w:val="20"/>
          <w:lang w:val="en-US"/>
        </w:rPr>
        <w:t>16th</w:t>
      </w:r>
      <w:r w:rsidR="00A70109" w:rsidRPr="005A18EC">
        <w:rPr>
          <w:rFonts w:asciiTheme="majorHAnsi" w:hAnsiTheme="majorHAnsi"/>
          <w:b/>
          <w:szCs w:val="20"/>
          <w:lang w:val="en-US"/>
        </w:rPr>
        <w:t xml:space="preserve"> January 2017</w:t>
      </w:r>
      <w:r w:rsidR="000B5B4B" w:rsidRPr="005A18EC">
        <w:rPr>
          <w:rFonts w:asciiTheme="majorHAnsi" w:hAnsiTheme="majorHAnsi"/>
          <w:b/>
          <w:szCs w:val="20"/>
          <w:lang w:val="en-US"/>
        </w:rPr>
        <w:t>. –</w:t>
      </w:r>
      <w:r w:rsidR="001D47E9">
        <w:rPr>
          <w:rFonts w:asciiTheme="majorHAnsi" w:hAnsiTheme="majorHAnsi"/>
          <w:b/>
          <w:szCs w:val="20"/>
          <w:lang w:val="en-US"/>
        </w:rPr>
        <w:t xml:space="preserve"> </w:t>
      </w:r>
      <w:r w:rsidRPr="00652786">
        <w:t xml:space="preserve">CEOs in Central and Eastern Europe expressed increased confidence in their companies’ growth prospects and the outlook for the global economy, in line with their global peers, and showed a commitment to </w:t>
      </w:r>
      <w:r>
        <w:t>innovation, technology and human capital</w:t>
      </w:r>
      <w:r w:rsidRPr="00652786">
        <w:t xml:space="preserve"> to meet the challenges of today’s business environment.</w:t>
      </w:r>
    </w:p>
    <w:p w:rsidR="00AC1703" w:rsidRPr="00652786" w:rsidRDefault="00AC1703" w:rsidP="00AC1703"/>
    <w:p w:rsidR="00AC1703" w:rsidRPr="00652786" w:rsidRDefault="00AC1703" w:rsidP="00AC1703">
      <w:r w:rsidRPr="00652786">
        <w:t xml:space="preserve">PwC’s 20th annual survey of CEOs in the region found that 38% are very confident about their company’s growth prospects for the next 12 months, the same as the global figure and up from 37% a year earlier. Twenty-eight percent believe global economic growth will improve, compared with 25% a year earlier and </w:t>
      </w:r>
      <w:r>
        <w:t>29% globally</w:t>
      </w:r>
      <w:r w:rsidRPr="00652786">
        <w:t>.</w:t>
      </w:r>
    </w:p>
    <w:p w:rsidR="00AC1703" w:rsidRPr="00652786" w:rsidRDefault="00AC1703" w:rsidP="00AC1703"/>
    <w:p w:rsidR="00AC1703" w:rsidRDefault="00AC1703" w:rsidP="00AC1703">
      <w:r>
        <w:t>Despite the more positive outlook, CEE business leaders also expressed concern about a range of threats to their businesses. Asked how concerned they were about various</w:t>
      </w:r>
      <w:r w:rsidRPr="00292005">
        <w:t xml:space="preserve"> economic, policy, social and environmental threats to </w:t>
      </w:r>
      <w:r>
        <w:t>their</w:t>
      </w:r>
      <w:r w:rsidRPr="00292005">
        <w:t xml:space="preserve"> organisation’s growth prospects</w:t>
      </w:r>
      <w:r>
        <w:t>, 82% cited geopolitical uncertainty (compared with 74% globally), followed by over-regulation with 80% (the same as the global figure) and uncertain economic growth (78% versus 82%).</w:t>
      </w:r>
    </w:p>
    <w:p w:rsidR="00AC1703" w:rsidRDefault="00AC1703" w:rsidP="00AC1703"/>
    <w:p w:rsidR="00AC1703" w:rsidRDefault="00AC1703" w:rsidP="00AC1703">
      <w:pPr>
        <w:ind w:firstLine="720"/>
      </w:pPr>
      <w:r>
        <w:t xml:space="preserve">Olga </w:t>
      </w:r>
      <w:proofErr w:type="spellStart"/>
      <w:r>
        <w:t>Grygier</w:t>
      </w:r>
      <w:proofErr w:type="spellEnd"/>
      <w:r>
        <w:t>-Siddons, PwC  CEO Central and Eastern Europe, comments:</w:t>
      </w:r>
    </w:p>
    <w:p w:rsidR="00AC1703" w:rsidRDefault="00AC1703" w:rsidP="00AC1703"/>
    <w:p w:rsidR="00AC1703" w:rsidRDefault="00AC1703" w:rsidP="00AC1703">
      <w:r>
        <w:t>“</w:t>
      </w:r>
      <w:r w:rsidRPr="00AC1703">
        <w:rPr>
          <w:i/>
        </w:rPr>
        <w:t>While Central and Eastern Europe (CEE) faces all of the same challenges as other regions around the world, and some in even greater measure, business leaders here are just as confident as their global peers. While the challenges ahead are daunting, when I look back at how far the region has come in the 20 years since the survey began it gives me confidence that we’ll be able to meet those challenges.”</w:t>
      </w:r>
    </w:p>
    <w:p w:rsidR="00AC1703" w:rsidRDefault="00AC1703" w:rsidP="00AC1703"/>
    <w:p w:rsidR="00AC1703" w:rsidRDefault="00AC1703" w:rsidP="00AC1703">
      <w:r>
        <w:t xml:space="preserve">The survey also found that the region’s CEOs are </w:t>
      </w:r>
      <w:r w:rsidR="009633A2">
        <w:t xml:space="preserve">generally </w:t>
      </w:r>
      <w:bookmarkStart w:id="0" w:name="_GoBack"/>
      <w:bookmarkEnd w:id="0"/>
      <w:r>
        <w:t>more positive about the effects of globalisation than their global peers: asked</w:t>
      </w:r>
      <w:r w:rsidRPr="009776E8">
        <w:t xml:space="preserve"> how much globalisat</w:t>
      </w:r>
      <w:r>
        <w:t>ion has helped in various areas,</w:t>
      </w:r>
      <w:r w:rsidRPr="009776E8">
        <w:t xml:space="preserve"> the percentage of business leaders responding “to a large extent” was higher than the global average in 11 of the 12 areas. (On the 12th, “closing the gap between rich and poor”, </w:t>
      </w:r>
      <w:r>
        <w:t>the</w:t>
      </w:r>
      <w:r w:rsidRPr="009776E8">
        <w:t xml:space="preserve"> region was just one point lower, at 12% versus 13%.) The biggest differences from the global perception were in the view of globalisation as a force for </w:t>
      </w:r>
      <w:r w:rsidRPr="009776E8">
        <w:lastRenderedPageBreak/>
        <w:t>good in upholding access to infrastructure and basic services (51% in CEE versus 34% globally), improving the ease of moving capital, people, goods and information (76% to 60%) and harmonising regulations (33% compared with 23%).</w:t>
      </w:r>
    </w:p>
    <w:p w:rsidR="00AC1703" w:rsidRDefault="00AC1703" w:rsidP="00AC1703"/>
    <w:p w:rsidR="00AC1703" w:rsidRDefault="00AC1703" w:rsidP="00AC1703">
      <w:r>
        <w:t>“</w:t>
      </w:r>
      <w:r w:rsidRPr="00AC1703">
        <w:rPr>
          <w:i/>
        </w:rPr>
        <w:t>W</w:t>
      </w:r>
      <w:r w:rsidR="0020500F">
        <w:rPr>
          <w:i/>
        </w:rPr>
        <w:t xml:space="preserve">hilst business leaders </w:t>
      </w:r>
      <w:r w:rsidRPr="00AC1703">
        <w:rPr>
          <w:i/>
        </w:rPr>
        <w:t xml:space="preserve">in Central and Eastern Europe </w:t>
      </w:r>
      <w:r w:rsidR="0020500F">
        <w:rPr>
          <w:i/>
        </w:rPr>
        <w:t xml:space="preserve">recognise that our region is </w:t>
      </w:r>
      <w:r w:rsidRPr="00AC1703">
        <w:rPr>
          <w:i/>
        </w:rPr>
        <w:t>among the world’s biggest winners from globalisation and new technologies,</w:t>
      </w:r>
      <w:r w:rsidR="0020500F">
        <w:rPr>
          <w:i/>
        </w:rPr>
        <w:t xml:space="preserve"> they also recognise that there are a number of key challenges that need to be met if we are to continue to grow and benefit,</w:t>
      </w:r>
      <w:r w:rsidRPr="00AC1703">
        <w:rPr>
          <w:i/>
        </w:rPr>
        <w:t>”</w:t>
      </w:r>
      <w:r>
        <w:t xml:space="preserve"> said </w:t>
      </w:r>
      <w:proofErr w:type="spellStart"/>
      <w:r>
        <w:t>Grygier</w:t>
      </w:r>
      <w:proofErr w:type="spellEnd"/>
      <w:r>
        <w:t>-Siddons</w:t>
      </w:r>
      <w:r w:rsidRPr="00DD0D5C">
        <w:t>.</w:t>
      </w:r>
    </w:p>
    <w:p w:rsidR="00AC1703" w:rsidRDefault="00AC1703" w:rsidP="00AC1703"/>
    <w:p w:rsidR="00AC1703" w:rsidRDefault="00AC1703" w:rsidP="00AC1703">
      <w:r w:rsidRPr="00DD0D5C">
        <w:t xml:space="preserve">Like their global peers, CEOs </w:t>
      </w:r>
      <w:r>
        <w:t>in the region</w:t>
      </w:r>
      <w:r w:rsidRPr="00DD0D5C">
        <w:t xml:space="preserve"> are looking inside their companies for growth, rather than seeking acquisitions or joint ventures. To meet the new challenges, CEE business leaders are betting on innovation even more enthusiastically than their global </w:t>
      </w:r>
      <w:r>
        <w:t>counterparts</w:t>
      </w:r>
      <w:r w:rsidRPr="00DD0D5C">
        <w:t>; it was the first choice for both groups when asked which element of their business they most wanted to strengthen (25% in the region and 23% globally) in order to capitalise on new opportunities. CEOs are also looking at digital and technology capabilities (16% versus 15% globally) and human capital (also 16% versus 15% globally), and even fewer are banking on M&amp;A and partnerships (4% compared with 7%) as the main source of growth.</w:t>
      </w:r>
    </w:p>
    <w:p w:rsidR="00AC1703" w:rsidRDefault="00AC1703" w:rsidP="00AC1703"/>
    <w:p w:rsidR="005A18EC" w:rsidRDefault="00AC1703" w:rsidP="00AC1703">
      <w:proofErr w:type="spellStart"/>
      <w:r>
        <w:t>Grygier</w:t>
      </w:r>
      <w:proofErr w:type="spellEnd"/>
      <w:r>
        <w:t>-Siddons cautions that for innovation to thrive, businesses in the region need to seek new ways of working with academia and government. “</w:t>
      </w:r>
      <w:r w:rsidRPr="00DD0D5C">
        <w:t>The challenge for CEE policymakers and business leaders is to create a truly integrated ecosystem for tech development</w:t>
      </w:r>
      <w:r>
        <w:t>,” she says</w:t>
      </w:r>
      <w:r w:rsidRPr="00DD0D5C">
        <w:t xml:space="preserve">. </w:t>
      </w:r>
      <w:r>
        <w:t>“</w:t>
      </w:r>
      <w:r w:rsidRPr="00DD0D5C">
        <w:t xml:space="preserve">At the moment, the region has all the pieces of the puzzle: academia, research, a vibrant </w:t>
      </w:r>
      <w:proofErr w:type="spellStart"/>
      <w:r w:rsidRPr="00DD0D5C">
        <w:t>startup</w:t>
      </w:r>
      <w:proofErr w:type="spellEnd"/>
      <w:r w:rsidRPr="00DD0D5C">
        <w:t xml:space="preserve"> scene and established businesses. What’s missing is the integration of all of these elements. Smart CEOs (and other leaders) will look for ways to break down the silo mentality that keeps different elements of the ecosystem from working together effectively</w:t>
      </w:r>
      <w:r>
        <w:t>.</w:t>
      </w:r>
      <w:r w:rsidR="00365EC2">
        <w:t>”</w:t>
      </w:r>
    </w:p>
    <w:p w:rsidR="00AC1703" w:rsidRDefault="00AC1703" w:rsidP="00AC1703"/>
    <w:p w:rsidR="00AC1703" w:rsidRPr="003760F6" w:rsidRDefault="00AC1703" w:rsidP="00AC1703">
      <w:pPr>
        <w:rPr>
          <w:rStyle w:val="Emphasis"/>
          <w:bCs/>
          <w:i w:val="0"/>
          <w:color w:val="0D0D0D"/>
          <w:szCs w:val="20"/>
        </w:rPr>
      </w:pPr>
      <w:r w:rsidRPr="003760F6">
        <w:rPr>
          <w:rStyle w:val="Emphasis"/>
          <w:bCs/>
          <w:color w:val="0D0D0D"/>
          <w:szCs w:val="20"/>
        </w:rPr>
        <w:t>ENDS</w:t>
      </w:r>
    </w:p>
    <w:p w:rsidR="00AC1703" w:rsidRPr="003760F6" w:rsidRDefault="00AC1703" w:rsidP="00AC1703">
      <w:pPr>
        <w:rPr>
          <w:rStyle w:val="Emphasis"/>
          <w:bCs/>
          <w:i w:val="0"/>
          <w:color w:val="0D0D0D"/>
          <w:szCs w:val="20"/>
        </w:rPr>
      </w:pPr>
    </w:p>
    <w:p w:rsidR="00AC1703" w:rsidRDefault="00AC1703" w:rsidP="00AC1703">
      <w:pPr>
        <w:rPr>
          <w:rStyle w:val="Emphasis"/>
          <w:bCs/>
          <w:i w:val="0"/>
          <w:color w:val="0D0D0D"/>
          <w:szCs w:val="20"/>
        </w:rPr>
      </w:pPr>
      <w:r w:rsidRPr="003760F6">
        <w:rPr>
          <w:rStyle w:val="Emphasis"/>
          <w:bCs/>
          <w:color w:val="0D0D0D"/>
          <w:szCs w:val="20"/>
        </w:rPr>
        <w:t>Notes to editors:</w:t>
      </w:r>
    </w:p>
    <w:p w:rsidR="00AC1703" w:rsidRPr="003760F6" w:rsidRDefault="00AC1703" w:rsidP="00AC1703">
      <w:pPr>
        <w:rPr>
          <w:rStyle w:val="Emphasis"/>
          <w:bCs/>
          <w:i w:val="0"/>
          <w:color w:val="0D0D0D"/>
          <w:szCs w:val="20"/>
        </w:rPr>
      </w:pPr>
    </w:p>
    <w:p w:rsidR="00AC1703" w:rsidRPr="00B31DA7" w:rsidRDefault="00AC1703" w:rsidP="005F26A5">
      <w:pPr>
        <w:pStyle w:val="ListParagraph"/>
        <w:numPr>
          <w:ilvl w:val="0"/>
          <w:numId w:val="9"/>
        </w:numPr>
        <w:spacing w:after="100" w:line="240" w:lineRule="atLeast"/>
        <w:ind w:left="357" w:hanging="357"/>
        <w:contextualSpacing w:val="0"/>
        <w:rPr>
          <w:lang w:val="en-US"/>
        </w:rPr>
      </w:pPr>
      <w:r w:rsidRPr="00AC1703">
        <w:rPr>
          <w:rStyle w:val="Emphasis"/>
          <w:rFonts w:ascii="Georgia" w:hAnsi="Georgia"/>
          <w:bCs/>
          <w:color w:val="0D0D0D"/>
          <w:sz w:val="20"/>
          <w:szCs w:val="20"/>
          <w:lang w:val="en-US"/>
        </w:rPr>
        <w:t>This survey was carried out between September and December 2016. 1379 CEOs responded from 79 countries, to online, postal, face to face and phone interviews. 57% worked in privately owned companies, 43% in publicly listed companies. 36% worked at companies with revenues over $1bn PA; 38% between $101-$999bn PA; and 21% with revenues of less than $100m.</w:t>
      </w:r>
      <w:r w:rsidR="005F26A5" w:rsidRPr="00B31DA7">
        <w:rPr>
          <w:lang w:val="en-US"/>
        </w:rPr>
        <w:t xml:space="preserve"> </w:t>
      </w:r>
      <w:r w:rsidR="007E2CFF">
        <w:rPr>
          <w:rStyle w:val="Emphasis"/>
          <w:rFonts w:ascii="Georgia" w:hAnsi="Georgia"/>
          <w:bCs/>
          <w:color w:val="0D0D0D"/>
          <w:sz w:val="20"/>
          <w:szCs w:val="20"/>
          <w:lang w:val="en-US"/>
        </w:rPr>
        <w:t>Within the global</w:t>
      </w:r>
      <w:r w:rsidR="007E2CFF">
        <w:rPr>
          <w:rStyle w:val="Emphasis"/>
          <w:rFonts w:ascii="Georgia" w:hAnsi="Georgia"/>
          <w:bCs/>
          <w:color w:val="0D0D0D"/>
          <w:sz w:val="20"/>
          <w:szCs w:val="20"/>
          <w:lang w:val="en-US"/>
        </w:rPr>
        <w:t xml:space="preserve"> sample, there were 147 CEOs from 11 countries across Central and Eastern Europe.</w:t>
      </w:r>
    </w:p>
    <w:p w:rsidR="00AC1703" w:rsidRPr="005A18EC" w:rsidRDefault="00AC1703" w:rsidP="00AC1703">
      <w:pPr>
        <w:rPr>
          <w:rFonts w:asciiTheme="majorHAnsi" w:hAnsiTheme="majorHAnsi"/>
          <w:bCs/>
          <w:szCs w:val="20"/>
        </w:rPr>
      </w:pPr>
    </w:p>
    <w:p w:rsidR="005A18EC" w:rsidRPr="005A18EC" w:rsidRDefault="005A18EC" w:rsidP="004A171E">
      <w:pPr>
        <w:pStyle w:val="Title"/>
        <w:rPr>
          <w:rFonts w:asciiTheme="majorHAnsi" w:hAnsiTheme="majorHAnsi"/>
          <w:sz w:val="20"/>
          <w:szCs w:val="20"/>
        </w:rPr>
      </w:pPr>
    </w:p>
    <w:p w:rsidR="00E43687" w:rsidRPr="00AC1703" w:rsidRDefault="00AE3E91" w:rsidP="004A171E">
      <w:pPr>
        <w:spacing w:line="240" w:lineRule="auto"/>
        <w:rPr>
          <w:rFonts w:eastAsiaTheme="minorHAnsi" w:cstheme="minorBidi"/>
          <w:b/>
          <w:i/>
          <w:color w:val="E0301E"/>
          <w:szCs w:val="20"/>
        </w:rPr>
      </w:pPr>
      <w:r w:rsidRPr="00AC1703">
        <w:rPr>
          <w:rFonts w:eastAsiaTheme="minorHAnsi" w:cstheme="minorBidi"/>
          <w:b/>
          <w:i/>
          <w:szCs w:val="20"/>
        </w:rPr>
        <w:t>About PwC</w:t>
      </w:r>
    </w:p>
    <w:p w:rsidR="00E43687" w:rsidRPr="005A18EC" w:rsidRDefault="00E43687" w:rsidP="00022560">
      <w:pPr>
        <w:pStyle w:val="Default"/>
        <w:rPr>
          <w:rFonts w:asciiTheme="majorHAnsi" w:hAnsiTheme="majorHAnsi"/>
          <w:sz w:val="20"/>
          <w:szCs w:val="20"/>
        </w:rPr>
      </w:pPr>
    </w:p>
    <w:p w:rsidR="00E43687" w:rsidRPr="005A18EC" w:rsidRDefault="002B0866" w:rsidP="00022560">
      <w:pPr>
        <w:pStyle w:val="Default"/>
        <w:rPr>
          <w:rFonts w:asciiTheme="majorHAnsi" w:hAnsiTheme="majorHAnsi"/>
          <w:sz w:val="20"/>
          <w:szCs w:val="20"/>
        </w:rPr>
      </w:pPr>
      <w:r w:rsidRPr="00D16DA1">
        <w:rPr>
          <w:rFonts w:asciiTheme="majorHAnsi" w:hAnsiTheme="majorHAnsi"/>
          <w:sz w:val="20"/>
          <w:szCs w:val="20"/>
        </w:rPr>
        <w:t>At PwC, our purpose is to build trust in society and solve important problems. We’re a network of firms in 157 countries with more than 223,000 people who are committed to delivering quality in assurance, advisory and tax services. Find out more and tell us what matters to you by visiting us at www.pwc.com.</w:t>
      </w:r>
    </w:p>
    <w:p w:rsidR="007C4A44" w:rsidRDefault="007C4A44" w:rsidP="00022560">
      <w:pPr>
        <w:pStyle w:val="Default"/>
        <w:rPr>
          <w:rFonts w:asciiTheme="majorHAnsi" w:hAnsiTheme="majorHAnsi"/>
          <w:sz w:val="20"/>
          <w:szCs w:val="20"/>
        </w:rPr>
      </w:pPr>
    </w:p>
    <w:p w:rsidR="00E43687" w:rsidRPr="005A18EC" w:rsidRDefault="00E43687" w:rsidP="00022560">
      <w:pPr>
        <w:pStyle w:val="Default"/>
        <w:rPr>
          <w:rFonts w:asciiTheme="majorHAnsi" w:hAnsiTheme="majorHAnsi"/>
          <w:sz w:val="20"/>
          <w:szCs w:val="20"/>
        </w:rPr>
      </w:pPr>
      <w:r w:rsidRPr="005A18EC">
        <w:rPr>
          <w:rFonts w:asciiTheme="majorHAnsi" w:hAnsiTheme="majorHAnsi"/>
          <w:sz w:val="20"/>
          <w:szCs w:val="20"/>
        </w:rPr>
        <w:t>PwC has been active in Central and Eastern Europe for the past 25 years. PwC Central and Eastern Europe (PwC CEE) is a network of firms, consisting of separate legal entities in accordance with applicable local laws and regulations. We work to help our clients in local markets become more successful and globally competitive. Today we have more than 8,800 people, including 260 partners, working in 55 offices across 29 countries in the region.</w:t>
      </w:r>
    </w:p>
    <w:p w:rsidR="006A1340" w:rsidRPr="005A18EC" w:rsidRDefault="006A1340" w:rsidP="00022560">
      <w:pPr>
        <w:spacing w:line="240" w:lineRule="auto"/>
        <w:rPr>
          <w:rFonts w:asciiTheme="majorHAnsi" w:hAnsiTheme="majorHAnsi" w:cs="Georgia"/>
          <w:iCs/>
          <w:szCs w:val="20"/>
          <w:lang w:eastAsia="pl-PL"/>
        </w:rPr>
      </w:pPr>
    </w:p>
    <w:p w:rsidR="00E43687" w:rsidRPr="005A18EC" w:rsidRDefault="00751F10" w:rsidP="00022560">
      <w:pPr>
        <w:pStyle w:val="Default"/>
        <w:rPr>
          <w:rFonts w:asciiTheme="majorHAnsi" w:hAnsiTheme="majorHAnsi"/>
          <w:sz w:val="20"/>
          <w:szCs w:val="20"/>
        </w:rPr>
      </w:pPr>
      <w:r w:rsidRPr="005A18EC">
        <w:rPr>
          <w:rFonts w:asciiTheme="majorHAnsi" w:hAnsiTheme="majorHAnsi"/>
          <w:sz w:val="20"/>
          <w:szCs w:val="20"/>
          <w:lang w:val="en-GB"/>
        </w:rPr>
        <w:t>“</w:t>
      </w:r>
      <w:r w:rsidR="00E43687" w:rsidRPr="005A18EC">
        <w:rPr>
          <w:rFonts w:asciiTheme="majorHAnsi" w:hAnsiTheme="majorHAnsi"/>
          <w:sz w:val="20"/>
          <w:szCs w:val="20"/>
        </w:rPr>
        <w:t>PwC” refers to the network of member firms of PricewaterhouseCoopers International Limited, each of which is a separate and independent legal entity. Please see www.pwc.com/structure for further details.</w:t>
      </w:r>
    </w:p>
    <w:p w:rsidR="00E43687" w:rsidRPr="005A18EC" w:rsidRDefault="00E43687" w:rsidP="00022560">
      <w:pPr>
        <w:pStyle w:val="Default"/>
        <w:rPr>
          <w:rFonts w:asciiTheme="majorHAnsi" w:hAnsiTheme="majorHAnsi"/>
          <w:sz w:val="20"/>
          <w:szCs w:val="20"/>
        </w:rPr>
      </w:pPr>
    </w:p>
    <w:p w:rsidR="00E43687" w:rsidRPr="005A18EC" w:rsidRDefault="00E43687" w:rsidP="00022560">
      <w:pPr>
        <w:pStyle w:val="Default"/>
        <w:rPr>
          <w:rFonts w:asciiTheme="majorHAnsi" w:hAnsiTheme="majorHAnsi"/>
          <w:sz w:val="20"/>
          <w:szCs w:val="20"/>
        </w:rPr>
      </w:pPr>
      <w:r w:rsidRPr="005A18EC">
        <w:rPr>
          <w:rFonts w:asciiTheme="majorHAnsi" w:hAnsiTheme="majorHAnsi"/>
          <w:sz w:val="20"/>
          <w:szCs w:val="20"/>
        </w:rPr>
        <w:t>©201</w:t>
      </w:r>
      <w:r w:rsidR="002B0866">
        <w:rPr>
          <w:rFonts w:asciiTheme="majorHAnsi" w:hAnsiTheme="majorHAnsi"/>
          <w:sz w:val="20"/>
          <w:szCs w:val="20"/>
        </w:rPr>
        <w:t>7</w:t>
      </w:r>
      <w:r w:rsidRPr="005A18EC">
        <w:rPr>
          <w:rFonts w:asciiTheme="majorHAnsi" w:hAnsiTheme="majorHAnsi"/>
          <w:sz w:val="20"/>
          <w:szCs w:val="20"/>
        </w:rPr>
        <w:t xml:space="preserve"> PricewaterhouseCoopers. All rights reserved</w:t>
      </w:r>
    </w:p>
    <w:sectPr w:rsidR="00E43687" w:rsidRPr="005A18EC" w:rsidSect="00427DBA">
      <w:footerReference w:type="default" r:id="rId11"/>
      <w:headerReference w:type="first" r:id="rId12"/>
      <w:pgSz w:w="12240" w:h="15840"/>
      <w:pgMar w:top="198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4CD" w:rsidRDefault="005574CD" w:rsidP="00210E85">
      <w:pPr>
        <w:spacing w:line="240" w:lineRule="auto"/>
      </w:pPr>
      <w:r>
        <w:separator/>
      </w:r>
    </w:p>
  </w:endnote>
  <w:endnote w:type="continuationSeparator" w:id="0">
    <w:p w:rsidR="005574CD" w:rsidRDefault="005574CD" w:rsidP="00210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260093"/>
      <w:docPartObj>
        <w:docPartGallery w:val="Page Numbers (Bottom of Page)"/>
        <w:docPartUnique/>
      </w:docPartObj>
    </w:sdtPr>
    <w:sdtEndPr/>
    <w:sdtContent>
      <w:p w:rsidR="00B839E6" w:rsidRDefault="00B839E6">
        <w:pPr>
          <w:pStyle w:val="Footer"/>
          <w:jc w:val="right"/>
        </w:pPr>
        <w:r>
          <w:fldChar w:fldCharType="begin"/>
        </w:r>
        <w:r>
          <w:instrText>PAGE   \* MERGEFORMAT</w:instrText>
        </w:r>
        <w:r>
          <w:fldChar w:fldCharType="separate"/>
        </w:r>
        <w:r w:rsidR="002B3058" w:rsidRPr="002B3058">
          <w:rPr>
            <w:noProof/>
            <w:lang w:val="pl-PL"/>
          </w:rPr>
          <w:t>2</w:t>
        </w:r>
        <w:r>
          <w:fldChar w:fldCharType="end"/>
        </w:r>
      </w:p>
    </w:sdtContent>
  </w:sdt>
  <w:p w:rsidR="00B839E6" w:rsidRDefault="00B83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4CD" w:rsidRDefault="005574CD" w:rsidP="00210E85">
      <w:pPr>
        <w:spacing w:line="240" w:lineRule="auto"/>
      </w:pPr>
      <w:r>
        <w:separator/>
      </w:r>
    </w:p>
  </w:footnote>
  <w:footnote w:type="continuationSeparator" w:id="0">
    <w:p w:rsidR="005574CD" w:rsidRDefault="005574CD" w:rsidP="00210E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9E6" w:rsidRDefault="00B839E6">
    <w:pPr>
      <w:pStyle w:val="Header"/>
    </w:pPr>
    <w:r>
      <w:rPr>
        <w:noProof/>
        <w:lang w:val="en-US"/>
      </w:rPr>
      <w:drawing>
        <wp:anchor distT="0" distB="0" distL="114300" distR="114300" simplePos="0" relativeHeight="251662336" behindDoc="0" locked="1" layoutInCell="1" allowOverlap="1" wp14:anchorId="026DF76C" wp14:editId="4FB99578">
          <wp:simplePos x="0" y="0"/>
          <wp:positionH relativeFrom="page">
            <wp:posOffset>895350</wp:posOffset>
          </wp:positionH>
          <wp:positionV relativeFrom="page">
            <wp:posOffset>304800</wp:posOffset>
          </wp:positionV>
          <wp:extent cx="1035050"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F26"/>
    <w:multiLevelType w:val="hybridMultilevel"/>
    <w:tmpl w:val="1734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F4629"/>
    <w:multiLevelType w:val="multilevel"/>
    <w:tmpl w:val="9A2C2362"/>
    <w:lvl w:ilvl="0">
      <w:start w:val="5"/>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E02159C"/>
    <w:multiLevelType w:val="hybridMultilevel"/>
    <w:tmpl w:val="7338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E48EC"/>
    <w:multiLevelType w:val="hybridMultilevel"/>
    <w:tmpl w:val="2278E0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9136F5B"/>
    <w:multiLevelType w:val="hybridMultilevel"/>
    <w:tmpl w:val="85381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672472A"/>
    <w:multiLevelType w:val="hybridMultilevel"/>
    <w:tmpl w:val="631A6064"/>
    <w:lvl w:ilvl="0" w:tplc="E6029D4E">
      <w:numFmt w:val="bullet"/>
      <w:lvlText w:val="-"/>
      <w:lvlJc w:val="left"/>
      <w:pPr>
        <w:ind w:left="720" w:hanging="360"/>
      </w:pPr>
      <w:rPr>
        <w:rFonts w:ascii="Georgia" w:eastAsia="Times New Roman" w:hAnsi="Georgia"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8ED699C"/>
    <w:multiLevelType w:val="hybridMultilevel"/>
    <w:tmpl w:val="34864E20"/>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762251F"/>
    <w:multiLevelType w:val="hybridMultilevel"/>
    <w:tmpl w:val="3F24BDFE"/>
    <w:lvl w:ilvl="0" w:tplc="58FC2F96">
      <w:start w:val="1"/>
      <w:numFmt w:val="decimal"/>
      <w:lvlText w:val="%1."/>
      <w:lvlJc w:val="left"/>
      <w:pPr>
        <w:ind w:left="1080" w:hanging="720"/>
      </w:pPr>
      <w:rPr>
        <w:rFonts w:asciiTheme="majorHAnsi" w:eastAsia="Calibri"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076279"/>
    <w:multiLevelType w:val="hybridMultilevel"/>
    <w:tmpl w:val="712E74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7B3747C3"/>
    <w:multiLevelType w:val="hybridMultilevel"/>
    <w:tmpl w:val="95A09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3"/>
  </w:num>
  <w:num w:numId="5">
    <w:abstractNumId w:val="2"/>
  </w:num>
  <w:num w:numId="6">
    <w:abstractNumId w:val="5"/>
  </w:num>
  <w:num w:numId="7">
    <w:abstractNumId w:val="4"/>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84"/>
    <w:rsid w:val="00003430"/>
    <w:rsid w:val="0000582E"/>
    <w:rsid w:val="00013640"/>
    <w:rsid w:val="00021E8B"/>
    <w:rsid w:val="00022560"/>
    <w:rsid w:val="00022872"/>
    <w:rsid w:val="00023D2F"/>
    <w:rsid w:val="00030AEA"/>
    <w:rsid w:val="000357B5"/>
    <w:rsid w:val="000358F7"/>
    <w:rsid w:val="00036753"/>
    <w:rsid w:val="0003721B"/>
    <w:rsid w:val="00040CB0"/>
    <w:rsid w:val="00043257"/>
    <w:rsid w:val="0005681E"/>
    <w:rsid w:val="00070F9A"/>
    <w:rsid w:val="00083602"/>
    <w:rsid w:val="00094B6E"/>
    <w:rsid w:val="0009770A"/>
    <w:rsid w:val="000A00AC"/>
    <w:rsid w:val="000B42C4"/>
    <w:rsid w:val="000B546C"/>
    <w:rsid w:val="000B5B4B"/>
    <w:rsid w:val="000C2433"/>
    <w:rsid w:val="000C4999"/>
    <w:rsid w:val="000C55DA"/>
    <w:rsid w:val="000D1640"/>
    <w:rsid w:val="000D4A57"/>
    <w:rsid w:val="000D694A"/>
    <w:rsid w:val="000D71A1"/>
    <w:rsid w:val="000E1798"/>
    <w:rsid w:val="000E2CF1"/>
    <w:rsid w:val="000E6B32"/>
    <w:rsid w:val="000F51C4"/>
    <w:rsid w:val="00104217"/>
    <w:rsid w:val="00104965"/>
    <w:rsid w:val="001063BE"/>
    <w:rsid w:val="001138E6"/>
    <w:rsid w:val="001303F7"/>
    <w:rsid w:val="001332C5"/>
    <w:rsid w:val="00133320"/>
    <w:rsid w:val="00136643"/>
    <w:rsid w:val="00137954"/>
    <w:rsid w:val="00141B6B"/>
    <w:rsid w:val="001421B3"/>
    <w:rsid w:val="00145608"/>
    <w:rsid w:val="00147EF4"/>
    <w:rsid w:val="00155301"/>
    <w:rsid w:val="0015532D"/>
    <w:rsid w:val="00155D93"/>
    <w:rsid w:val="001569E2"/>
    <w:rsid w:val="0016105A"/>
    <w:rsid w:val="00165E6B"/>
    <w:rsid w:val="00170197"/>
    <w:rsid w:val="001727E3"/>
    <w:rsid w:val="00180684"/>
    <w:rsid w:val="00183840"/>
    <w:rsid w:val="00190302"/>
    <w:rsid w:val="00192E52"/>
    <w:rsid w:val="00194FAD"/>
    <w:rsid w:val="001A0700"/>
    <w:rsid w:val="001A7226"/>
    <w:rsid w:val="001D1D6C"/>
    <w:rsid w:val="001D47E9"/>
    <w:rsid w:val="001D7F72"/>
    <w:rsid w:val="001E1178"/>
    <w:rsid w:val="001E1773"/>
    <w:rsid w:val="001E2B29"/>
    <w:rsid w:val="001E691C"/>
    <w:rsid w:val="001E6D68"/>
    <w:rsid w:val="001E7787"/>
    <w:rsid w:val="001F0C67"/>
    <w:rsid w:val="001F32EB"/>
    <w:rsid w:val="001F5247"/>
    <w:rsid w:val="00204390"/>
    <w:rsid w:val="0020500F"/>
    <w:rsid w:val="00206BB0"/>
    <w:rsid w:val="00207D28"/>
    <w:rsid w:val="00210E85"/>
    <w:rsid w:val="00212728"/>
    <w:rsid w:val="00214938"/>
    <w:rsid w:val="002262E0"/>
    <w:rsid w:val="00233B45"/>
    <w:rsid w:val="002404DF"/>
    <w:rsid w:val="00242EFD"/>
    <w:rsid w:val="00251967"/>
    <w:rsid w:val="00255B63"/>
    <w:rsid w:val="00261607"/>
    <w:rsid w:val="0026322A"/>
    <w:rsid w:val="00265218"/>
    <w:rsid w:val="002659EE"/>
    <w:rsid w:val="00266CD2"/>
    <w:rsid w:val="00266D8A"/>
    <w:rsid w:val="00267474"/>
    <w:rsid w:val="00270BB8"/>
    <w:rsid w:val="002716E1"/>
    <w:rsid w:val="0027418D"/>
    <w:rsid w:val="00275C89"/>
    <w:rsid w:val="0028084E"/>
    <w:rsid w:val="0028312C"/>
    <w:rsid w:val="00294008"/>
    <w:rsid w:val="0029560F"/>
    <w:rsid w:val="002A10D0"/>
    <w:rsid w:val="002A16A3"/>
    <w:rsid w:val="002A3CEE"/>
    <w:rsid w:val="002B0866"/>
    <w:rsid w:val="002B3058"/>
    <w:rsid w:val="002B6AA5"/>
    <w:rsid w:val="002B7B20"/>
    <w:rsid w:val="002B7F2F"/>
    <w:rsid w:val="002C2FFC"/>
    <w:rsid w:val="002E67C7"/>
    <w:rsid w:val="002E7707"/>
    <w:rsid w:val="002F0C95"/>
    <w:rsid w:val="002F7422"/>
    <w:rsid w:val="00302BFE"/>
    <w:rsid w:val="00314B8E"/>
    <w:rsid w:val="003249C1"/>
    <w:rsid w:val="003253C1"/>
    <w:rsid w:val="00327543"/>
    <w:rsid w:val="003322FC"/>
    <w:rsid w:val="0033580A"/>
    <w:rsid w:val="00336D6C"/>
    <w:rsid w:val="00341F35"/>
    <w:rsid w:val="00343E1E"/>
    <w:rsid w:val="00345A71"/>
    <w:rsid w:val="003523E5"/>
    <w:rsid w:val="00357501"/>
    <w:rsid w:val="00361C1B"/>
    <w:rsid w:val="00362A76"/>
    <w:rsid w:val="00365EC2"/>
    <w:rsid w:val="00365F45"/>
    <w:rsid w:val="00366302"/>
    <w:rsid w:val="00366841"/>
    <w:rsid w:val="00366C65"/>
    <w:rsid w:val="003707E1"/>
    <w:rsid w:val="00370E5F"/>
    <w:rsid w:val="003758BA"/>
    <w:rsid w:val="003767CD"/>
    <w:rsid w:val="003B409D"/>
    <w:rsid w:val="003B475E"/>
    <w:rsid w:val="003C195F"/>
    <w:rsid w:val="003C6705"/>
    <w:rsid w:val="003C7B37"/>
    <w:rsid w:val="003D12BA"/>
    <w:rsid w:val="003D53F9"/>
    <w:rsid w:val="003D63A7"/>
    <w:rsid w:val="003F3160"/>
    <w:rsid w:val="00400506"/>
    <w:rsid w:val="00403D99"/>
    <w:rsid w:val="00424D80"/>
    <w:rsid w:val="00427A10"/>
    <w:rsid w:val="00427DBA"/>
    <w:rsid w:val="00432748"/>
    <w:rsid w:val="00432B44"/>
    <w:rsid w:val="00434721"/>
    <w:rsid w:val="004359A4"/>
    <w:rsid w:val="00443758"/>
    <w:rsid w:val="00452407"/>
    <w:rsid w:val="00454F7B"/>
    <w:rsid w:val="004606DC"/>
    <w:rsid w:val="004615B8"/>
    <w:rsid w:val="00461D8C"/>
    <w:rsid w:val="00461E90"/>
    <w:rsid w:val="004657D1"/>
    <w:rsid w:val="00466336"/>
    <w:rsid w:val="004672D1"/>
    <w:rsid w:val="00470AF8"/>
    <w:rsid w:val="0047312A"/>
    <w:rsid w:val="00482A76"/>
    <w:rsid w:val="00483F7D"/>
    <w:rsid w:val="004905C5"/>
    <w:rsid w:val="004910A7"/>
    <w:rsid w:val="004A171E"/>
    <w:rsid w:val="004A452A"/>
    <w:rsid w:val="004B1720"/>
    <w:rsid w:val="004C263A"/>
    <w:rsid w:val="004C7056"/>
    <w:rsid w:val="004D0FB6"/>
    <w:rsid w:val="004D5225"/>
    <w:rsid w:val="004D544A"/>
    <w:rsid w:val="004E221D"/>
    <w:rsid w:val="004E32A0"/>
    <w:rsid w:val="004E42FD"/>
    <w:rsid w:val="004E7354"/>
    <w:rsid w:val="004F16B1"/>
    <w:rsid w:val="004F26F1"/>
    <w:rsid w:val="004F4E63"/>
    <w:rsid w:val="004F694F"/>
    <w:rsid w:val="005031BD"/>
    <w:rsid w:val="00510CB8"/>
    <w:rsid w:val="005113BA"/>
    <w:rsid w:val="00511592"/>
    <w:rsid w:val="00520D38"/>
    <w:rsid w:val="00523AC6"/>
    <w:rsid w:val="0053398A"/>
    <w:rsid w:val="00534470"/>
    <w:rsid w:val="005346F7"/>
    <w:rsid w:val="00542755"/>
    <w:rsid w:val="00542CF0"/>
    <w:rsid w:val="00543C9A"/>
    <w:rsid w:val="0055111C"/>
    <w:rsid w:val="00552D5F"/>
    <w:rsid w:val="005548BD"/>
    <w:rsid w:val="005574CD"/>
    <w:rsid w:val="00557605"/>
    <w:rsid w:val="005811E6"/>
    <w:rsid w:val="005836F3"/>
    <w:rsid w:val="005A18EC"/>
    <w:rsid w:val="005A2ACE"/>
    <w:rsid w:val="005A3BDE"/>
    <w:rsid w:val="005A79CD"/>
    <w:rsid w:val="005B3091"/>
    <w:rsid w:val="005C1757"/>
    <w:rsid w:val="005C2F5C"/>
    <w:rsid w:val="005D1F0D"/>
    <w:rsid w:val="005D2434"/>
    <w:rsid w:val="005D3816"/>
    <w:rsid w:val="005F13B8"/>
    <w:rsid w:val="005F26A5"/>
    <w:rsid w:val="005F6838"/>
    <w:rsid w:val="005F78D9"/>
    <w:rsid w:val="00602927"/>
    <w:rsid w:val="00603674"/>
    <w:rsid w:val="006078A2"/>
    <w:rsid w:val="00614FC6"/>
    <w:rsid w:val="00615664"/>
    <w:rsid w:val="00620C12"/>
    <w:rsid w:val="00625631"/>
    <w:rsid w:val="00625A71"/>
    <w:rsid w:val="00627481"/>
    <w:rsid w:val="00653EB6"/>
    <w:rsid w:val="00654F57"/>
    <w:rsid w:val="00657FA7"/>
    <w:rsid w:val="00661333"/>
    <w:rsid w:val="00666F71"/>
    <w:rsid w:val="006727A8"/>
    <w:rsid w:val="00672C96"/>
    <w:rsid w:val="00674095"/>
    <w:rsid w:val="00683255"/>
    <w:rsid w:val="0068513B"/>
    <w:rsid w:val="006851CB"/>
    <w:rsid w:val="00685E5A"/>
    <w:rsid w:val="0069582F"/>
    <w:rsid w:val="00696A40"/>
    <w:rsid w:val="00696A98"/>
    <w:rsid w:val="006A1340"/>
    <w:rsid w:val="006A1A39"/>
    <w:rsid w:val="006B1B85"/>
    <w:rsid w:val="006B1F4B"/>
    <w:rsid w:val="006B31DC"/>
    <w:rsid w:val="006C1A0D"/>
    <w:rsid w:val="006D1C3F"/>
    <w:rsid w:val="006D3206"/>
    <w:rsid w:val="006D33F9"/>
    <w:rsid w:val="006F310E"/>
    <w:rsid w:val="006F42A2"/>
    <w:rsid w:val="00703DE3"/>
    <w:rsid w:val="00706DBE"/>
    <w:rsid w:val="00706EEA"/>
    <w:rsid w:val="00715D5C"/>
    <w:rsid w:val="00716F36"/>
    <w:rsid w:val="0072110C"/>
    <w:rsid w:val="007442FE"/>
    <w:rsid w:val="00745D5E"/>
    <w:rsid w:val="00747D47"/>
    <w:rsid w:val="007503B7"/>
    <w:rsid w:val="007515A6"/>
    <w:rsid w:val="00751D25"/>
    <w:rsid w:val="00751F10"/>
    <w:rsid w:val="00753744"/>
    <w:rsid w:val="007560AF"/>
    <w:rsid w:val="00757056"/>
    <w:rsid w:val="00761A37"/>
    <w:rsid w:val="00765783"/>
    <w:rsid w:val="007736D4"/>
    <w:rsid w:val="00782627"/>
    <w:rsid w:val="007939BA"/>
    <w:rsid w:val="00797486"/>
    <w:rsid w:val="007A2E9A"/>
    <w:rsid w:val="007A3B08"/>
    <w:rsid w:val="007B2359"/>
    <w:rsid w:val="007B78C5"/>
    <w:rsid w:val="007C0695"/>
    <w:rsid w:val="007C4A44"/>
    <w:rsid w:val="007C5A7E"/>
    <w:rsid w:val="007D2267"/>
    <w:rsid w:val="007D3AB8"/>
    <w:rsid w:val="007D56CD"/>
    <w:rsid w:val="007D6A97"/>
    <w:rsid w:val="007E08BF"/>
    <w:rsid w:val="007E2CFF"/>
    <w:rsid w:val="007E55F2"/>
    <w:rsid w:val="007F2AFE"/>
    <w:rsid w:val="007F72C9"/>
    <w:rsid w:val="007F7593"/>
    <w:rsid w:val="007F75C3"/>
    <w:rsid w:val="007F7E5D"/>
    <w:rsid w:val="0080482C"/>
    <w:rsid w:val="0080771F"/>
    <w:rsid w:val="0081128B"/>
    <w:rsid w:val="00815E45"/>
    <w:rsid w:val="0083015C"/>
    <w:rsid w:val="0083157A"/>
    <w:rsid w:val="00831C00"/>
    <w:rsid w:val="00847F84"/>
    <w:rsid w:val="008631F4"/>
    <w:rsid w:val="00867082"/>
    <w:rsid w:val="008674C9"/>
    <w:rsid w:val="00871430"/>
    <w:rsid w:val="0087662F"/>
    <w:rsid w:val="00886BB3"/>
    <w:rsid w:val="00893281"/>
    <w:rsid w:val="00897FA2"/>
    <w:rsid w:val="008A393F"/>
    <w:rsid w:val="008A40EB"/>
    <w:rsid w:val="008A5CCB"/>
    <w:rsid w:val="008A6B8E"/>
    <w:rsid w:val="008A6F2B"/>
    <w:rsid w:val="008B72EA"/>
    <w:rsid w:val="008C1A49"/>
    <w:rsid w:val="008C7871"/>
    <w:rsid w:val="008C7A5A"/>
    <w:rsid w:val="008D0B67"/>
    <w:rsid w:val="008D2FA2"/>
    <w:rsid w:val="008D45A3"/>
    <w:rsid w:val="008E1116"/>
    <w:rsid w:val="008F09C9"/>
    <w:rsid w:val="008F1108"/>
    <w:rsid w:val="008F3358"/>
    <w:rsid w:val="009002A1"/>
    <w:rsid w:val="00904A79"/>
    <w:rsid w:val="00905C2E"/>
    <w:rsid w:val="00906121"/>
    <w:rsid w:val="00906E9D"/>
    <w:rsid w:val="00916AC8"/>
    <w:rsid w:val="0092789C"/>
    <w:rsid w:val="00950AFB"/>
    <w:rsid w:val="00952055"/>
    <w:rsid w:val="009555C6"/>
    <w:rsid w:val="009633A2"/>
    <w:rsid w:val="0096661A"/>
    <w:rsid w:val="009721DC"/>
    <w:rsid w:val="009748FB"/>
    <w:rsid w:val="00981B8D"/>
    <w:rsid w:val="009946E1"/>
    <w:rsid w:val="0099474E"/>
    <w:rsid w:val="00997D95"/>
    <w:rsid w:val="009B43F8"/>
    <w:rsid w:val="009C16B5"/>
    <w:rsid w:val="009C337B"/>
    <w:rsid w:val="009C4583"/>
    <w:rsid w:val="009C5E2E"/>
    <w:rsid w:val="009C7D95"/>
    <w:rsid w:val="009D006C"/>
    <w:rsid w:val="009D095B"/>
    <w:rsid w:val="009D4E59"/>
    <w:rsid w:val="009E40E1"/>
    <w:rsid w:val="009E5350"/>
    <w:rsid w:val="009E6400"/>
    <w:rsid w:val="009E6D4D"/>
    <w:rsid w:val="00A01EB8"/>
    <w:rsid w:val="00A050EE"/>
    <w:rsid w:val="00A07793"/>
    <w:rsid w:val="00A130C9"/>
    <w:rsid w:val="00A173CB"/>
    <w:rsid w:val="00A20251"/>
    <w:rsid w:val="00A22BC5"/>
    <w:rsid w:val="00A254E2"/>
    <w:rsid w:val="00A271F4"/>
    <w:rsid w:val="00A3145D"/>
    <w:rsid w:val="00A32E67"/>
    <w:rsid w:val="00A40B69"/>
    <w:rsid w:val="00A426B9"/>
    <w:rsid w:val="00A52089"/>
    <w:rsid w:val="00A521A2"/>
    <w:rsid w:val="00A572DD"/>
    <w:rsid w:val="00A70109"/>
    <w:rsid w:val="00A8464D"/>
    <w:rsid w:val="00AA4626"/>
    <w:rsid w:val="00AB2EA1"/>
    <w:rsid w:val="00AB5FC1"/>
    <w:rsid w:val="00AC1703"/>
    <w:rsid w:val="00AC2946"/>
    <w:rsid w:val="00AC3837"/>
    <w:rsid w:val="00AC56A7"/>
    <w:rsid w:val="00AC6746"/>
    <w:rsid w:val="00AC7F10"/>
    <w:rsid w:val="00AE0306"/>
    <w:rsid w:val="00AE18FE"/>
    <w:rsid w:val="00AE2F8F"/>
    <w:rsid w:val="00AE30E4"/>
    <w:rsid w:val="00AE3E91"/>
    <w:rsid w:val="00AF0850"/>
    <w:rsid w:val="00AF238D"/>
    <w:rsid w:val="00B13CBC"/>
    <w:rsid w:val="00B15BD5"/>
    <w:rsid w:val="00B274A9"/>
    <w:rsid w:val="00B27FBF"/>
    <w:rsid w:val="00B3026E"/>
    <w:rsid w:val="00B31DA7"/>
    <w:rsid w:val="00B365C0"/>
    <w:rsid w:val="00B36AC2"/>
    <w:rsid w:val="00B37693"/>
    <w:rsid w:val="00B40D15"/>
    <w:rsid w:val="00B41225"/>
    <w:rsid w:val="00B44BEF"/>
    <w:rsid w:val="00B44C1E"/>
    <w:rsid w:val="00B4725C"/>
    <w:rsid w:val="00B54435"/>
    <w:rsid w:val="00B572EC"/>
    <w:rsid w:val="00B63E26"/>
    <w:rsid w:val="00B66339"/>
    <w:rsid w:val="00B727C7"/>
    <w:rsid w:val="00B7320B"/>
    <w:rsid w:val="00B839E6"/>
    <w:rsid w:val="00B83DEF"/>
    <w:rsid w:val="00B85F84"/>
    <w:rsid w:val="00B93F87"/>
    <w:rsid w:val="00B94197"/>
    <w:rsid w:val="00B95085"/>
    <w:rsid w:val="00BA403B"/>
    <w:rsid w:val="00BA435D"/>
    <w:rsid w:val="00BA6D62"/>
    <w:rsid w:val="00BA7BE6"/>
    <w:rsid w:val="00BA7F57"/>
    <w:rsid w:val="00BB6EE1"/>
    <w:rsid w:val="00BB7A21"/>
    <w:rsid w:val="00BC069C"/>
    <w:rsid w:val="00BC6570"/>
    <w:rsid w:val="00BD16EC"/>
    <w:rsid w:val="00BD5CA1"/>
    <w:rsid w:val="00BD6CF1"/>
    <w:rsid w:val="00BD7D51"/>
    <w:rsid w:val="00BE0645"/>
    <w:rsid w:val="00BE5C3A"/>
    <w:rsid w:val="00BE729A"/>
    <w:rsid w:val="00BF0D38"/>
    <w:rsid w:val="00BF4F46"/>
    <w:rsid w:val="00BF5B7F"/>
    <w:rsid w:val="00C0134A"/>
    <w:rsid w:val="00C02F2E"/>
    <w:rsid w:val="00C15F21"/>
    <w:rsid w:val="00C20B0A"/>
    <w:rsid w:val="00C253D4"/>
    <w:rsid w:val="00C26705"/>
    <w:rsid w:val="00C3037D"/>
    <w:rsid w:val="00C307F3"/>
    <w:rsid w:val="00C3118A"/>
    <w:rsid w:val="00C40413"/>
    <w:rsid w:val="00C4050D"/>
    <w:rsid w:val="00C416E2"/>
    <w:rsid w:val="00C437B5"/>
    <w:rsid w:val="00C6299E"/>
    <w:rsid w:val="00C677A1"/>
    <w:rsid w:val="00C74BD5"/>
    <w:rsid w:val="00C76B3C"/>
    <w:rsid w:val="00C77ECF"/>
    <w:rsid w:val="00C8355A"/>
    <w:rsid w:val="00C83718"/>
    <w:rsid w:val="00CB1645"/>
    <w:rsid w:val="00CB1982"/>
    <w:rsid w:val="00CB56A0"/>
    <w:rsid w:val="00CB7157"/>
    <w:rsid w:val="00CB7357"/>
    <w:rsid w:val="00CB7D54"/>
    <w:rsid w:val="00CD7D0F"/>
    <w:rsid w:val="00CE23BC"/>
    <w:rsid w:val="00CF2C46"/>
    <w:rsid w:val="00CF400D"/>
    <w:rsid w:val="00CF69D8"/>
    <w:rsid w:val="00D13972"/>
    <w:rsid w:val="00D14A5B"/>
    <w:rsid w:val="00D22BF7"/>
    <w:rsid w:val="00D23A76"/>
    <w:rsid w:val="00D27939"/>
    <w:rsid w:val="00D335E6"/>
    <w:rsid w:val="00D35103"/>
    <w:rsid w:val="00D43C26"/>
    <w:rsid w:val="00D449D1"/>
    <w:rsid w:val="00D45DB5"/>
    <w:rsid w:val="00D54C0D"/>
    <w:rsid w:val="00D60BF8"/>
    <w:rsid w:val="00D62114"/>
    <w:rsid w:val="00D65F3A"/>
    <w:rsid w:val="00D713DB"/>
    <w:rsid w:val="00D7473E"/>
    <w:rsid w:val="00D80D32"/>
    <w:rsid w:val="00D84A60"/>
    <w:rsid w:val="00D8621B"/>
    <w:rsid w:val="00D91EF3"/>
    <w:rsid w:val="00D93759"/>
    <w:rsid w:val="00D95F22"/>
    <w:rsid w:val="00DB0683"/>
    <w:rsid w:val="00DB29FC"/>
    <w:rsid w:val="00DB45FA"/>
    <w:rsid w:val="00DB5EA3"/>
    <w:rsid w:val="00DC03DB"/>
    <w:rsid w:val="00DC219A"/>
    <w:rsid w:val="00DC22A3"/>
    <w:rsid w:val="00DC654F"/>
    <w:rsid w:val="00DD3E41"/>
    <w:rsid w:val="00DE7404"/>
    <w:rsid w:val="00DF19E0"/>
    <w:rsid w:val="00DF1AC1"/>
    <w:rsid w:val="00DF7A67"/>
    <w:rsid w:val="00E02CC7"/>
    <w:rsid w:val="00E03F68"/>
    <w:rsid w:val="00E04F03"/>
    <w:rsid w:val="00E05E21"/>
    <w:rsid w:val="00E24183"/>
    <w:rsid w:val="00E32823"/>
    <w:rsid w:val="00E32C1F"/>
    <w:rsid w:val="00E35E1D"/>
    <w:rsid w:val="00E36BAF"/>
    <w:rsid w:val="00E414DB"/>
    <w:rsid w:val="00E43687"/>
    <w:rsid w:val="00E463B9"/>
    <w:rsid w:val="00E51DA3"/>
    <w:rsid w:val="00E53B34"/>
    <w:rsid w:val="00E5477D"/>
    <w:rsid w:val="00E557FB"/>
    <w:rsid w:val="00E57A47"/>
    <w:rsid w:val="00E7700C"/>
    <w:rsid w:val="00E80113"/>
    <w:rsid w:val="00E8036D"/>
    <w:rsid w:val="00E835F8"/>
    <w:rsid w:val="00E83B56"/>
    <w:rsid w:val="00E86AE1"/>
    <w:rsid w:val="00E8768A"/>
    <w:rsid w:val="00EA283C"/>
    <w:rsid w:val="00EA32C0"/>
    <w:rsid w:val="00EA716A"/>
    <w:rsid w:val="00EB024C"/>
    <w:rsid w:val="00EB0CC3"/>
    <w:rsid w:val="00EC0083"/>
    <w:rsid w:val="00EC0DF4"/>
    <w:rsid w:val="00EC7EDF"/>
    <w:rsid w:val="00ED0F5D"/>
    <w:rsid w:val="00ED1E63"/>
    <w:rsid w:val="00ED78FA"/>
    <w:rsid w:val="00EF1918"/>
    <w:rsid w:val="00F00D10"/>
    <w:rsid w:val="00F13304"/>
    <w:rsid w:val="00F21534"/>
    <w:rsid w:val="00F226B6"/>
    <w:rsid w:val="00F2275F"/>
    <w:rsid w:val="00F2401D"/>
    <w:rsid w:val="00F245D6"/>
    <w:rsid w:val="00F25AE3"/>
    <w:rsid w:val="00F26A3B"/>
    <w:rsid w:val="00F2775C"/>
    <w:rsid w:val="00F3480C"/>
    <w:rsid w:val="00F406F4"/>
    <w:rsid w:val="00F41117"/>
    <w:rsid w:val="00F42E0D"/>
    <w:rsid w:val="00F44F5D"/>
    <w:rsid w:val="00F56E4B"/>
    <w:rsid w:val="00F604D8"/>
    <w:rsid w:val="00F60B7B"/>
    <w:rsid w:val="00F702B6"/>
    <w:rsid w:val="00F7454F"/>
    <w:rsid w:val="00F817D1"/>
    <w:rsid w:val="00F8277D"/>
    <w:rsid w:val="00F82AC4"/>
    <w:rsid w:val="00F93C17"/>
    <w:rsid w:val="00F961F4"/>
    <w:rsid w:val="00F964D5"/>
    <w:rsid w:val="00FA2A6D"/>
    <w:rsid w:val="00FA3E0C"/>
    <w:rsid w:val="00FB40F2"/>
    <w:rsid w:val="00FB5F4C"/>
    <w:rsid w:val="00FD4232"/>
    <w:rsid w:val="00FD4B5C"/>
    <w:rsid w:val="00FD4F2D"/>
    <w:rsid w:val="00FD7792"/>
    <w:rsid w:val="00FE357B"/>
    <w:rsid w:val="00FE3EEB"/>
    <w:rsid w:val="00FE6A1B"/>
    <w:rsid w:val="00FE7F3B"/>
    <w:rsid w:val="00FF2A75"/>
    <w:rsid w:val="00FF3B8C"/>
    <w:rsid w:val="00FF51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874492-DC5E-4C71-8F46-3E1DF6B1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F84"/>
    <w:pPr>
      <w:spacing w:after="0" w:line="240" w:lineRule="atLeast"/>
    </w:pPr>
    <w:rPr>
      <w:rFonts w:eastAsia="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5F84"/>
    <w:rPr>
      <w:color w:val="0000FF"/>
      <w:u w:val="single"/>
    </w:rPr>
  </w:style>
  <w:style w:type="character" w:styleId="CommentReference">
    <w:name w:val="annotation reference"/>
    <w:uiPriority w:val="99"/>
    <w:rsid w:val="00B85F84"/>
    <w:rPr>
      <w:sz w:val="16"/>
    </w:rPr>
  </w:style>
  <w:style w:type="paragraph" w:styleId="CommentText">
    <w:name w:val="annotation text"/>
    <w:basedOn w:val="Normal"/>
    <w:link w:val="CommentTextChar"/>
    <w:uiPriority w:val="99"/>
    <w:rsid w:val="00B85F84"/>
    <w:pPr>
      <w:spacing w:line="240" w:lineRule="auto"/>
    </w:pPr>
    <w:rPr>
      <w:szCs w:val="20"/>
      <w:lang w:val="x-none" w:eastAsia="x-none"/>
    </w:rPr>
  </w:style>
  <w:style w:type="character" w:customStyle="1" w:styleId="CommentTextChar">
    <w:name w:val="Comment Text Char"/>
    <w:basedOn w:val="DefaultParagraphFont"/>
    <w:link w:val="CommentText"/>
    <w:uiPriority w:val="99"/>
    <w:rsid w:val="00B85F84"/>
    <w:rPr>
      <w:rFonts w:eastAsia="Times New Roman" w:cs="Times New Roman"/>
      <w:szCs w:val="20"/>
      <w:lang w:val="x-none" w:eastAsia="x-none"/>
    </w:rPr>
  </w:style>
  <w:style w:type="paragraph" w:styleId="ListParagraph">
    <w:name w:val="List Paragraph"/>
    <w:basedOn w:val="Normal"/>
    <w:uiPriority w:val="99"/>
    <w:qFormat/>
    <w:rsid w:val="00B85F84"/>
    <w:pPr>
      <w:spacing w:after="200" w:line="276" w:lineRule="auto"/>
      <w:ind w:left="720"/>
      <w:contextualSpacing/>
    </w:pPr>
    <w:rPr>
      <w:rFonts w:ascii="Calibri" w:eastAsia="Calibri" w:hAnsi="Calibri"/>
      <w:sz w:val="22"/>
      <w:lang w:val="pl-PL"/>
    </w:rPr>
  </w:style>
  <w:style w:type="paragraph" w:styleId="Title">
    <w:name w:val="Title"/>
    <w:basedOn w:val="Normal"/>
    <w:next w:val="Normal"/>
    <w:link w:val="TitleChar"/>
    <w:uiPriority w:val="10"/>
    <w:qFormat/>
    <w:rsid w:val="00B85F84"/>
    <w:pPr>
      <w:pBdr>
        <w:top w:val="single" w:sz="8" w:space="1" w:color="DC6900"/>
      </w:pBdr>
      <w:spacing w:after="240" w:line="240" w:lineRule="auto"/>
      <w:contextualSpacing/>
    </w:pPr>
    <w:rPr>
      <w:rFonts w:ascii="Cambria" w:hAnsi="Cambria"/>
      <w:b/>
      <w:i/>
      <w:color w:val="000000"/>
      <w:spacing w:val="5"/>
      <w:kern w:val="28"/>
      <w:sz w:val="24"/>
      <w:szCs w:val="52"/>
    </w:rPr>
  </w:style>
  <w:style w:type="character" w:customStyle="1" w:styleId="TitleChar">
    <w:name w:val="Title Char"/>
    <w:basedOn w:val="DefaultParagraphFont"/>
    <w:link w:val="Title"/>
    <w:uiPriority w:val="10"/>
    <w:rsid w:val="00B85F84"/>
    <w:rPr>
      <w:rFonts w:ascii="Cambria" w:eastAsia="Times New Roman" w:hAnsi="Cambria" w:cs="Times New Roman"/>
      <w:b/>
      <w:i/>
      <w:color w:val="000000"/>
      <w:spacing w:val="5"/>
      <w:kern w:val="28"/>
      <w:sz w:val="24"/>
      <w:szCs w:val="52"/>
      <w:lang w:val="en-GB"/>
    </w:rPr>
  </w:style>
  <w:style w:type="paragraph" w:styleId="BalloonText">
    <w:name w:val="Balloon Text"/>
    <w:basedOn w:val="Normal"/>
    <w:link w:val="BalloonTextChar"/>
    <w:uiPriority w:val="99"/>
    <w:semiHidden/>
    <w:unhideWhenUsed/>
    <w:rsid w:val="00B85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F84"/>
    <w:rPr>
      <w:rFonts w:ascii="Segoe UI" w:eastAsia="Times New Roman" w:hAnsi="Segoe UI" w:cs="Segoe UI"/>
      <w:sz w:val="18"/>
      <w:szCs w:val="18"/>
      <w:lang w:val="en-GB"/>
    </w:rPr>
  </w:style>
  <w:style w:type="paragraph" w:styleId="Header">
    <w:name w:val="header"/>
    <w:basedOn w:val="Normal"/>
    <w:link w:val="HeaderChar"/>
    <w:uiPriority w:val="99"/>
    <w:unhideWhenUsed/>
    <w:rsid w:val="00210E85"/>
    <w:pPr>
      <w:tabs>
        <w:tab w:val="center" w:pos="4536"/>
        <w:tab w:val="right" w:pos="9072"/>
      </w:tabs>
      <w:spacing w:line="240" w:lineRule="auto"/>
    </w:pPr>
  </w:style>
  <w:style w:type="character" w:customStyle="1" w:styleId="HeaderChar">
    <w:name w:val="Header Char"/>
    <w:basedOn w:val="DefaultParagraphFont"/>
    <w:link w:val="Header"/>
    <w:uiPriority w:val="99"/>
    <w:rsid w:val="00210E85"/>
    <w:rPr>
      <w:rFonts w:eastAsia="Times New Roman" w:cs="Times New Roman"/>
      <w:lang w:val="en-GB"/>
    </w:rPr>
  </w:style>
  <w:style w:type="paragraph" w:styleId="Footer">
    <w:name w:val="footer"/>
    <w:basedOn w:val="Normal"/>
    <w:link w:val="FooterChar"/>
    <w:uiPriority w:val="99"/>
    <w:unhideWhenUsed/>
    <w:rsid w:val="00210E85"/>
    <w:pPr>
      <w:tabs>
        <w:tab w:val="center" w:pos="4536"/>
        <w:tab w:val="right" w:pos="9072"/>
      </w:tabs>
      <w:spacing w:line="240" w:lineRule="auto"/>
    </w:pPr>
  </w:style>
  <w:style w:type="character" w:customStyle="1" w:styleId="FooterChar">
    <w:name w:val="Footer Char"/>
    <w:basedOn w:val="DefaultParagraphFont"/>
    <w:link w:val="Footer"/>
    <w:uiPriority w:val="99"/>
    <w:rsid w:val="00210E85"/>
    <w:rPr>
      <w:rFonts w:eastAsia="Times New Roman" w:cs="Times New Roman"/>
      <w:lang w:val="en-GB"/>
    </w:rPr>
  </w:style>
  <w:style w:type="paragraph" w:styleId="CommentSubject">
    <w:name w:val="annotation subject"/>
    <w:basedOn w:val="CommentText"/>
    <w:next w:val="CommentText"/>
    <w:link w:val="CommentSubjectChar"/>
    <w:uiPriority w:val="99"/>
    <w:semiHidden/>
    <w:unhideWhenUsed/>
    <w:rsid w:val="00C15F21"/>
    <w:rPr>
      <w:b/>
      <w:bCs/>
      <w:lang w:val="en-GB" w:eastAsia="en-US"/>
    </w:rPr>
  </w:style>
  <w:style w:type="character" w:customStyle="1" w:styleId="CommentSubjectChar">
    <w:name w:val="Comment Subject Char"/>
    <w:basedOn w:val="CommentTextChar"/>
    <w:link w:val="CommentSubject"/>
    <w:uiPriority w:val="99"/>
    <w:semiHidden/>
    <w:rsid w:val="00C15F21"/>
    <w:rPr>
      <w:rFonts w:eastAsia="Times New Roman" w:cs="Times New Roman"/>
      <w:b/>
      <w:bCs/>
      <w:szCs w:val="20"/>
      <w:lang w:val="en-GB" w:eastAsia="x-none"/>
    </w:rPr>
  </w:style>
  <w:style w:type="table" w:styleId="MediumGrid2-Accent5">
    <w:name w:val="Medium Grid 2 Accent 5"/>
    <w:basedOn w:val="TableNormal"/>
    <w:uiPriority w:val="68"/>
    <w:rsid w:val="00AA462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2020" w:themeColor="accent5"/>
        <w:left w:val="single" w:sz="8" w:space="0" w:color="A32020" w:themeColor="accent5"/>
        <w:bottom w:val="single" w:sz="8" w:space="0" w:color="A32020" w:themeColor="accent5"/>
        <w:right w:val="single" w:sz="8" w:space="0" w:color="A32020" w:themeColor="accent5"/>
        <w:insideH w:val="single" w:sz="8" w:space="0" w:color="A32020" w:themeColor="accent5"/>
        <w:insideV w:val="single" w:sz="8" w:space="0" w:color="A32020" w:themeColor="accent5"/>
      </w:tblBorders>
    </w:tblPr>
    <w:tcPr>
      <w:shd w:val="clear" w:color="auto" w:fill="D32D4A" w:themeFill="accent4" w:themeFillShade="BF"/>
    </w:tcPr>
    <w:tblStylePr w:type="firstRow">
      <w:rPr>
        <w:b/>
        <w:bCs/>
        <w:color w:val="000000" w:themeColor="text1"/>
      </w:rPr>
      <w:tblPr/>
      <w:tcPr>
        <w:shd w:val="clear" w:color="auto" w:fill="FAE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ACA" w:themeFill="accent5" w:themeFillTint="33"/>
      </w:tcPr>
    </w:tblStylePr>
    <w:tblStylePr w:type="band1Vert">
      <w:tblPr/>
      <w:tcPr>
        <w:shd w:val="clear" w:color="auto" w:fill="E57B7B" w:themeFill="accent5" w:themeFillTint="7F"/>
      </w:tcPr>
    </w:tblStylePr>
    <w:tblStylePr w:type="band1Horz">
      <w:tblPr/>
      <w:tcPr>
        <w:tcBorders>
          <w:insideH w:val="single" w:sz="6" w:space="0" w:color="A32020" w:themeColor="accent5"/>
          <w:insideV w:val="single" w:sz="6" w:space="0" w:color="A32020" w:themeColor="accent5"/>
        </w:tcBorders>
        <w:shd w:val="clear" w:color="auto" w:fill="E57B7B" w:themeFill="accent5" w:themeFillTint="7F"/>
      </w:tcPr>
    </w:tblStylePr>
    <w:tblStylePr w:type="nwCell">
      <w:tblPr/>
      <w:tcPr>
        <w:shd w:val="clear" w:color="auto" w:fill="FFFFFF" w:themeFill="background1"/>
      </w:tcPr>
    </w:tblStylePr>
  </w:style>
  <w:style w:type="paragraph" w:customStyle="1" w:styleId="ReleaseBodyText">
    <w:name w:val="Release Body Text"/>
    <w:rsid w:val="000B5B4B"/>
    <w:pPr>
      <w:spacing w:after="0" w:line="240" w:lineRule="auto"/>
    </w:pPr>
    <w:rPr>
      <w:rFonts w:ascii="Arial" w:eastAsia="Times New Roman" w:hAnsi="Arial" w:cs="Arial"/>
      <w:szCs w:val="20"/>
      <w:lang w:val="en-GB"/>
    </w:rPr>
  </w:style>
  <w:style w:type="table" w:styleId="TableGrid">
    <w:name w:val="Table Grid"/>
    <w:basedOn w:val="TableNormal"/>
    <w:uiPriority w:val="39"/>
    <w:rsid w:val="00744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4">
    <w:name w:val="Medium Grid 3 Accent 4"/>
    <w:basedOn w:val="TableNormal"/>
    <w:uiPriority w:val="69"/>
    <w:rsid w:val="006078A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758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758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758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758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BA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BAC3" w:themeFill="accent4" w:themeFillTint="7F"/>
      </w:tcPr>
    </w:tblStylePr>
  </w:style>
  <w:style w:type="table" w:styleId="LightList-Accent4">
    <w:name w:val="Light List Accent 4"/>
    <w:basedOn w:val="TableNormal"/>
    <w:uiPriority w:val="61"/>
    <w:rsid w:val="006078A2"/>
    <w:pPr>
      <w:spacing w:after="0" w:line="240" w:lineRule="auto"/>
    </w:pPr>
    <w:tblPr>
      <w:tblStyleRowBandSize w:val="1"/>
      <w:tblStyleColBandSize w:val="1"/>
      <w:tblBorders>
        <w:top w:val="single" w:sz="8" w:space="0" w:color="E27588" w:themeColor="accent4"/>
        <w:left w:val="single" w:sz="8" w:space="0" w:color="E27588" w:themeColor="accent4"/>
        <w:bottom w:val="single" w:sz="8" w:space="0" w:color="E27588" w:themeColor="accent4"/>
        <w:right w:val="single" w:sz="8" w:space="0" w:color="E27588" w:themeColor="accent4"/>
      </w:tblBorders>
    </w:tblPr>
    <w:tblStylePr w:type="firstRow">
      <w:pPr>
        <w:spacing w:before="0" w:after="0" w:line="240" w:lineRule="auto"/>
      </w:pPr>
      <w:rPr>
        <w:b/>
        <w:bCs/>
        <w:color w:val="FFFFFF" w:themeColor="background1"/>
      </w:rPr>
      <w:tblPr/>
      <w:tcPr>
        <w:shd w:val="clear" w:color="auto" w:fill="E27588" w:themeFill="accent4"/>
      </w:tcPr>
    </w:tblStylePr>
    <w:tblStylePr w:type="lastRow">
      <w:pPr>
        <w:spacing w:before="0" w:after="0" w:line="240" w:lineRule="auto"/>
      </w:pPr>
      <w:rPr>
        <w:b/>
        <w:bCs/>
      </w:rPr>
      <w:tblPr/>
      <w:tcPr>
        <w:tcBorders>
          <w:top w:val="double" w:sz="6" w:space="0" w:color="E27588" w:themeColor="accent4"/>
          <w:left w:val="single" w:sz="8" w:space="0" w:color="E27588" w:themeColor="accent4"/>
          <w:bottom w:val="single" w:sz="8" w:space="0" w:color="E27588" w:themeColor="accent4"/>
          <w:right w:val="single" w:sz="8" w:space="0" w:color="E27588" w:themeColor="accent4"/>
        </w:tcBorders>
      </w:tcPr>
    </w:tblStylePr>
    <w:tblStylePr w:type="firstCol">
      <w:rPr>
        <w:b/>
        <w:bCs/>
      </w:rPr>
    </w:tblStylePr>
    <w:tblStylePr w:type="lastCol">
      <w:rPr>
        <w:b/>
        <w:bCs/>
      </w:rPr>
    </w:tblStylePr>
    <w:tblStylePr w:type="band1Vert">
      <w:tblPr/>
      <w:tcPr>
        <w:tcBorders>
          <w:top w:val="single" w:sz="8" w:space="0" w:color="E27588" w:themeColor="accent4"/>
          <w:left w:val="single" w:sz="8" w:space="0" w:color="E27588" w:themeColor="accent4"/>
          <w:bottom w:val="single" w:sz="8" w:space="0" w:color="E27588" w:themeColor="accent4"/>
          <w:right w:val="single" w:sz="8" w:space="0" w:color="E27588" w:themeColor="accent4"/>
        </w:tcBorders>
      </w:tcPr>
    </w:tblStylePr>
    <w:tblStylePr w:type="band1Horz">
      <w:tblPr/>
      <w:tcPr>
        <w:tcBorders>
          <w:top w:val="single" w:sz="8" w:space="0" w:color="E27588" w:themeColor="accent4"/>
          <w:left w:val="single" w:sz="8" w:space="0" w:color="E27588" w:themeColor="accent4"/>
          <w:bottom w:val="single" w:sz="8" w:space="0" w:color="E27588" w:themeColor="accent4"/>
          <w:right w:val="single" w:sz="8" w:space="0" w:color="E27588" w:themeColor="accent4"/>
        </w:tcBorders>
      </w:tcPr>
    </w:tblStylePr>
  </w:style>
  <w:style w:type="paragraph" w:styleId="Revision">
    <w:name w:val="Revision"/>
    <w:hidden/>
    <w:uiPriority w:val="99"/>
    <w:semiHidden/>
    <w:rsid w:val="00147EF4"/>
    <w:pPr>
      <w:spacing w:after="0" w:line="240" w:lineRule="auto"/>
    </w:pPr>
    <w:rPr>
      <w:rFonts w:eastAsia="Times New Roman" w:cs="Times New Roman"/>
      <w:lang w:val="en-GB"/>
    </w:rPr>
  </w:style>
  <w:style w:type="paragraph" w:styleId="BodyText">
    <w:name w:val="Body Text"/>
    <w:basedOn w:val="Normal"/>
    <w:link w:val="BodyTextChar"/>
    <w:unhideWhenUsed/>
    <w:qFormat/>
    <w:rsid w:val="00D91EF3"/>
    <w:pPr>
      <w:spacing w:after="240"/>
    </w:pPr>
    <w:rPr>
      <w:rFonts w:eastAsiaTheme="minorHAnsi" w:cstheme="minorBidi"/>
      <w:szCs w:val="20"/>
    </w:rPr>
  </w:style>
  <w:style w:type="character" w:customStyle="1" w:styleId="BodyTextChar">
    <w:name w:val="Body Text Char"/>
    <w:basedOn w:val="DefaultParagraphFont"/>
    <w:link w:val="BodyText"/>
    <w:rsid w:val="00D91EF3"/>
    <w:rPr>
      <w:szCs w:val="20"/>
      <w:lang w:val="en-GB"/>
    </w:rPr>
  </w:style>
  <w:style w:type="paragraph" w:customStyle="1" w:styleId="Default">
    <w:name w:val="Default"/>
    <w:rsid w:val="00E43687"/>
    <w:pPr>
      <w:autoSpaceDE w:val="0"/>
      <w:autoSpaceDN w:val="0"/>
      <w:adjustRightInd w:val="0"/>
      <w:spacing w:after="0" w:line="240" w:lineRule="auto"/>
    </w:pPr>
    <w:rPr>
      <w:rFonts w:cs="Georgia"/>
      <w:color w:val="000000"/>
      <w:sz w:val="24"/>
      <w:szCs w:val="24"/>
    </w:rPr>
  </w:style>
  <w:style w:type="table" w:styleId="LightGrid-Accent6">
    <w:name w:val="Light Grid Accent 6"/>
    <w:basedOn w:val="TableNormal"/>
    <w:uiPriority w:val="62"/>
    <w:rsid w:val="00E36BAF"/>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insideH w:val="single" w:sz="8" w:space="0" w:color="E0301E" w:themeColor="accent6"/>
        <w:insideV w:val="single" w:sz="8" w:space="0" w:color="E0301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01E" w:themeColor="accent6"/>
          <w:left w:val="single" w:sz="8" w:space="0" w:color="E0301E" w:themeColor="accent6"/>
          <w:bottom w:val="single" w:sz="18" w:space="0" w:color="E0301E" w:themeColor="accent6"/>
          <w:right w:val="single" w:sz="8" w:space="0" w:color="E0301E" w:themeColor="accent6"/>
          <w:insideH w:val="nil"/>
          <w:insideV w:val="single" w:sz="8" w:space="0" w:color="E0301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insideH w:val="nil"/>
          <w:insideV w:val="single" w:sz="8" w:space="0" w:color="E0301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shd w:val="clear" w:color="auto" w:fill="F7CBC7" w:themeFill="accent6" w:themeFillTint="3F"/>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shd w:val="clear" w:color="auto" w:fill="F7CBC7" w:themeFill="accent6" w:themeFillTint="3F"/>
      </w:tcPr>
    </w:tblStylePr>
    <w:tblStylePr w:type="band2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tcPr>
    </w:tblStylePr>
  </w:style>
  <w:style w:type="table" w:customStyle="1" w:styleId="Style1">
    <w:name w:val="Style1"/>
    <w:basedOn w:val="TableNormal"/>
    <w:uiPriority w:val="99"/>
    <w:rsid w:val="00E36BAF"/>
    <w:pPr>
      <w:spacing w:after="0" w:line="240" w:lineRule="auto"/>
    </w:pPr>
    <w:tblPr/>
  </w:style>
  <w:style w:type="table" w:styleId="MediumShading1-Accent1">
    <w:name w:val="Medium Shading 1 Accent 1"/>
    <w:basedOn w:val="TableNormal"/>
    <w:uiPriority w:val="63"/>
    <w:rsid w:val="00E36BAF"/>
    <w:pPr>
      <w:spacing w:after="0" w:line="240" w:lineRule="auto"/>
    </w:pPr>
    <w:tblPr>
      <w:tblStyleRowBandSize w:val="1"/>
      <w:tblStyleColBandSize w:val="1"/>
      <w:tbl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single" w:sz="8" w:space="0" w:color="FF8C25" w:themeColor="accent1" w:themeTint="BF"/>
      </w:tblBorders>
    </w:tblPr>
    <w:tblStylePr w:type="firstRow">
      <w:pPr>
        <w:spacing w:before="0" w:after="0" w:line="240" w:lineRule="auto"/>
      </w:pPr>
      <w:rPr>
        <w:b/>
        <w:bCs/>
        <w:color w:val="FFFFFF" w:themeColor="background1"/>
      </w:rPr>
      <w:tblPr/>
      <w:tcPr>
        <w:tc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shd w:val="clear" w:color="auto" w:fill="DC6900" w:themeFill="accent1"/>
      </w:tcPr>
    </w:tblStylePr>
    <w:tblStylePr w:type="lastRow">
      <w:pPr>
        <w:spacing w:before="0" w:after="0" w:line="240" w:lineRule="auto"/>
      </w:pPr>
      <w:rPr>
        <w:b/>
        <w:bCs/>
      </w:rPr>
      <w:tblPr/>
      <w:tcPr>
        <w:tcBorders>
          <w:top w:val="double" w:sz="6"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7" w:themeFill="accent1" w:themeFillTint="3F"/>
      </w:tcPr>
    </w:tblStylePr>
    <w:tblStylePr w:type="band1Horz">
      <w:tblPr/>
      <w:tcPr>
        <w:tcBorders>
          <w:insideH w:val="nil"/>
          <w:insideV w:val="nil"/>
        </w:tcBorders>
        <w:shd w:val="clear" w:color="auto" w:fill="FFD9B7"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449D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69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6900" w:themeFill="accent1"/>
      </w:tcPr>
    </w:tblStylePr>
    <w:tblStylePr w:type="lastCol">
      <w:rPr>
        <w:b/>
        <w:bCs/>
        <w:color w:val="FFFFFF" w:themeColor="background1"/>
      </w:rPr>
      <w:tblPr/>
      <w:tcPr>
        <w:tcBorders>
          <w:left w:val="nil"/>
          <w:right w:val="nil"/>
          <w:insideH w:val="nil"/>
          <w:insideV w:val="nil"/>
        </w:tcBorders>
        <w:shd w:val="clear" w:color="auto" w:fill="DC69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D449D1"/>
    <w:pPr>
      <w:spacing w:after="0" w:line="240" w:lineRule="auto"/>
    </w:pPr>
    <w:rPr>
      <w:color w:val="000000" w:themeColor="text1"/>
    </w:rPr>
    <w:tblPr>
      <w:tblStyleRowBandSize w:val="1"/>
      <w:tblStyleColBandSize w:val="1"/>
      <w:tblBorders>
        <w:top w:val="single" w:sz="8" w:space="0" w:color="FFB600" w:themeColor="accent2"/>
        <w:bottom w:val="single" w:sz="8" w:space="0" w:color="FFB600" w:themeColor="accent2"/>
      </w:tblBorders>
    </w:tblPr>
    <w:tblStylePr w:type="firstRow">
      <w:rPr>
        <w:rFonts w:asciiTheme="majorHAnsi" w:eastAsiaTheme="majorEastAsia" w:hAnsiTheme="majorHAnsi" w:cstheme="majorBidi"/>
      </w:rPr>
      <w:tblPr/>
      <w:tcPr>
        <w:tcBorders>
          <w:top w:val="nil"/>
          <w:bottom w:val="single" w:sz="8" w:space="0" w:color="FFB600" w:themeColor="accent2"/>
        </w:tcBorders>
      </w:tcPr>
    </w:tblStylePr>
    <w:tblStylePr w:type="lastRow">
      <w:rPr>
        <w:b/>
        <w:bCs/>
        <w:color w:val="DC6900" w:themeColor="text2"/>
      </w:rPr>
      <w:tblPr/>
      <w:tcPr>
        <w:tcBorders>
          <w:top w:val="single" w:sz="8" w:space="0" w:color="FFB600" w:themeColor="accent2"/>
          <w:bottom w:val="single" w:sz="8" w:space="0" w:color="FFB600" w:themeColor="accent2"/>
        </w:tcBorders>
      </w:tcPr>
    </w:tblStylePr>
    <w:tblStylePr w:type="firstCol">
      <w:rPr>
        <w:b/>
        <w:bCs/>
      </w:rPr>
    </w:tblStylePr>
    <w:tblStylePr w:type="lastCol">
      <w:rPr>
        <w:b/>
        <w:bCs/>
      </w:rPr>
      <w:tblPr/>
      <w:tcPr>
        <w:tcBorders>
          <w:top w:val="single" w:sz="8" w:space="0" w:color="FFB600" w:themeColor="accent2"/>
          <w:bottom w:val="single" w:sz="8" w:space="0" w:color="FFB600" w:themeColor="accent2"/>
        </w:tcBorders>
      </w:tcPr>
    </w:tblStylePr>
    <w:tblStylePr w:type="band1Vert">
      <w:tblPr/>
      <w:tcPr>
        <w:shd w:val="clear" w:color="auto" w:fill="FFECC0" w:themeFill="accent2" w:themeFillTint="3F"/>
      </w:tcPr>
    </w:tblStylePr>
    <w:tblStylePr w:type="band1Horz">
      <w:tblPr/>
      <w:tcPr>
        <w:shd w:val="clear" w:color="auto" w:fill="FFECC0" w:themeFill="accent2" w:themeFillTint="3F"/>
      </w:tcPr>
    </w:tblStylePr>
  </w:style>
  <w:style w:type="table" w:styleId="MediumGrid1-Accent1">
    <w:name w:val="Medium Grid 1 Accent 1"/>
    <w:basedOn w:val="TableNormal"/>
    <w:uiPriority w:val="67"/>
    <w:rsid w:val="00D449D1"/>
    <w:pPr>
      <w:spacing w:after="0" w:line="240" w:lineRule="auto"/>
    </w:pPr>
    <w:tblPr>
      <w:tblStyleRowBandSize w:val="1"/>
      <w:tblStyleColBandSize w:val="1"/>
      <w:tbl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single" w:sz="8" w:space="0" w:color="FF8C25" w:themeColor="accent1" w:themeTint="BF"/>
        <w:insideV w:val="single" w:sz="8" w:space="0" w:color="FF8C25" w:themeColor="accent1" w:themeTint="BF"/>
      </w:tblBorders>
    </w:tblPr>
    <w:tcPr>
      <w:shd w:val="clear" w:color="auto" w:fill="FFD9B7" w:themeFill="accent1" w:themeFillTint="3F"/>
    </w:tcPr>
    <w:tblStylePr w:type="firstRow">
      <w:rPr>
        <w:b/>
        <w:bCs/>
      </w:rPr>
    </w:tblStylePr>
    <w:tblStylePr w:type="lastRow">
      <w:rPr>
        <w:b/>
        <w:bCs/>
      </w:rPr>
      <w:tblPr/>
      <w:tcPr>
        <w:tcBorders>
          <w:top w:val="single" w:sz="18" w:space="0" w:color="FF8C25" w:themeColor="accent1" w:themeTint="BF"/>
        </w:tcBorders>
      </w:tcPr>
    </w:tblStylePr>
    <w:tblStylePr w:type="firstCol">
      <w:rPr>
        <w:b/>
        <w:bCs/>
      </w:rPr>
    </w:tblStylePr>
    <w:tblStylePr w:type="lastCol">
      <w:rPr>
        <w:b/>
        <w:bCs/>
      </w:rPr>
    </w:tblStylePr>
    <w:tblStylePr w:type="band1Vert">
      <w:tblPr/>
      <w:tcPr>
        <w:shd w:val="clear" w:color="auto" w:fill="FFB26E" w:themeFill="accent1" w:themeFillTint="7F"/>
      </w:tcPr>
    </w:tblStylePr>
    <w:tblStylePr w:type="band1Horz">
      <w:tblPr/>
      <w:tcPr>
        <w:shd w:val="clear" w:color="auto" w:fill="FFB26E" w:themeFill="accent1" w:themeFillTint="7F"/>
      </w:tcPr>
    </w:tblStylePr>
  </w:style>
  <w:style w:type="table" w:styleId="LightList-Accent1">
    <w:name w:val="Light List Accent 1"/>
    <w:basedOn w:val="TableNormal"/>
    <w:uiPriority w:val="61"/>
    <w:rsid w:val="00D449D1"/>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tblBorders>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paragraph" w:styleId="NoSpacing">
    <w:name w:val="No Spacing"/>
    <w:uiPriority w:val="1"/>
    <w:qFormat/>
    <w:rsid w:val="007D6A97"/>
    <w:pPr>
      <w:spacing w:after="0" w:line="240" w:lineRule="auto"/>
    </w:pPr>
    <w:rPr>
      <w:rFonts w:eastAsia="Times New Roman" w:cs="Times New Roman"/>
      <w:lang w:val="en-GB"/>
    </w:rPr>
  </w:style>
  <w:style w:type="character" w:styleId="Emphasis">
    <w:name w:val="Emphasis"/>
    <w:basedOn w:val="DefaultParagraphFont"/>
    <w:uiPriority w:val="20"/>
    <w:qFormat/>
    <w:rsid w:val="00AC17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9211">
      <w:bodyDiv w:val="1"/>
      <w:marLeft w:val="0"/>
      <w:marRight w:val="0"/>
      <w:marTop w:val="0"/>
      <w:marBottom w:val="0"/>
      <w:divBdr>
        <w:top w:val="none" w:sz="0" w:space="0" w:color="auto"/>
        <w:left w:val="none" w:sz="0" w:space="0" w:color="auto"/>
        <w:bottom w:val="none" w:sz="0" w:space="0" w:color="auto"/>
        <w:right w:val="none" w:sz="0" w:space="0" w:color="auto"/>
      </w:divBdr>
    </w:div>
    <w:div w:id="464473820">
      <w:bodyDiv w:val="1"/>
      <w:marLeft w:val="0"/>
      <w:marRight w:val="0"/>
      <w:marTop w:val="0"/>
      <w:marBottom w:val="0"/>
      <w:divBdr>
        <w:top w:val="none" w:sz="0" w:space="0" w:color="auto"/>
        <w:left w:val="none" w:sz="0" w:space="0" w:color="auto"/>
        <w:bottom w:val="none" w:sz="0" w:space="0" w:color="auto"/>
        <w:right w:val="none" w:sz="0" w:space="0" w:color="auto"/>
      </w:divBdr>
    </w:div>
    <w:div w:id="927425763">
      <w:bodyDiv w:val="1"/>
      <w:marLeft w:val="0"/>
      <w:marRight w:val="0"/>
      <w:marTop w:val="0"/>
      <w:marBottom w:val="0"/>
      <w:divBdr>
        <w:top w:val="none" w:sz="0" w:space="0" w:color="auto"/>
        <w:left w:val="none" w:sz="0" w:space="0" w:color="auto"/>
        <w:bottom w:val="none" w:sz="0" w:space="0" w:color="auto"/>
        <w:right w:val="none" w:sz="0" w:space="0" w:color="auto"/>
      </w:divBdr>
    </w:div>
    <w:div w:id="1377658878">
      <w:bodyDiv w:val="1"/>
      <w:marLeft w:val="0"/>
      <w:marRight w:val="0"/>
      <w:marTop w:val="0"/>
      <w:marBottom w:val="0"/>
      <w:divBdr>
        <w:top w:val="none" w:sz="0" w:space="0" w:color="auto"/>
        <w:left w:val="none" w:sz="0" w:space="0" w:color="auto"/>
        <w:bottom w:val="none" w:sz="0" w:space="0" w:color="auto"/>
        <w:right w:val="none" w:sz="0" w:space="0" w:color="auto"/>
      </w:divBdr>
      <w:divsChild>
        <w:div w:id="1837071771">
          <w:marLeft w:val="446"/>
          <w:marRight w:val="0"/>
          <w:marTop w:val="0"/>
          <w:marBottom w:val="180"/>
          <w:divBdr>
            <w:top w:val="none" w:sz="0" w:space="0" w:color="auto"/>
            <w:left w:val="none" w:sz="0" w:space="0" w:color="auto"/>
            <w:bottom w:val="none" w:sz="0" w:space="0" w:color="auto"/>
            <w:right w:val="none" w:sz="0" w:space="0" w:color="auto"/>
          </w:divBdr>
        </w:div>
      </w:divsChild>
    </w:div>
    <w:div w:id="1433818326">
      <w:bodyDiv w:val="1"/>
      <w:marLeft w:val="0"/>
      <w:marRight w:val="0"/>
      <w:marTop w:val="0"/>
      <w:marBottom w:val="0"/>
      <w:divBdr>
        <w:top w:val="none" w:sz="0" w:space="0" w:color="auto"/>
        <w:left w:val="none" w:sz="0" w:space="0" w:color="auto"/>
        <w:bottom w:val="none" w:sz="0" w:space="0" w:color="auto"/>
        <w:right w:val="none" w:sz="0" w:space="0" w:color="auto"/>
      </w:divBdr>
      <w:divsChild>
        <w:div w:id="900603938">
          <w:marLeft w:val="274"/>
          <w:marRight w:val="0"/>
          <w:marTop w:val="0"/>
          <w:marBottom w:val="240"/>
          <w:divBdr>
            <w:top w:val="none" w:sz="0" w:space="0" w:color="auto"/>
            <w:left w:val="none" w:sz="0" w:space="0" w:color="auto"/>
            <w:bottom w:val="none" w:sz="0" w:space="0" w:color="auto"/>
            <w:right w:val="none" w:sz="0" w:space="0" w:color="auto"/>
          </w:divBdr>
        </w:div>
      </w:divsChild>
    </w:div>
    <w:div w:id="1808472140">
      <w:bodyDiv w:val="1"/>
      <w:marLeft w:val="0"/>
      <w:marRight w:val="0"/>
      <w:marTop w:val="0"/>
      <w:marBottom w:val="0"/>
      <w:divBdr>
        <w:top w:val="none" w:sz="0" w:space="0" w:color="auto"/>
        <w:left w:val="none" w:sz="0" w:space="0" w:color="auto"/>
        <w:bottom w:val="none" w:sz="0" w:space="0" w:color="auto"/>
        <w:right w:val="none" w:sz="0" w:space="0" w:color="auto"/>
      </w:divBdr>
    </w:div>
    <w:div w:id="2051883292">
      <w:bodyDiv w:val="1"/>
      <w:marLeft w:val="0"/>
      <w:marRight w:val="0"/>
      <w:marTop w:val="0"/>
      <w:marBottom w:val="0"/>
      <w:divBdr>
        <w:top w:val="none" w:sz="0" w:space="0" w:color="auto"/>
        <w:left w:val="none" w:sz="0" w:space="0" w:color="auto"/>
        <w:bottom w:val="none" w:sz="0" w:space="0" w:color="auto"/>
        <w:right w:val="none" w:sz="0" w:space="0" w:color="auto"/>
      </w:divBdr>
    </w:div>
    <w:div w:id="20577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ery.mcmillan@pl.pw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eosurvey.pwc/" TargetMode="External"/><Relationship Id="rId4" Type="http://schemas.openxmlformats.org/officeDocument/2006/relationships/settings" Target="settings.xml"/><Relationship Id="rId9" Type="http://schemas.openxmlformats.org/officeDocument/2006/relationships/hyperlink" Target="http://press.pw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0F40E-EE16-4622-9749-0DCF69C0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Piraiee</dc:creator>
  <cp:keywords>PwC;StartupCollider;Startups</cp:keywords>
  <cp:lastModifiedBy>Jeffery McMillan</cp:lastModifiedBy>
  <cp:revision>3</cp:revision>
  <cp:lastPrinted>2017-01-13T13:47:00Z</cp:lastPrinted>
  <dcterms:created xsi:type="dcterms:W3CDTF">2017-01-13T17:43:00Z</dcterms:created>
  <dcterms:modified xsi:type="dcterms:W3CDTF">2017-01-13T17:44:00Z</dcterms:modified>
</cp:coreProperties>
</file>