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A0" w:rsidRPr="00004FF5" w:rsidRDefault="00401062" w:rsidP="00497C68">
      <w:pPr>
        <w:ind w:right="720"/>
      </w:pPr>
      <w:r w:rsidRPr="00401062">
        <w:rPr>
          <w:noProof/>
        </w:rPr>
        <w:drawing>
          <wp:inline distT="0" distB="0" distL="0" distR="0" wp14:anchorId="01DF7ACE" wp14:editId="7576EE33">
            <wp:extent cx="2857500" cy="561975"/>
            <wp:effectExtent l="0" t="0" r="0" b="9525"/>
            <wp:docPr id="39" name="Picture 2" descr="http://www.worldbank.org/content/dam/Worldbank/WBG_Horizontal-RGB-web_300x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descr="http://www.worldbank.org/content/dam/Worldbank/WBG_Horizontal-RGB-web_300x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9F4CA0" w:rsidRPr="00004FF5" w:rsidRDefault="00C43C22" w:rsidP="00497C68">
      <w:pPr>
        <w:ind w:right="720"/>
        <w:rPr>
          <w:b/>
          <w:bCs/>
          <w:color w:val="FF0000"/>
        </w:rPr>
      </w:pPr>
      <w:r w:rsidRPr="00004FF5">
        <w:rPr>
          <w:noProof/>
        </w:rPr>
        <w:drawing>
          <wp:anchor distT="0" distB="0" distL="114300" distR="114300" simplePos="0" relativeHeight="251657728" behindDoc="0" locked="1" layoutInCell="1" allowOverlap="1" wp14:anchorId="6C33E8A8" wp14:editId="1E716B7F">
            <wp:simplePos x="0" y="0"/>
            <wp:positionH relativeFrom="page">
              <wp:posOffset>6015355</wp:posOffset>
            </wp:positionH>
            <wp:positionV relativeFrom="page">
              <wp:posOffset>347345</wp:posOffset>
            </wp:positionV>
            <wp:extent cx="1410970" cy="1271905"/>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8"/>
                    <a:srcRect/>
                    <a:stretch>
                      <a:fillRect/>
                    </a:stretch>
                  </pic:blipFill>
                  <pic:spPr bwMode="auto">
                    <a:xfrm>
                      <a:off x="0" y="0"/>
                      <a:ext cx="1410970" cy="1271905"/>
                    </a:xfrm>
                    <a:prstGeom prst="rect">
                      <a:avLst/>
                    </a:prstGeom>
                    <a:noFill/>
                    <a:ln w="9525">
                      <a:noFill/>
                      <a:miter lim="800000"/>
                      <a:headEnd/>
                      <a:tailEnd/>
                    </a:ln>
                  </pic:spPr>
                </pic:pic>
              </a:graphicData>
            </a:graphic>
          </wp:anchor>
        </w:drawing>
      </w:r>
    </w:p>
    <w:p w:rsidR="009F4CA0" w:rsidRPr="00004FF5" w:rsidRDefault="00C43C22" w:rsidP="00497C68">
      <w:r w:rsidRPr="00004FF5">
        <w:rPr>
          <w:b/>
          <w:bCs/>
          <w:color w:val="FF0000"/>
        </w:rPr>
        <w:t>EMBARGOED: Not for news</w:t>
      </w:r>
      <w:r w:rsidR="00F30757">
        <w:rPr>
          <w:b/>
          <w:bCs/>
          <w:color w:val="FF0000"/>
        </w:rPr>
        <w:t xml:space="preserve"> wire transmission, posting on w</w:t>
      </w:r>
      <w:r w:rsidRPr="00004FF5">
        <w:rPr>
          <w:b/>
          <w:bCs/>
          <w:color w:val="FF0000"/>
        </w:rPr>
        <w:t xml:space="preserve">eb sites, or any other media use until </w:t>
      </w:r>
      <w:r w:rsidR="008B150B">
        <w:rPr>
          <w:b/>
          <w:bCs/>
          <w:color w:val="FF0000"/>
        </w:rPr>
        <w:t>Thursday, November 2</w:t>
      </w:r>
      <w:r w:rsidR="00052C78">
        <w:rPr>
          <w:b/>
          <w:bCs/>
          <w:color w:val="FF0000"/>
        </w:rPr>
        <w:t>0, 20</w:t>
      </w:r>
      <w:r w:rsidR="008B150B">
        <w:rPr>
          <w:b/>
          <w:bCs/>
          <w:color w:val="FF0000"/>
        </w:rPr>
        <w:t>14 at 13:00 GMT = 08:00</w:t>
      </w:r>
      <w:r w:rsidR="000F271A">
        <w:rPr>
          <w:b/>
          <w:bCs/>
          <w:color w:val="FF0000"/>
        </w:rPr>
        <w:t>A</w:t>
      </w:r>
      <w:r w:rsidR="00E77677">
        <w:rPr>
          <w:b/>
          <w:bCs/>
          <w:color w:val="FF0000"/>
        </w:rPr>
        <w:t>M EST</w:t>
      </w:r>
      <w:r w:rsidR="008B150B">
        <w:rPr>
          <w:b/>
          <w:bCs/>
          <w:color w:val="FF0000"/>
        </w:rPr>
        <w:t xml:space="preserve"> in Washington, D.C. (GMT-5) </w:t>
      </w:r>
    </w:p>
    <w:p w:rsidR="009A58AE" w:rsidRDefault="009A58AE" w:rsidP="00497C68">
      <w:pPr>
        <w:tabs>
          <w:tab w:val="left" w:pos="1440"/>
        </w:tabs>
        <w:ind w:left="1440" w:right="720" w:hanging="1440"/>
        <w:rPr>
          <w:b/>
        </w:rPr>
      </w:pPr>
    </w:p>
    <w:p w:rsidR="009F4CA0" w:rsidRPr="00004FF5" w:rsidRDefault="001A5103" w:rsidP="00F573AC">
      <w:pPr>
        <w:tabs>
          <w:tab w:val="left" w:pos="5760"/>
        </w:tabs>
        <w:ind w:left="1440" w:right="720" w:hanging="1440"/>
        <w:rPr>
          <w:b/>
          <w:bCs/>
          <w:color w:val="000000"/>
          <w:lang w:val="it-IT"/>
        </w:rPr>
      </w:pPr>
      <w:r w:rsidRPr="00004FF5">
        <w:rPr>
          <w:b/>
        </w:rPr>
        <w:t>World Bank Group</w:t>
      </w:r>
      <w:r w:rsidRPr="00004FF5">
        <w:rPr>
          <w:b/>
        </w:rPr>
        <w:tab/>
      </w:r>
      <w:r w:rsidRPr="00004FF5">
        <w:rPr>
          <w:b/>
          <w:bCs/>
          <w:color w:val="000000"/>
          <w:lang w:val="it-IT"/>
        </w:rPr>
        <w:t>PwC</w:t>
      </w:r>
    </w:p>
    <w:p w:rsidR="009F4CA0" w:rsidRPr="00004FF5" w:rsidRDefault="008B150B" w:rsidP="00F573AC">
      <w:pPr>
        <w:tabs>
          <w:tab w:val="left" w:pos="5760"/>
        </w:tabs>
        <w:ind w:left="1440" w:right="720" w:hanging="1440"/>
        <w:rPr>
          <w:color w:val="000000"/>
          <w:lang w:val="it-IT"/>
        </w:rPr>
      </w:pPr>
      <w:r>
        <w:t>Hyun Kyong Lee</w:t>
      </w:r>
      <w:r w:rsidR="001A5103" w:rsidRPr="00004FF5">
        <w:tab/>
      </w:r>
      <w:r w:rsidR="00C43C22" w:rsidRPr="00004FF5">
        <w:rPr>
          <w:bCs/>
          <w:color w:val="000000"/>
          <w:lang w:val="it-IT"/>
        </w:rPr>
        <w:t>Mike Ascolese</w:t>
      </w:r>
    </w:p>
    <w:p w:rsidR="009F4CA0" w:rsidRPr="00004FF5" w:rsidRDefault="00C43C22" w:rsidP="00F573AC">
      <w:pPr>
        <w:tabs>
          <w:tab w:val="left" w:pos="5760"/>
        </w:tabs>
        <w:ind w:left="1440" w:right="720" w:hanging="1440"/>
        <w:rPr>
          <w:color w:val="000000"/>
          <w:lang w:val="it-IT"/>
        </w:rPr>
      </w:pPr>
      <w:r w:rsidRPr="009153F0">
        <w:t xml:space="preserve">Phone: +1 202 473 </w:t>
      </w:r>
      <w:r w:rsidR="008B150B">
        <w:t>8725</w:t>
      </w:r>
      <w:r w:rsidR="001A5103" w:rsidRPr="009153F0">
        <w:tab/>
      </w:r>
      <w:r w:rsidRPr="00004FF5">
        <w:rPr>
          <w:color w:val="000000"/>
          <w:lang w:val="it-IT"/>
        </w:rPr>
        <w:t xml:space="preserve">Tel: +1 646 471 8106 </w:t>
      </w:r>
    </w:p>
    <w:p w:rsidR="009F4CA0" w:rsidRPr="00004FF5" w:rsidRDefault="00C43C22" w:rsidP="00F573AC">
      <w:pPr>
        <w:tabs>
          <w:tab w:val="left" w:pos="5760"/>
        </w:tabs>
        <w:ind w:left="5760" w:right="720" w:hanging="5760"/>
        <w:rPr>
          <w:color w:val="000000"/>
          <w:lang w:val="it-IT"/>
        </w:rPr>
      </w:pPr>
      <w:r w:rsidRPr="00A57A1F">
        <w:rPr>
          <w:lang w:val="fr-FR"/>
        </w:rPr>
        <w:t xml:space="preserve">E-mail: </w:t>
      </w:r>
      <w:hyperlink r:id="rId9" w:history="1">
        <w:r w:rsidR="008B150B">
          <w:rPr>
            <w:rStyle w:val="Hyperlink"/>
            <w:rFonts w:ascii="Arial" w:hAnsi="Arial" w:cs="Arial"/>
            <w:color w:val="auto"/>
            <w:u w:val="none"/>
            <w:lang w:val="fr-FR"/>
          </w:rPr>
          <w:t>hlee9</w:t>
        </w:r>
        <w:r w:rsidRPr="00A57A1F">
          <w:rPr>
            <w:rStyle w:val="Hyperlink"/>
            <w:rFonts w:ascii="Arial" w:hAnsi="Arial" w:cs="Arial"/>
            <w:color w:val="auto"/>
            <w:u w:val="none"/>
            <w:lang w:val="fr-FR"/>
          </w:rPr>
          <w:t>@</w:t>
        </w:r>
        <w:r w:rsidR="008B150B">
          <w:rPr>
            <w:rStyle w:val="Hyperlink"/>
            <w:rFonts w:ascii="Arial" w:hAnsi="Arial" w:cs="Arial"/>
            <w:color w:val="auto"/>
            <w:u w:val="none"/>
            <w:lang w:val="fr-FR"/>
          </w:rPr>
          <w:t>worldbank.org</w:t>
        </w:r>
      </w:hyperlink>
      <w:r w:rsidR="001A5103" w:rsidRPr="00A57A1F">
        <w:rPr>
          <w:lang w:val="fr-FR"/>
        </w:rPr>
        <w:tab/>
      </w:r>
      <w:r w:rsidRPr="00004FF5">
        <w:rPr>
          <w:color w:val="000000"/>
          <w:lang w:val="it-IT"/>
        </w:rPr>
        <w:t>E-mail</w:t>
      </w:r>
      <w:r w:rsidR="004D65AE" w:rsidRPr="00004FF5">
        <w:rPr>
          <w:color w:val="000000"/>
          <w:lang w:val="it-IT"/>
        </w:rPr>
        <w:t>: mike.ascolese@us.pwc.com</w:t>
      </w:r>
    </w:p>
    <w:p w:rsidR="009F4CA0" w:rsidRPr="00F573AC" w:rsidRDefault="009F4CA0" w:rsidP="00F573AC">
      <w:pPr>
        <w:ind w:right="720"/>
        <w:rPr>
          <w:sz w:val="24"/>
          <w:szCs w:val="24"/>
          <w:lang w:val="fr-FR"/>
        </w:rPr>
      </w:pPr>
    </w:p>
    <w:p w:rsidR="0096238F" w:rsidRDefault="00253C0B" w:rsidP="00F573AC">
      <w:pPr>
        <w:pStyle w:val="NormalWeb"/>
        <w:spacing w:before="0" w:beforeAutospacing="0" w:after="0" w:afterAutospacing="0"/>
        <w:ind w:right="720"/>
        <w:jc w:val="center"/>
        <w:rPr>
          <w:rFonts w:ascii="Arial" w:hAnsi="Arial" w:cs="Arial"/>
          <w:b/>
          <w:bCs/>
          <w:iCs/>
          <w:sz w:val="20"/>
          <w:szCs w:val="20"/>
        </w:rPr>
      </w:pPr>
      <w:r w:rsidRPr="00A57A1F">
        <w:rPr>
          <w:rFonts w:ascii="Arial" w:hAnsi="Arial" w:cs="Arial"/>
          <w:b/>
          <w:bCs/>
          <w:iCs/>
          <w:sz w:val="20"/>
          <w:szCs w:val="20"/>
        </w:rPr>
        <w:t xml:space="preserve">Overall </w:t>
      </w:r>
      <w:r w:rsidR="008B150B">
        <w:rPr>
          <w:rFonts w:ascii="Arial" w:hAnsi="Arial" w:cs="Arial"/>
          <w:b/>
          <w:bCs/>
          <w:iCs/>
          <w:sz w:val="20"/>
          <w:szCs w:val="20"/>
        </w:rPr>
        <w:t>T</w:t>
      </w:r>
      <w:r w:rsidRPr="00A57A1F">
        <w:rPr>
          <w:rFonts w:ascii="Arial" w:hAnsi="Arial" w:cs="Arial"/>
          <w:b/>
          <w:bCs/>
          <w:iCs/>
          <w:sz w:val="20"/>
          <w:szCs w:val="20"/>
        </w:rPr>
        <w:t xml:space="preserve">ax </w:t>
      </w:r>
      <w:r w:rsidR="008B150B">
        <w:rPr>
          <w:rFonts w:ascii="Arial" w:hAnsi="Arial" w:cs="Arial"/>
          <w:b/>
          <w:bCs/>
          <w:iCs/>
          <w:sz w:val="20"/>
          <w:szCs w:val="20"/>
        </w:rPr>
        <w:t>C</w:t>
      </w:r>
      <w:r w:rsidRPr="00A57A1F">
        <w:rPr>
          <w:rFonts w:ascii="Arial" w:hAnsi="Arial" w:cs="Arial"/>
          <w:b/>
          <w:bCs/>
          <w:iCs/>
          <w:sz w:val="20"/>
          <w:szCs w:val="20"/>
        </w:rPr>
        <w:t xml:space="preserve">ost and </w:t>
      </w:r>
      <w:r w:rsidR="008B150B">
        <w:rPr>
          <w:rFonts w:ascii="Arial" w:hAnsi="Arial" w:cs="Arial"/>
          <w:b/>
          <w:bCs/>
          <w:iCs/>
          <w:sz w:val="20"/>
          <w:szCs w:val="20"/>
        </w:rPr>
        <w:t>C</w:t>
      </w:r>
      <w:r w:rsidRPr="00A57A1F">
        <w:rPr>
          <w:rFonts w:ascii="Arial" w:hAnsi="Arial" w:cs="Arial"/>
          <w:b/>
          <w:bCs/>
          <w:iCs/>
          <w:sz w:val="20"/>
          <w:szCs w:val="20"/>
        </w:rPr>
        <w:t xml:space="preserve">ompliance </w:t>
      </w:r>
      <w:r w:rsidR="008B150B">
        <w:rPr>
          <w:rFonts w:ascii="Arial" w:hAnsi="Arial" w:cs="Arial"/>
          <w:b/>
          <w:bCs/>
          <w:iCs/>
          <w:sz w:val="20"/>
          <w:szCs w:val="20"/>
        </w:rPr>
        <w:t>B</w:t>
      </w:r>
      <w:r w:rsidRPr="00A57A1F">
        <w:rPr>
          <w:rFonts w:ascii="Arial" w:hAnsi="Arial" w:cs="Arial"/>
          <w:b/>
          <w:bCs/>
          <w:iCs/>
          <w:sz w:val="20"/>
          <w:szCs w:val="20"/>
        </w:rPr>
        <w:t xml:space="preserve">urden </w:t>
      </w:r>
      <w:r w:rsidR="00E906C4">
        <w:rPr>
          <w:rFonts w:ascii="Arial" w:hAnsi="Arial" w:cs="Arial"/>
          <w:b/>
          <w:bCs/>
          <w:iCs/>
          <w:sz w:val="20"/>
          <w:szCs w:val="20"/>
        </w:rPr>
        <w:t>Lower</w:t>
      </w:r>
      <w:r w:rsidR="005422B9" w:rsidRPr="00A57A1F">
        <w:rPr>
          <w:rFonts w:ascii="Arial" w:hAnsi="Arial" w:cs="Arial"/>
          <w:b/>
          <w:bCs/>
          <w:iCs/>
          <w:sz w:val="20"/>
          <w:szCs w:val="20"/>
        </w:rPr>
        <w:t xml:space="preserve"> </w:t>
      </w:r>
      <w:r w:rsidR="0042290F" w:rsidRPr="00A57A1F">
        <w:rPr>
          <w:rFonts w:ascii="Arial" w:hAnsi="Arial" w:cs="Arial"/>
          <w:b/>
          <w:bCs/>
          <w:iCs/>
          <w:sz w:val="20"/>
          <w:szCs w:val="20"/>
        </w:rPr>
        <w:t xml:space="preserve">for </w:t>
      </w:r>
      <w:r w:rsidR="008B150B">
        <w:rPr>
          <w:rFonts w:ascii="Arial" w:hAnsi="Arial" w:cs="Arial"/>
          <w:b/>
          <w:bCs/>
          <w:iCs/>
          <w:sz w:val="20"/>
          <w:szCs w:val="20"/>
        </w:rPr>
        <w:t>B</w:t>
      </w:r>
      <w:r w:rsidR="0042290F" w:rsidRPr="00A57A1F">
        <w:rPr>
          <w:rFonts w:ascii="Arial" w:hAnsi="Arial" w:cs="Arial"/>
          <w:b/>
          <w:bCs/>
          <w:iCs/>
          <w:sz w:val="20"/>
          <w:szCs w:val="20"/>
        </w:rPr>
        <w:t xml:space="preserve">usinesses </w:t>
      </w:r>
      <w:r w:rsidR="00F573AC">
        <w:rPr>
          <w:rFonts w:ascii="Arial" w:hAnsi="Arial" w:cs="Arial"/>
          <w:b/>
          <w:bCs/>
          <w:iCs/>
          <w:sz w:val="20"/>
          <w:szCs w:val="20"/>
        </w:rPr>
        <w:t>Aro</w:t>
      </w:r>
      <w:r w:rsidR="009A58AE">
        <w:rPr>
          <w:rFonts w:ascii="Arial" w:hAnsi="Arial" w:cs="Arial"/>
          <w:b/>
          <w:bCs/>
          <w:iCs/>
          <w:sz w:val="20"/>
          <w:szCs w:val="20"/>
        </w:rPr>
        <w:t>und</w:t>
      </w:r>
      <w:r w:rsidR="0042290F" w:rsidRPr="00A57A1F">
        <w:rPr>
          <w:rFonts w:ascii="Arial" w:hAnsi="Arial" w:cs="Arial"/>
          <w:b/>
          <w:bCs/>
          <w:iCs/>
          <w:sz w:val="20"/>
          <w:szCs w:val="20"/>
        </w:rPr>
        <w:t xml:space="preserve"> the </w:t>
      </w:r>
      <w:r w:rsidR="008B150B">
        <w:rPr>
          <w:rFonts w:ascii="Arial" w:hAnsi="Arial" w:cs="Arial"/>
          <w:b/>
          <w:bCs/>
          <w:iCs/>
          <w:sz w:val="20"/>
          <w:szCs w:val="20"/>
        </w:rPr>
        <w:t>W</w:t>
      </w:r>
      <w:r w:rsidR="0042290F" w:rsidRPr="00A57A1F">
        <w:rPr>
          <w:rFonts w:ascii="Arial" w:hAnsi="Arial" w:cs="Arial"/>
          <w:b/>
          <w:bCs/>
          <w:iCs/>
          <w:sz w:val="20"/>
          <w:szCs w:val="20"/>
        </w:rPr>
        <w:t>orld</w:t>
      </w:r>
    </w:p>
    <w:p w:rsidR="00F573AC" w:rsidRPr="00F573AC" w:rsidRDefault="00F573AC" w:rsidP="00F573AC">
      <w:pPr>
        <w:pStyle w:val="NormalWeb"/>
        <w:spacing w:before="0" w:beforeAutospacing="0" w:after="0" w:afterAutospacing="0"/>
        <w:ind w:right="720"/>
        <w:rPr>
          <w:rFonts w:ascii="Arial" w:hAnsi="Arial" w:cs="Arial"/>
          <w:bCs/>
          <w:iCs/>
        </w:rPr>
      </w:pPr>
    </w:p>
    <w:p w:rsidR="00247DB4" w:rsidRDefault="00106D87" w:rsidP="00F573AC">
      <w:pPr>
        <w:pStyle w:val="NormalWeb"/>
        <w:tabs>
          <w:tab w:val="left" w:pos="1890"/>
        </w:tabs>
        <w:spacing w:before="0" w:beforeAutospacing="0" w:after="0" w:afterAutospacing="0"/>
        <w:ind w:right="360"/>
        <w:jc w:val="both"/>
        <w:rPr>
          <w:rFonts w:ascii="Arial" w:hAnsi="Arial" w:cs="Arial"/>
          <w:sz w:val="20"/>
          <w:szCs w:val="20"/>
        </w:rPr>
      </w:pPr>
      <w:r w:rsidRPr="00A57A1F">
        <w:rPr>
          <w:rFonts w:ascii="Arial" w:hAnsi="Arial" w:cs="Arial"/>
          <w:b/>
          <w:sz w:val="20"/>
          <w:szCs w:val="20"/>
        </w:rPr>
        <w:t>Washington, 20 November, 2014</w:t>
      </w:r>
      <w:r w:rsidRPr="00A57A1F">
        <w:rPr>
          <w:rFonts w:ascii="Arial" w:hAnsi="Arial" w:cs="Arial"/>
          <w:sz w:val="20"/>
          <w:szCs w:val="20"/>
        </w:rPr>
        <w:t xml:space="preserve"> </w:t>
      </w:r>
      <w:r w:rsidR="00B457EF" w:rsidRPr="00A57A1F">
        <w:rPr>
          <w:rFonts w:ascii="Arial" w:hAnsi="Arial" w:cs="Arial"/>
          <w:sz w:val="20"/>
          <w:szCs w:val="20"/>
        </w:rPr>
        <w:t xml:space="preserve">– Paying taxes has become easier </w:t>
      </w:r>
      <w:r w:rsidR="006D7105" w:rsidRPr="00A57A1F">
        <w:rPr>
          <w:rFonts w:ascii="Arial" w:hAnsi="Arial" w:cs="Arial"/>
          <w:sz w:val="20"/>
          <w:szCs w:val="20"/>
        </w:rPr>
        <w:t xml:space="preserve">over the past </w:t>
      </w:r>
      <w:r w:rsidR="000310D7">
        <w:rPr>
          <w:rFonts w:ascii="Arial" w:hAnsi="Arial" w:cs="Arial"/>
          <w:sz w:val="20"/>
          <w:szCs w:val="20"/>
        </w:rPr>
        <w:t>year</w:t>
      </w:r>
      <w:r w:rsidR="000310D7" w:rsidRPr="00A57A1F">
        <w:rPr>
          <w:rFonts w:ascii="Arial" w:hAnsi="Arial" w:cs="Arial"/>
          <w:sz w:val="20"/>
          <w:szCs w:val="20"/>
        </w:rPr>
        <w:t xml:space="preserve"> </w:t>
      </w:r>
      <w:r w:rsidR="00B457EF" w:rsidRPr="00A57A1F">
        <w:rPr>
          <w:rFonts w:ascii="Arial" w:hAnsi="Arial" w:cs="Arial"/>
          <w:sz w:val="20"/>
          <w:szCs w:val="20"/>
        </w:rPr>
        <w:t>for medium</w:t>
      </w:r>
      <w:r w:rsidR="00E77677">
        <w:rPr>
          <w:rFonts w:ascii="Arial" w:hAnsi="Arial" w:cs="Arial"/>
          <w:sz w:val="20"/>
          <w:szCs w:val="20"/>
        </w:rPr>
        <w:t>-</w:t>
      </w:r>
      <w:r w:rsidR="00B457EF" w:rsidRPr="00A57A1F">
        <w:rPr>
          <w:rFonts w:ascii="Arial" w:hAnsi="Arial" w:cs="Arial"/>
          <w:sz w:val="20"/>
          <w:szCs w:val="20"/>
        </w:rPr>
        <w:t>sized companies around the world</w:t>
      </w:r>
      <w:r w:rsidR="006D7105" w:rsidRPr="00A57A1F">
        <w:rPr>
          <w:rFonts w:ascii="Arial" w:hAnsi="Arial" w:cs="Arial"/>
          <w:sz w:val="20"/>
          <w:szCs w:val="20"/>
        </w:rPr>
        <w:t>,</w:t>
      </w:r>
      <w:r w:rsidR="00B457EF" w:rsidRPr="00A57A1F">
        <w:rPr>
          <w:rFonts w:ascii="Arial" w:hAnsi="Arial" w:cs="Arial"/>
          <w:sz w:val="20"/>
          <w:szCs w:val="20"/>
        </w:rPr>
        <w:t xml:space="preserve"> </w:t>
      </w:r>
      <w:r w:rsidR="003F7F18" w:rsidRPr="00A57A1F">
        <w:rPr>
          <w:rFonts w:ascii="Arial" w:hAnsi="Arial" w:cs="Arial"/>
          <w:sz w:val="20"/>
          <w:szCs w:val="20"/>
        </w:rPr>
        <w:t xml:space="preserve">the latest </w:t>
      </w:r>
      <w:r w:rsidR="00247DB4" w:rsidRPr="00A57A1F">
        <w:rPr>
          <w:rFonts w:ascii="Arial" w:hAnsi="Arial" w:cs="Arial"/>
          <w:sz w:val="20"/>
          <w:szCs w:val="20"/>
        </w:rPr>
        <w:t xml:space="preserve">report from the World Bank </w:t>
      </w:r>
      <w:r w:rsidR="002038F2" w:rsidRPr="00A57A1F">
        <w:rPr>
          <w:rFonts w:ascii="Arial" w:hAnsi="Arial" w:cs="Arial"/>
          <w:sz w:val="20"/>
          <w:szCs w:val="20"/>
        </w:rPr>
        <w:t xml:space="preserve">Group </w:t>
      </w:r>
      <w:r w:rsidR="00247DB4" w:rsidRPr="00A57A1F">
        <w:rPr>
          <w:rFonts w:ascii="Arial" w:hAnsi="Arial" w:cs="Arial"/>
          <w:sz w:val="20"/>
          <w:szCs w:val="20"/>
        </w:rPr>
        <w:t xml:space="preserve">and PwC finds. </w:t>
      </w:r>
      <w:r w:rsidR="006D7105" w:rsidRPr="00A57A1F">
        <w:rPr>
          <w:rFonts w:ascii="Arial" w:hAnsi="Arial" w:cs="Arial"/>
          <w:sz w:val="20"/>
          <w:szCs w:val="20"/>
        </w:rPr>
        <w:t xml:space="preserve">The time it takes an average company to meet its tax obligations dropped by four hours last year, according to the </w:t>
      </w:r>
      <w:r w:rsidR="006D7105" w:rsidRPr="00A57A1F">
        <w:rPr>
          <w:rFonts w:ascii="Arial" w:hAnsi="Arial" w:cs="Arial"/>
          <w:i/>
          <w:sz w:val="20"/>
          <w:szCs w:val="20"/>
        </w:rPr>
        <w:t>Paying Taxes 2015</w:t>
      </w:r>
      <w:r w:rsidR="006D7105" w:rsidRPr="00A57A1F">
        <w:rPr>
          <w:rFonts w:ascii="Arial" w:hAnsi="Arial" w:cs="Arial"/>
          <w:sz w:val="20"/>
          <w:szCs w:val="20"/>
        </w:rPr>
        <w:t xml:space="preserve"> study. </w:t>
      </w:r>
      <w:r w:rsidR="00247DB4" w:rsidRPr="00A57A1F">
        <w:rPr>
          <w:rFonts w:ascii="Arial" w:hAnsi="Arial" w:cs="Arial"/>
          <w:sz w:val="20"/>
          <w:szCs w:val="20"/>
        </w:rPr>
        <w:t>The</w:t>
      </w:r>
      <w:r w:rsidR="009153F0" w:rsidRPr="00A57A1F">
        <w:rPr>
          <w:rFonts w:ascii="Arial" w:hAnsi="Arial" w:cs="Arial"/>
          <w:sz w:val="20"/>
          <w:szCs w:val="20"/>
        </w:rPr>
        <w:t xml:space="preserve"> report also revealed that the </w:t>
      </w:r>
      <w:r w:rsidR="009153F0" w:rsidRPr="008B150B">
        <w:rPr>
          <w:rFonts w:ascii="Arial" w:hAnsi="Arial" w:cs="Arial"/>
          <w:sz w:val="20"/>
          <w:szCs w:val="20"/>
        </w:rPr>
        <w:t xml:space="preserve">total amount the average company paid in taxes </w:t>
      </w:r>
      <w:r w:rsidR="00247DB4" w:rsidRPr="00A57A1F">
        <w:rPr>
          <w:rFonts w:ascii="Arial" w:hAnsi="Arial" w:cs="Arial"/>
          <w:sz w:val="20"/>
          <w:szCs w:val="20"/>
        </w:rPr>
        <w:t xml:space="preserve">and the number of payments it </w:t>
      </w:r>
      <w:r w:rsidR="009153F0" w:rsidRPr="00A57A1F">
        <w:rPr>
          <w:rFonts w:ascii="Arial" w:hAnsi="Arial" w:cs="Arial"/>
          <w:sz w:val="20"/>
          <w:szCs w:val="20"/>
        </w:rPr>
        <w:t xml:space="preserve">made </w:t>
      </w:r>
      <w:r w:rsidR="000310D7">
        <w:rPr>
          <w:rFonts w:ascii="Arial" w:hAnsi="Arial" w:cs="Arial"/>
          <w:sz w:val="20"/>
          <w:szCs w:val="20"/>
        </w:rPr>
        <w:t xml:space="preserve">also </w:t>
      </w:r>
      <w:r w:rsidR="00247DB4" w:rsidRPr="00A57A1F">
        <w:rPr>
          <w:rFonts w:ascii="Arial" w:hAnsi="Arial" w:cs="Arial"/>
          <w:sz w:val="20"/>
          <w:szCs w:val="20"/>
        </w:rPr>
        <w:t>declined</w:t>
      </w:r>
      <w:r w:rsidR="000310D7">
        <w:rPr>
          <w:rFonts w:ascii="Arial" w:hAnsi="Arial" w:cs="Arial"/>
          <w:sz w:val="20"/>
          <w:szCs w:val="20"/>
        </w:rPr>
        <w:t xml:space="preserve"> in the past year</w:t>
      </w:r>
      <w:r w:rsidR="00247DB4" w:rsidRPr="00A57A1F">
        <w:rPr>
          <w:rFonts w:ascii="Arial" w:hAnsi="Arial" w:cs="Arial"/>
          <w:sz w:val="20"/>
          <w:szCs w:val="20"/>
        </w:rPr>
        <w:t>.</w:t>
      </w:r>
      <w:r w:rsidR="000310D7">
        <w:rPr>
          <w:rFonts w:ascii="Arial" w:hAnsi="Arial" w:cs="Arial"/>
          <w:sz w:val="20"/>
          <w:szCs w:val="20"/>
        </w:rPr>
        <w:t xml:space="preserve"> This is a trend seen every year over the ten year period covered by the publication. </w:t>
      </w:r>
      <w:r w:rsidR="00247DB4" w:rsidRPr="00A57A1F">
        <w:rPr>
          <w:rFonts w:ascii="Arial" w:hAnsi="Arial" w:cs="Arial"/>
          <w:sz w:val="20"/>
          <w:szCs w:val="20"/>
        </w:rPr>
        <w:t xml:space="preserve"> </w:t>
      </w:r>
    </w:p>
    <w:p w:rsidR="009771F6" w:rsidRPr="00A57A1F" w:rsidRDefault="009771F6" w:rsidP="009771F6">
      <w:pPr>
        <w:pStyle w:val="NormalWeb"/>
        <w:tabs>
          <w:tab w:val="left" w:pos="1890"/>
        </w:tabs>
        <w:spacing w:before="0" w:beforeAutospacing="0" w:after="0" w:afterAutospacing="0"/>
        <w:ind w:right="360"/>
        <w:jc w:val="both"/>
        <w:rPr>
          <w:rFonts w:ascii="Arial" w:hAnsi="Arial" w:cs="Arial"/>
          <w:sz w:val="20"/>
          <w:szCs w:val="20"/>
        </w:rPr>
      </w:pPr>
    </w:p>
    <w:p w:rsidR="00F05AA0" w:rsidRDefault="009153F0" w:rsidP="009771F6">
      <w:pPr>
        <w:pStyle w:val="NormalWeb"/>
        <w:spacing w:before="0" w:beforeAutospacing="0" w:after="0" w:afterAutospacing="0"/>
        <w:ind w:right="360"/>
        <w:jc w:val="both"/>
        <w:rPr>
          <w:rFonts w:ascii="Arial" w:hAnsi="Arial" w:cs="Arial"/>
          <w:sz w:val="20"/>
          <w:szCs w:val="20"/>
        </w:rPr>
      </w:pPr>
      <w:r w:rsidRPr="008B150B">
        <w:rPr>
          <w:rFonts w:ascii="Arial" w:hAnsi="Arial" w:cs="Arial"/>
          <w:sz w:val="20"/>
          <w:szCs w:val="20"/>
        </w:rPr>
        <w:t xml:space="preserve">The </w:t>
      </w:r>
      <w:r w:rsidRPr="00A57A1F">
        <w:rPr>
          <w:rFonts w:ascii="Arial" w:hAnsi="Arial" w:cs="Arial"/>
          <w:i/>
          <w:iCs/>
          <w:sz w:val="20"/>
          <w:szCs w:val="20"/>
        </w:rPr>
        <w:t>Paying Taxes 2015</w:t>
      </w:r>
      <w:r w:rsidRPr="00A57A1F">
        <w:rPr>
          <w:rFonts w:ascii="Arial" w:hAnsi="Arial" w:cs="Arial"/>
          <w:sz w:val="20"/>
          <w:szCs w:val="20"/>
        </w:rPr>
        <w:t xml:space="preserve"> report </w:t>
      </w:r>
      <w:r w:rsidR="009A58AE">
        <w:rPr>
          <w:rFonts w:ascii="Arial" w:hAnsi="Arial" w:cs="Arial"/>
          <w:sz w:val="20"/>
          <w:szCs w:val="20"/>
        </w:rPr>
        <w:t xml:space="preserve">finds </w:t>
      </w:r>
      <w:r w:rsidRPr="008B150B">
        <w:rPr>
          <w:rFonts w:ascii="Arial" w:hAnsi="Arial" w:cs="Arial"/>
          <w:sz w:val="20"/>
          <w:szCs w:val="20"/>
        </w:rPr>
        <w:t>that on average</w:t>
      </w:r>
      <w:r w:rsidRPr="00A57A1F">
        <w:rPr>
          <w:rFonts w:ascii="Arial" w:hAnsi="Arial" w:cs="Arial"/>
          <w:sz w:val="20"/>
          <w:szCs w:val="20"/>
        </w:rPr>
        <w:t xml:space="preserve">, the </w:t>
      </w:r>
      <w:r w:rsidR="00E906C4">
        <w:rPr>
          <w:rFonts w:ascii="Arial" w:hAnsi="Arial" w:cs="Arial"/>
          <w:sz w:val="20"/>
          <w:szCs w:val="20"/>
        </w:rPr>
        <w:t>standard</w:t>
      </w:r>
      <w:r w:rsidRPr="00A57A1F">
        <w:rPr>
          <w:rFonts w:ascii="Arial" w:hAnsi="Arial" w:cs="Arial"/>
          <w:sz w:val="20"/>
          <w:szCs w:val="20"/>
        </w:rPr>
        <w:t xml:space="preserve"> company </w:t>
      </w:r>
      <w:r w:rsidR="00E906C4">
        <w:rPr>
          <w:rFonts w:ascii="Arial" w:hAnsi="Arial" w:cs="Arial"/>
          <w:sz w:val="20"/>
          <w:szCs w:val="20"/>
        </w:rPr>
        <w:t xml:space="preserve">studied </w:t>
      </w:r>
      <w:r w:rsidRPr="00A57A1F">
        <w:rPr>
          <w:rFonts w:ascii="Arial" w:hAnsi="Arial" w:cs="Arial"/>
          <w:sz w:val="20"/>
          <w:szCs w:val="20"/>
        </w:rPr>
        <w:t xml:space="preserve">has a </w:t>
      </w:r>
      <w:r w:rsidR="00E906C4">
        <w:rPr>
          <w:rFonts w:ascii="Arial" w:hAnsi="Arial" w:cs="Arial"/>
          <w:sz w:val="20"/>
          <w:szCs w:val="20"/>
        </w:rPr>
        <w:t>t</w:t>
      </w:r>
      <w:r w:rsidRPr="00A57A1F">
        <w:rPr>
          <w:rFonts w:ascii="Arial" w:hAnsi="Arial" w:cs="Arial"/>
          <w:sz w:val="20"/>
          <w:szCs w:val="20"/>
        </w:rPr>
        <w:t xml:space="preserve">otal </w:t>
      </w:r>
      <w:r w:rsidR="00E906C4">
        <w:rPr>
          <w:rFonts w:ascii="Arial" w:hAnsi="Arial" w:cs="Arial"/>
          <w:sz w:val="20"/>
          <w:szCs w:val="20"/>
        </w:rPr>
        <w:t>t</w:t>
      </w:r>
      <w:r w:rsidRPr="00A57A1F">
        <w:rPr>
          <w:rFonts w:ascii="Arial" w:hAnsi="Arial" w:cs="Arial"/>
          <w:sz w:val="20"/>
          <w:szCs w:val="20"/>
        </w:rPr>
        <w:t xml:space="preserve">ax </w:t>
      </w:r>
      <w:r w:rsidR="00E906C4">
        <w:rPr>
          <w:rFonts w:ascii="Arial" w:hAnsi="Arial" w:cs="Arial"/>
          <w:sz w:val="20"/>
          <w:szCs w:val="20"/>
        </w:rPr>
        <w:t>r</w:t>
      </w:r>
      <w:r w:rsidRPr="00A57A1F">
        <w:rPr>
          <w:rFonts w:ascii="Arial" w:hAnsi="Arial" w:cs="Arial"/>
          <w:sz w:val="20"/>
          <w:szCs w:val="20"/>
        </w:rPr>
        <w:t>ate</w:t>
      </w:r>
      <w:r w:rsidR="00E906C4">
        <w:rPr>
          <w:rFonts w:ascii="Arial" w:hAnsi="Arial" w:cs="Arial"/>
          <w:sz w:val="20"/>
          <w:szCs w:val="20"/>
        </w:rPr>
        <w:t xml:space="preserve"> (as defined under the </w:t>
      </w:r>
      <w:r w:rsidR="00E906C4">
        <w:rPr>
          <w:rFonts w:ascii="Arial" w:hAnsi="Arial" w:cs="Arial"/>
          <w:i/>
          <w:sz w:val="20"/>
          <w:szCs w:val="20"/>
        </w:rPr>
        <w:t xml:space="preserve">Doing Business </w:t>
      </w:r>
      <w:r w:rsidR="00E906C4">
        <w:rPr>
          <w:rFonts w:ascii="Arial" w:hAnsi="Arial" w:cs="Arial"/>
          <w:sz w:val="20"/>
          <w:szCs w:val="20"/>
        </w:rPr>
        <w:t>methodology)</w:t>
      </w:r>
      <w:r w:rsidRPr="00A57A1F">
        <w:rPr>
          <w:rFonts w:ascii="Arial" w:hAnsi="Arial" w:cs="Arial"/>
          <w:sz w:val="20"/>
          <w:szCs w:val="20"/>
        </w:rPr>
        <w:t xml:space="preserve"> of 40.9 percent of </w:t>
      </w:r>
      <w:r w:rsidR="008A2C47">
        <w:rPr>
          <w:rFonts w:ascii="Arial" w:hAnsi="Arial" w:cs="Arial"/>
          <w:sz w:val="20"/>
          <w:szCs w:val="20"/>
        </w:rPr>
        <w:t xml:space="preserve">commercial </w:t>
      </w:r>
      <w:r w:rsidRPr="00A57A1F">
        <w:rPr>
          <w:rFonts w:ascii="Arial" w:hAnsi="Arial" w:cs="Arial"/>
          <w:sz w:val="20"/>
          <w:szCs w:val="20"/>
        </w:rPr>
        <w:t>profits. It makes 25.9 tax payments per year and takes 264 hours to comply with its tax requirements. Over the ten years of the study, 7</w:t>
      </w:r>
      <w:r w:rsidR="00F05AA0" w:rsidRPr="00A57A1F">
        <w:rPr>
          <w:rFonts w:ascii="Arial" w:hAnsi="Arial" w:cs="Arial"/>
          <w:sz w:val="20"/>
          <w:szCs w:val="20"/>
        </w:rPr>
        <w:t>8</w:t>
      </w:r>
      <w:r w:rsidR="004F3F1D">
        <w:rPr>
          <w:rFonts w:ascii="Arial" w:hAnsi="Arial" w:cs="Arial"/>
          <w:sz w:val="20"/>
          <w:szCs w:val="20"/>
        </w:rPr>
        <w:t xml:space="preserve"> percent</w:t>
      </w:r>
      <w:r w:rsidRPr="00A57A1F">
        <w:rPr>
          <w:rFonts w:ascii="Arial" w:hAnsi="Arial" w:cs="Arial"/>
          <w:sz w:val="20"/>
          <w:szCs w:val="20"/>
        </w:rPr>
        <w:t xml:space="preserve"> of the </w:t>
      </w:r>
      <w:r w:rsidR="00F05AA0" w:rsidRPr="00A57A1F">
        <w:rPr>
          <w:rFonts w:ascii="Arial" w:hAnsi="Arial" w:cs="Arial"/>
          <w:sz w:val="20"/>
          <w:szCs w:val="20"/>
        </w:rPr>
        <w:t xml:space="preserve">189 </w:t>
      </w:r>
      <w:r w:rsidRPr="00A57A1F">
        <w:rPr>
          <w:rFonts w:ascii="Arial" w:hAnsi="Arial" w:cs="Arial"/>
          <w:sz w:val="20"/>
          <w:szCs w:val="20"/>
        </w:rPr>
        <w:t xml:space="preserve">economies covered in the report </w:t>
      </w:r>
      <w:r w:rsidR="00E906C4">
        <w:rPr>
          <w:rFonts w:ascii="Arial" w:hAnsi="Arial" w:cs="Arial"/>
          <w:sz w:val="20"/>
          <w:szCs w:val="20"/>
        </w:rPr>
        <w:t xml:space="preserve">have </w:t>
      </w:r>
      <w:r w:rsidR="00F05AA0" w:rsidRPr="00A57A1F">
        <w:rPr>
          <w:rFonts w:ascii="Arial" w:hAnsi="Arial" w:cs="Arial"/>
          <w:sz w:val="20"/>
          <w:szCs w:val="20"/>
        </w:rPr>
        <w:t>made significant changes to their tax regimes</w:t>
      </w:r>
      <w:r w:rsidR="00760B2D">
        <w:rPr>
          <w:rFonts w:ascii="Arial" w:hAnsi="Arial" w:cs="Arial"/>
          <w:sz w:val="20"/>
          <w:szCs w:val="20"/>
        </w:rPr>
        <w:t xml:space="preserve"> at least once</w:t>
      </w:r>
      <w:r w:rsidR="00F05AA0" w:rsidRPr="00A57A1F">
        <w:rPr>
          <w:rFonts w:ascii="Arial" w:hAnsi="Arial" w:cs="Arial"/>
          <w:sz w:val="20"/>
          <w:szCs w:val="20"/>
        </w:rPr>
        <w:t xml:space="preserve">. </w:t>
      </w:r>
      <w:r w:rsidR="008A2C47">
        <w:rPr>
          <w:rFonts w:ascii="Arial" w:hAnsi="Arial" w:cs="Arial"/>
          <w:sz w:val="20"/>
          <w:szCs w:val="20"/>
        </w:rPr>
        <w:t>The t</w:t>
      </w:r>
      <w:r w:rsidR="00E906C4">
        <w:rPr>
          <w:rFonts w:ascii="Arial" w:hAnsi="Arial" w:cs="Arial"/>
          <w:sz w:val="20"/>
          <w:szCs w:val="20"/>
        </w:rPr>
        <w:t xml:space="preserve">ime and </w:t>
      </w:r>
      <w:r w:rsidR="008A2C47">
        <w:rPr>
          <w:rFonts w:ascii="Arial" w:hAnsi="Arial" w:cs="Arial"/>
          <w:sz w:val="20"/>
          <w:szCs w:val="20"/>
        </w:rPr>
        <w:t xml:space="preserve">the </w:t>
      </w:r>
      <w:r w:rsidR="00E906C4">
        <w:rPr>
          <w:rFonts w:ascii="Arial" w:hAnsi="Arial" w:cs="Arial"/>
          <w:sz w:val="20"/>
          <w:szCs w:val="20"/>
        </w:rPr>
        <w:t>number of payments required to comply with tax obligations have fallen</w:t>
      </w:r>
      <w:r w:rsidRPr="00A57A1F">
        <w:rPr>
          <w:rFonts w:ascii="Arial" w:hAnsi="Arial" w:cs="Arial"/>
          <w:sz w:val="20"/>
          <w:szCs w:val="20"/>
        </w:rPr>
        <w:t xml:space="preserve"> </w:t>
      </w:r>
      <w:r w:rsidR="00F05AA0" w:rsidRPr="00A57A1F">
        <w:rPr>
          <w:rFonts w:ascii="Arial" w:hAnsi="Arial" w:cs="Arial"/>
          <w:sz w:val="20"/>
          <w:szCs w:val="20"/>
        </w:rPr>
        <w:t>over the ten</w:t>
      </w:r>
      <w:r w:rsidR="00E906C4">
        <w:rPr>
          <w:rFonts w:ascii="Arial" w:hAnsi="Arial" w:cs="Arial"/>
          <w:sz w:val="20"/>
          <w:szCs w:val="20"/>
        </w:rPr>
        <w:t>-</w:t>
      </w:r>
      <w:r w:rsidR="00F05AA0" w:rsidRPr="00A57A1F">
        <w:rPr>
          <w:rFonts w:ascii="Arial" w:hAnsi="Arial" w:cs="Arial"/>
          <w:sz w:val="20"/>
          <w:szCs w:val="20"/>
        </w:rPr>
        <w:t>year period</w:t>
      </w:r>
      <w:r w:rsidR="00E906C4">
        <w:rPr>
          <w:rFonts w:ascii="Arial" w:hAnsi="Arial" w:cs="Arial"/>
          <w:sz w:val="20"/>
          <w:szCs w:val="20"/>
        </w:rPr>
        <w:t>, as has the average total tax rate</w:t>
      </w:r>
      <w:r w:rsidRPr="00A57A1F">
        <w:rPr>
          <w:rFonts w:ascii="Arial" w:hAnsi="Arial" w:cs="Arial"/>
          <w:sz w:val="20"/>
          <w:szCs w:val="20"/>
        </w:rPr>
        <w:t xml:space="preserve">. </w:t>
      </w:r>
      <w:r w:rsidR="00F05AA0" w:rsidRPr="00A57A1F">
        <w:rPr>
          <w:rFonts w:ascii="Arial" w:hAnsi="Arial" w:cs="Arial"/>
          <w:sz w:val="20"/>
          <w:szCs w:val="20"/>
        </w:rPr>
        <w:t xml:space="preserve">The fastest rate of decline for the </w:t>
      </w:r>
      <w:r w:rsidR="00E906C4">
        <w:rPr>
          <w:rFonts w:ascii="Arial" w:hAnsi="Arial" w:cs="Arial"/>
          <w:sz w:val="20"/>
          <w:szCs w:val="20"/>
        </w:rPr>
        <w:t>t</w:t>
      </w:r>
      <w:r w:rsidR="00F05AA0" w:rsidRPr="00A57A1F">
        <w:rPr>
          <w:rFonts w:ascii="Arial" w:hAnsi="Arial" w:cs="Arial"/>
          <w:sz w:val="20"/>
          <w:szCs w:val="20"/>
        </w:rPr>
        <w:t xml:space="preserve">otal </w:t>
      </w:r>
      <w:r w:rsidR="00E906C4">
        <w:rPr>
          <w:rFonts w:ascii="Arial" w:hAnsi="Arial" w:cs="Arial"/>
          <w:sz w:val="20"/>
          <w:szCs w:val="20"/>
        </w:rPr>
        <w:t>t</w:t>
      </w:r>
      <w:r w:rsidR="00F05AA0" w:rsidRPr="00A57A1F">
        <w:rPr>
          <w:rFonts w:ascii="Arial" w:hAnsi="Arial" w:cs="Arial"/>
          <w:sz w:val="20"/>
          <w:szCs w:val="20"/>
        </w:rPr>
        <w:t xml:space="preserve">ax </w:t>
      </w:r>
      <w:r w:rsidR="00E906C4">
        <w:rPr>
          <w:rFonts w:ascii="Arial" w:hAnsi="Arial" w:cs="Arial"/>
          <w:sz w:val="20"/>
          <w:szCs w:val="20"/>
        </w:rPr>
        <w:t>r</w:t>
      </w:r>
      <w:r w:rsidR="00F05AA0" w:rsidRPr="00A57A1F">
        <w:rPr>
          <w:rFonts w:ascii="Arial" w:hAnsi="Arial" w:cs="Arial"/>
          <w:sz w:val="20"/>
          <w:szCs w:val="20"/>
        </w:rPr>
        <w:t xml:space="preserve">ate occurred during the financial crisis from 2008-2010 with an average decline of 1.8 percentage points per year during that period.  The rate of decline then started slowing in 2011.  </w:t>
      </w:r>
    </w:p>
    <w:p w:rsidR="009771F6" w:rsidRPr="00A57A1F" w:rsidRDefault="009771F6" w:rsidP="009771F6">
      <w:pPr>
        <w:pStyle w:val="NormalWeb"/>
        <w:spacing w:before="0" w:beforeAutospacing="0" w:after="0" w:afterAutospacing="0"/>
        <w:ind w:right="360"/>
        <w:jc w:val="both"/>
        <w:rPr>
          <w:rFonts w:ascii="Arial" w:hAnsi="Arial" w:cs="Arial"/>
          <w:sz w:val="20"/>
          <w:szCs w:val="20"/>
        </w:rPr>
      </w:pPr>
    </w:p>
    <w:p w:rsidR="009153F0" w:rsidRDefault="00F05AA0" w:rsidP="009771F6">
      <w:pPr>
        <w:pStyle w:val="NormalWeb"/>
        <w:spacing w:before="0" w:beforeAutospacing="0" w:after="0" w:afterAutospacing="0"/>
        <w:ind w:right="360"/>
        <w:jc w:val="both"/>
        <w:rPr>
          <w:rFonts w:ascii="Arial" w:hAnsi="Arial" w:cs="Arial"/>
          <w:sz w:val="20"/>
          <w:szCs w:val="20"/>
        </w:rPr>
      </w:pPr>
      <w:r w:rsidRPr="00A57A1F">
        <w:rPr>
          <w:rFonts w:ascii="Arial" w:hAnsi="Arial" w:cs="Arial"/>
          <w:sz w:val="20"/>
          <w:szCs w:val="20"/>
        </w:rPr>
        <w:t xml:space="preserve">The average time it takes a medium size company to deal with its tax submissions has fallen by a total of nearly a week and a half over the ten years of the study;  reflecting the </w:t>
      </w:r>
      <w:r w:rsidR="00E906C4">
        <w:rPr>
          <w:rFonts w:ascii="Arial" w:hAnsi="Arial" w:cs="Arial"/>
          <w:sz w:val="20"/>
          <w:szCs w:val="20"/>
        </w:rPr>
        <w:t xml:space="preserve">increased </w:t>
      </w:r>
      <w:r w:rsidRPr="00A57A1F">
        <w:rPr>
          <w:rFonts w:ascii="Arial" w:hAnsi="Arial" w:cs="Arial"/>
          <w:sz w:val="20"/>
          <w:szCs w:val="20"/>
        </w:rPr>
        <w:t>use of electronic filing and payment systems</w:t>
      </w:r>
      <w:r w:rsidR="008C629D">
        <w:rPr>
          <w:rFonts w:ascii="Arial" w:hAnsi="Arial" w:cs="Arial"/>
          <w:sz w:val="20"/>
          <w:szCs w:val="20"/>
        </w:rPr>
        <w:t xml:space="preserve"> </w:t>
      </w:r>
      <w:r w:rsidRPr="00A57A1F">
        <w:rPr>
          <w:rFonts w:ascii="Arial" w:hAnsi="Arial" w:cs="Arial"/>
          <w:sz w:val="20"/>
          <w:szCs w:val="20"/>
        </w:rPr>
        <w:t>around the world.</w:t>
      </w:r>
      <w:r w:rsidR="00FD6075" w:rsidRPr="00A57A1F">
        <w:rPr>
          <w:rFonts w:ascii="Arial" w:hAnsi="Arial" w:cs="Arial"/>
          <w:sz w:val="20"/>
          <w:szCs w:val="20"/>
        </w:rPr>
        <w:t xml:space="preserve"> Of the 379 tax reforms recorded in </w:t>
      </w:r>
      <w:r w:rsidR="00FD6075" w:rsidRPr="00A57A1F">
        <w:rPr>
          <w:rFonts w:ascii="Arial" w:hAnsi="Arial" w:cs="Arial"/>
          <w:i/>
          <w:sz w:val="20"/>
          <w:szCs w:val="20"/>
        </w:rPr>
        <w:t>Paying Taxes</w:t>
      </w:r>
      <w:r w:rsidR="00FD6075" w:rsidRPr="00A57A1F">
        <w:rPr>
          <w:rFonts w:ascii="Arial" w:hAnsi="Arial" w:cs="Arial"/>
          <w:sz w:val="20"/>
          <w:szCs w:val="20"/>
        </w:rPr>
        <w:t xml:space="preserve"> reports since 2004, 105 relate to electronic filing</w:t>
      </w:r>
      <w:r w:rsidR="00E906C4">
        <w:rPr>
          <w:rFonts w:ascii="Arial" w:hAnsi="Arial" w:cs="Arial"/>
          <w:sz w:val="20"/>
          <w:szCs w:val="20"/>
        </w:rPr>
        <w:t>.</w:t>
      </w:r>
      <w:r w:rsidRPr="00A57A1F">
        <w:rPr>
          <w:rFonts w:ascii="Arial" w:hAnsi="Arial" w:cs="Arial"/>
          <w:sz w:val="20"/>
          <w:szCs w:val="20"/>
        </w:rPr>
        <w:t xml:space="preserve"> </w:t>
      </w:r>
    </w:p>
    <w:p w:rsidR="009771F6" w:rsidRPr="00A57A1F" w:rsidRDefault="009771F6" w:rsidP="009771F6">
      <w:pPr>
        <w:pStyle w:val="NormalWeb"/>
        <w:spacing w:before="0" w:beforeAutospacing="0" w:after="0" w:afterAutospacing="0"/>
        <w:ind w:right="360"/>
        <w:jc w:val="both"/>
        <w:rPr>
          <w:rFonts w:ascii="Arial" w:hAnsi="Arial" w:cs="Arial"/>
          <w:sz w:val="20"/>
          <w:szCs w:val="20"/>
        </w:rPr>
      </w:pPr>
    </w:p>
    <w:p w:rsidR="00D776DF" w:rsidRDefault="008F71E4" w:rsidP="009771F6">
      <w:pPr>
        <w:pStyle w:val="NormalWeb"/>
        <w:spacing w:before="0" w:beforeAutospacing="0" w:after="0" w:afterAutospacing="0"/>
        <w:ind w:right="360"/>
        <w:jc w:val="both"/>
        <w:rPr>
          <w:rFonts w:ascii="Arial" w:hAnsi="Arial" w:cs="Arial"/>
          <w:sz w:val="20"/>
          <w:szCs w:val="20"/>
        </w:rPr>
      </w:pPr>
      <w:r w:rsidRPr="00A57A1F">
        <w:rPr>
          <w:rFonts w:ascii="Arial" w:hAnsi="Arial" w:cs="Arial"/>
          <w:sz w:val="20"/>
          <w:szCs w:val="20"/>
        </w:rPr>
        <w:t xml:space="preserve">For the first time since the </w:t>
      </w:r>
      <w:r w:rsidRPr="00A57A1F">
        <w:rPr>
          <w:rFonts w:ascii="Arial" w:hAnsi="Arial" w:cs="Arial"/>
          <w:i/>
          <w:iCs/>
          <w:sz w:val="20"/>
          <w:szCs w:val="20"/>
        </w:rPr>
        <w:t>Doing Business</w:t>
      </w:r>
      <w:r w:rsidRPr="00A57A1F">
        <w:rPr>
          <w:rFonts w:ascii="Arial" w:hAnsi="Arial" w:cs="Arial"/>
          <w:sz w:val="20"/>
          <w:szCs w:val="20"/>
        </w:rPr>
        <w:t xml:space="preserve"> publication was introduced, a second city is measured in the 11 economies with more than 100 million inhabitants. The eleven economies are: Bangladesh, Brazil, China, India, Indonesia, Japan, Mexico, Nigeria, Pakistan, the Russian Federation, and the United States. In the United States, where the report was launched today, Los Angeles and New York cities are included </w:t>
      </w:r>
      <w:r w:rsidRPr="008C629D">
        <w:rPr>
          <w:rFonts w:ascii="Arial" w:hAnsi="Arial" w:cs="Arial"/>
          <w:sz w:val="20"/>
          <w:szCs w:val="20"/>
        </w:rPr>
        <w:t xml:space="preserve">in the analysis enabling subnational comparison. </w:t>
      </w:r>
    </w:p>
    <w:p w:rsidR="009771F6" w:rsidRPr="008C629D" w:rsidRDefault="009771F6" w:rsidP="009771F6">
      <w:pPr>
        <w:pStyle w:val="NormalWeb"/>
        <w:spacing w:before="0" w:beforeAutospacing="0" w:after="0" w:afterAutospacing="0"/>
        <w:ind w:right="360"/>
        <w:jc w:val="both"/>
        <w:rPr>
          <w:rFonts w:ascii="Arial" w:hAnsi="Arial" w:cs="Arial"/>
          <w:sz w:val="20"/>
          <w:szCs w:val="20"/>
        </w:rPr>
      </w:pPr>
    </w:p>
    <w:p w:rsidR="009A7964" w:rsidRDefault="00C97A6F" w:rsidP="009771F6">
      <w:pPr>
        <w:pStyle w:val="NormalWeb"/>
        <w:spacing w:before="0" w:beforeAutospacing="0" w:after="0" w:afterAutospacing="0"/>
        <w:ind w:right="360"/>
        <w:jc w:val="both"/>
        <w:rPr>
          <w:rFonts w:ascii="Arial" w:hAnsi="Arial" w:cs="Arial"/>
          <w:i/>
          <w:color w:val="000000"/>
          <w:sz w:val="20"/>
          <w:szCs w:val="20"/>
        </w:rPr>
      </w:pPr>
      <w:r w:rsidRPr="009A58AE">
        <w:rPr>
          <w:rFonts w:ascii="Arial" w:hAnsi="Arial" w:cs="Arial"/>
          <w:i/>
          <w:color w:val="000000"/>
          <w:sz w:val="20"/>
          <w:szCs w:val="20"/>
        </w:rPr>
        <w:t xml:space="preserve">"Taxes provide the sustainable funding needed for social programs and to promote economic growth. </w:t>
      </w:r>
      <w:r w:rsidR="009A7964" w:rsidRPr="009A58AE">
        <w:rPr>
          <w:rFonts w:ascii="Arial" w:hAnsi="Arial" w:cs="Arial"/>
          <w:i/>
          <w:color w:val="000000"/>
          <w:sz w:val="20"/>
          <w:szCs w:val="20"/>
        </w:rPr>
        <w:t xml:space="preserve">Policymakers need to find the right balance </w:t>
      </w:r>
      <w:r w:rsidR="001F290B" w:rsidRPr="009A58AE">
        <w:rPr>
          <w:rFonts w:ascii="Arial" w:hAnsi="Arial" w:cs="Arial"/>
          <w:i/>
          <w:color w:val="000000"/>
          <w:sz w:val="20"/>
          <w:szCs w:val="20"/>
        </w:rPr>
        <w:t xml:space="preserve">between </w:t>
      </w:r>
      <w:r w:rsidR="009A7964" w:rsidRPr="009A58AE">
        <w:rPr>
          <w:rFonts w:ascii="Arial" w:hAnsi="Arial" w:cs="Arial"/>
          <w:i/>
          <w:color w:val="000000"/>
          <w:sz w:val="20"/>
          <w:szCs w:val="20"/>
        </w:rPr>
        <w:t>raising revenue and ensuring that tax rates and the burden of compliance do not deter participation or discourage business activity,”</w:t>
      </w:r>
      <w:r w:rsidR="009A7964" w:rsidRPr="008C629D">
        <w:rPr>
          <w:rFonts w:ascii="Arial" w:hAnsi="Arial" w:cs="Arial"/>
          <w:color w:val="000000"/>
          <w:sz w:val="20"/>
          <w:szCs w:val="20"/>
        </w:rPr>
        <w:t xml:space="preserve"> said </w:t>
      </w:r>
      <w:r w:rsidR="009A7964" w:rsidRPr="000F271A">
        <w:rPr>
          <w:rFonts w:ascii="Arial" w:hAnsi="Arial" w:cs="Arial"/>
          <w:b/>
          <w:color w:val="000000"/>
          <w:sz w:val="20"/>
          <w:szCs w:val="20"/>
        </w:rPr>
        <w:t>Augusto Lopez</w:t>
      </w:r>
      <w:r w:rsidR="005F3AF3" w:rsidRPr="000F271A">
        <w:rPr>
          <w:rFonts w:ascii="Arial" w:hAnsi="Arial" w:cs="Arial"/>
          <w:b/>
          <w:color w:val="000000"/>
          <w:sz w:val="20"/>
          <w:szCs w:val="20"/>
        </w:rPr>
        <w:t>-</w:t>
      </w:r>
      <w:r w:rsidR="009A7964" w:rsidRPr="000F271A">
        <w:rPr>
          <w:rFonts w:ascii="Arial" w:hAnsi="Arial" w:cs="Arial"/>
          <w:b/>
          <w:color w:val="000000"/>
          <w:sz w:val="20"/>
          <w:szCs w:val="20"/>
        </w:rPr>
        <w:t xml:space="preserve">Claros, Director, Global Indicators </w:t>
      </w:r>
      <w:r w:rsidR="008B150B" w:rsidRPr="000F271A">
        <w:rPr>
          <w:rFonts w:ascii="Arial" w:hAnsi="Arial" w:cs="Arial"/>
          <w:b/>
          <w:color w:val="000000"/>
          <w:sz w:val="20"/>
          <w:szCs w:val="20"/>
        </w:rPr>
        <w:t>Group</w:t>
      </w:r>
      <w:r w:rsidR="009A7964" w:rsidRPr="000F271A">
        <w:rPr>
          <w:rFonts w:ascii="Arial" w:hAnsi="Arial" w:cs="Arial"/>
          <w:b/>
          <w:color w:val="000000"/>
          <w:sz w:val="20"/>
          <w:szCs w:val="20"/>
        </w:rPr>
        <w:t xml:space="preserve">, </w:t>
      </w:r>
      <w:r w:rsidR="008B150B" w:rsidRPr="000F271A">
        <w:rPr>
          <w:rFonts w:ascii="Arial" w:hAnsi="Arial" w:cs="Arial"/>
          <w:b/>
          <w:color w:val="000000"/>
          <w:sz w:val="20"/>
          <w:szCs w:val="20"/>
        </w:rPr>
        <w:t xml:space="preserve">Development Economics, </w:t>
      </w:r>
      <w:r w:rsidR="009A7964" w:rsidRPr="000F271A">
        <w:rPr>
          <w:rFonts w:ascii="Arial" w:hAnsi="Arial" w:cs="Arial"/>
          <w:b/>
          <w:color w:val="000000"/>
          <w:sz w:val="20"/>
          <w:szCs w:val="20"/>
        </w:rPr>
        <w:t>World Bank Group</w:t>
      </w:r>
      <w:r w:rsidR="009A7964" w:rsidRPr="008C629D">
        <w:rPr>
          <w:rFonts w:ascii="Arial" w:hAnsi="Arial" w:cs="Arial"/>
          <w:color w:val="000000"/>
          <w:sz w:val="20"/>
          <w:szCs w:val="20"/>
        </w:rPr>
        <w:t>.</w:t>
      </w:r>
      <w:r w:rsidR="009A7964" w:rsidRPr="008C629D">
        <w:rPr>
          <w:rFonts w:ascii="Arial" w:hAnsi="Arial" w:cs="Arial"/>
          <w:b/>
          <w:bCs/>
          <w:color w:val="000000"/>
          <w:sz w:val="20"/>
          <w:szCs w:val="20"/>
        </w:rPr>
        <w:t xml:space="preserve"> </w:t>
      </w:r>
      <w:r w:rsidR="009A7964" w:rsidRPr="009A58AE">
        <w:rPr>
          <w:rFonts w:ascii="Arial" w:hAnsi="Arial" w:cs="Arial"/>
          <w:b/>
          <w:bCs/>
          <w:i/>
          <w:color w:val="000000"/>
          <w:sz w:val="20"/>
          <w:szCs w:val="20"/>
        </w:rPr>
        <w:t>“</w:t>
      </w:r>
      <w:r w:rsidR="009A7964" w:rsidRPr="009A58AE">
        <w:rPr>
          <w:rFonts w:ascii="Arial" w:hAnsi="Arial" w:cs="Arial"/>
          <w:bCs/>
          <w:i/>
          <w:color w:val="000000"/>
          <w:sz w:val="20"/>
          <w:szCs w:val="20"/>
        </w:rPr>
        <w:t xml:space="preserve">During economic downturns, this balancing act is intensified; </w:t>
      </w:r>
      <w:r w:rsidR="009A7964" w:rsidRPr="009A58AE">
        <w:rPr>
          <w:rFonts w:ascii="Arial" w:hAnsi="Arial" w:cs="Arial"/>
          <w:i/>
          <w:color w:val="000000"/>
          <w:sz w:val="20"/>
          <w:szCs w:val="20"/>
        </w:rPr>
        <w:t>some public spending</w:t>
      </w:r>
      <w:r w:rsidR="00C332F4" w:rsidRPr="009A58AE">
        <w:rPr>
          <w:rFonts w:ascii="Arial" w:hAnsi="Arial" w:cs="Arial"/>
          <w:i/>
          <w:color w:val="000000"/>
          <w:sz w:val="20"/>
          <w:szCs w:val="20"/>
        </w:rPr>
        <w:t xml:space="preserve"> </w:t>
      </w:r>
      <w:r w:rsidR="009A7964" w:rsidRPr="009A58AE">
        <w:rPr>
          <w:rFonts w:ascii="Arial" w:hAnsi="Arial" w:cs="Arial"/>
          <w:i/>
          <w:color w:val="000000"/>
          <w:sz w:val="20"/>
          <w:szCs w:val="20"/>
        </w:rPr>
        <w:t>may increase, putting pressure on deficits, and governments may need to use tax policy as an economic stimulus.”</w:t>
      </w:r>
    </w:p>
    <w:p w:rsidR="009771F6" w:rsidRPr="009A58AE" w:rsidRDefault="009771F6" w:rsidP="009771F6">
      <w:pPr>
        <w:pStyle w:val="NormalWeb"/>
        <w:spacing w:before="0" w:beforeAutospacing="0" w:after="0" w:afterAutospacing="0"/>
        <w:ind w:right="360"/>
        <w:jc w:val="both"/>
        <w:rPr>
          <w:rFonts w:ascii="Arial" w:hAnsi="Arial" w:cs="Arial"/>
          <w:i/>
          <w:color w:val="000000"/>
          <w:sz w:val="20"/>
          <w:szCs w:val="20"/>
        </w:rPr>
      </w:pPr>
    </w:p>
    <w:p w:rsidR="004A3DB3" w:rsidRDefault="00494242" w:rsidP="009771F6">
      <w:pPr>
        <w:pStyle w:val="NormalWeb"/>
        <w:spacing w:before="0" w:beforeAutospacing="0" w:after="0" w:afterAutospacing="0"/>
        <w:ind w:right="360"/>
        <w:jc w:val="both"/>
        <w:rPr>
          <w:rFonts w:ascii="Arial" w:hAnsi="Arial" w:cs="Arial"/>
          <w:i/>
          <w:sz w:val="20"/>
          <w:szCs w:val="20"/>
        </w:rPr>
      </w:pPr>
      <w:r w:rsidRPr="009A58AE">
        <w:rPr>
          <w:rFonts w:ascii="Arial" w:hAnsi="Arial" w:cs="Arial"/>
          <w:i/>
          <w:sz w:val="20"/>
          <w:szCs w:val="20"/>
        </w:rPr>
        <w:t>“</w:t>
      </w:r>
      <w:r w:rsidR="00F06036" w:rsidRPr="009A58AE">
        <w:rPr>
          <w:rFonts w:ascii="Arial" w:hAnsi="Arial" w:cs="Arial"/>
          <w:i/>
          <w:sz w:val="20"/>
          <w:szCs w:val="20"/>
        </w:rPr>
        <w:t xml:space="preserve">The latest results from the Paying Taxes study show many economies are continuing to make progress in tax reform, but there is still a lot of scope </w:t>
      </w:r>
      <w:r w:rsidR="00D61604" w:rsidRPr="009A58AE">
        <w:rPr>
          <w:rFonts w:ascii="Arial" w:hAnsi="Arial" w:cs="Arial"/>
          <w:i/>
          <w:sz w:val="20"/>
          <w:szCs w:val="20"/>
        </w:rPr>
        <w:t>t</w:t>
      </w:r>
      <w:r w:rsidR="00F06036" w:rsidRPr="009A58AE">
        <w:rPr>
          <w:rFonts w:ascii="Arial" w:hAnsi="Arial" w:cs="Arial"/>
          <w:i/>
          <w:sz w:val="20"/>
          <w:szCs w:val="20"/>
        </w:rPr>
        <w:t>o streamline and simplify tax systems</w:t>
      </w:r>
      <w:r w:rsidR="008C05F1" w:rsidRPr="009A58AE">
        <w:rPr>
          <w:rFonts w:ascii="Arial" w:hAnsi="Arial" w:cs="Arial"/>
          <w:i/>
          <w:sz w:val="20"/>
          <w:szCs w:val="20"/>
        </w:rPr>
        <w:t xml:space="preserve">,” </w:t>
      </w:r>
      <w:r w:rsidR="008C05F1" w:rsidRPr="00A57A1F">
        <w:rPr>
          <w:rFonts w:ascii="Arial" w:hAnsi="Arial" w:cs="Arial"/>
          <w:sz w:val="20"/>
          <w:szCs w:val="20"/>
        </w:rPr>
        <w:t xml:space="preserve">said </w:t>
      </w:r>
      <w:r w:rsidR="008C05F1" w:rsidRPr="000F271A">
        <w:rPr>
          <w:rFonts w:ascii="Arial" w:hAnsi="Arial" w:cs="Arial"/>
          <w:b/>
          <w:sz w:val="20"/>
          <w:szCs w:val="20"/>
        </w:rPr>
        <w:t>Andrew Packman, leader for Tax Transparency and Total Tax Contribution at PwC</w:t>
      </w:r>
      <w:r w:rsidR="008C05F1" w:rsidRPr="00A57A1F">
        <w:rPr>
          <w:rFonts w:ascii="Arial" w:hAnsi="Arial" w:cs="Arial"/>
          <w:sz w:val="20"/>
          <w:szCs w:val="20"/>
        </w:rPr>
        <w:t>.</w:t>
      </w:r>
      <w:r w:rsidR="008C05F1" w:rsidRPr="00A57A1F">
        <w:rPr>
          <w:rFonts w:ascii="Arial" w:hAnsi="Arial" w:cs="Arial"/>
          <w:b/>
          <w:sz w:val="20"/>
          <w:szCs w:val="20"/>
        </w:rPr>
        <w:t xml:space="preserve"> </w:t>
      </w:r>
      <w:r w:rsidR="00F06036" w:rsidRPr="009A58AE">
        <w:rPr>
          <w:rFonts w:ascii="Arial" w:hAnsi="Arial" w:cs="Arial"/>
          <w:b/>
          <w:i/>
          <w:sz w:val="20"/>
          <w:szCs w:val="20"/>
        </w:rPr>
        <w:t>“</w:t>
      </w:r>
      <w:r w:rsidR="00F06036" w:rsidRPr="009A58AE">
        <w:rPr>
          <w:rFonts w:ascii="Arial" w:hAnsi="Arial" w:cs="Arial"/>
          <w:i/>
          <w:sz w:val="20"/>
          <w:szCs w:val="20"/>
        </w:rPr>
        <w:t>Tax reform is set to remain an important topic for governments around the world for some years to come</w:t>
      </w:r>
      <w:r w:rsidR="00226D3B" w:rsidRPr="009A58AE">
        <w:rPr>
          <w:rFonts w:ascii="Arial" w:hAnsi="Arial" w:cs="Arial"/>
          <w:i/>
          <w:sz w:val="20"/>
          <w:szCs w:val="20"/>
        </w:rPr>
        <w:t>, and this will include the need to take on board the proposals from the OECD to moderni</w:t>
      </w:r>
      <w:r w:rsidR="005F3AF3" w:rsidRPr="009A58AE">
        <w:rPr>
          <w:rFonts w:ascii="Arial" w:hAnsi="Arial" w:cs="Arial"/>
          <w:i/>
          <w:sz w:val="20"/>
          <w:szCs w:val="20"/>
        </w:rPr>
        <w:t>s</w:t>
      </w:r>
      <w:r w:rsidR="00226D3B" w:rsidRPr="009A58AE">
        <w:rPr>
          <w:rFonts w:ascii="Arial" w:hAnsi="Arial" w:cs="Arial"/>
          <w:i/>
          <w:sz w:val="20"/>
          <w:szCs w:val="20"/>
        </w:rPr>
        <w:t>e the international tax system to cater for today</w:t>
      </w:r>
      <w:r w:rsidR="00401062" w:rsidRPr="009A58AE">
        <w:rPr>
          <w:rFonts w:ascii="Arial" w:hAnsi="Arial" w:cs="Arial"/>
          <w:i/>
          <w:sz w:val="20"/>
          <w:szCs w:val="20"/>
        </w:rPr>
        <w:t>’</w:t>
      </w:r>
      <w:r w:rsidR="00226D3B" w:rsidRPr="009A58AE">
        <w:rPr>
          <w:rFonts w:ascii="Arial" w:hAnsi="Arial" w:cs="Arial"/>
          <w:i/>
          <w:sz w:val="20"/>
          <w:szCs w:val="20"/>
        </w:rPr>
        <w:t>s globali</w:t>
      </w:r>
      <w:r w:rsidR="00401062" w:rsidRPr="009A58AE">
        <w:rPr>
          <w:rFonts w:ascii="Arial" w:hAnsi="Arial" w:cs="Arial"/>
          <w:i/>
          <w:sz w:val="20"/>
          <w:szCs w:val="20"/>
        </w:rPr>
        <w:t>s</w:t>
      </w:r>
      <w:r w:rsidR="00226D3B" w:rsidRPr="009A58AE">
        <w:rPr>
          <w:rFonts w:ascii="Arial" w:hAnsi="Arial" w:cs="Arial"/>
          <w:i/>
          <w:sz w:val="20"/>
          <w:szCs w:val="20"/>
        </w:rPr>
        <w:t>ed business</w:t>
      </w:r>
      <w:r w:rsidR="00F06036" w:rsidRPr="009A58AE">
        <w:rPr>
          <w:rFonts w:ascii="Arial" w:hAnsi="Arial" w:cs="Arial"/>
          <w:i/>
          <w:sz w:val="20"/>
          <w:szCs w:val="20"/>
        </w:rPr>
        <w:t>”</w:t>
      </w:r>
      <w:r w:rsidR="009771F6">
        <w:rPr>
          <w:rFonts w:ascii="Arial" w:hAnsi="Arial" w:cs="Arial"/>
          <w:i/>
          <w:sz w:val="20"/>
          <w:szCs w:val="20"/>
        </w:rPr>
        <w:t>.</w:t>
      </w:r>
    </w:p>
    <w:p w:rsidR="009771F6" w:rsidRPr="009A58AE" w:rsidRDefault="009771F6" w:rsidP="009771F6">
      <w:pPr>
        <w:pStyle w:val="NormalWeb"/>
        <w:spacing w:before="0" w:beforeAutospacing="0" w:after="0" w:afterAutospacing="0"/>
        <w:ind w:right="360"/>
        <w:jc w:val="both"/>
        <w:rPr>
          <w:rFonts w:ascii="Arial" w:hAnsi="Arial" w:cs="Arial"/>
          <w:i/>
          <w:sz w:val="20"/>
          <w:szCs w:val="20"/>
        </w:rPr>
      </w:pPr>
    </w:p>
    <w:p w:rsidR="00684DC8" w:rsidRDefault="00C43C22" w:rsidP="009771F6">
      <w:pPr>
        <w:pStyle w:val="NormalWeb"/>
        <w:spacing w:before="0" w:beforeAutospacing="0" w:after="0" w:afterAutospacing="0"/>
        <w:ind w:right="360"/>
        <w:jc w:val="both"/>
        <w:rPr>
          <w:rFonts w:ascii="Arial" w:hAnsi="Arial" w:cs="Arial"/>
          <w:sz w:val="20"/>
          <w:szCs w:val="20"/>
        </w:rPr>
      </w:pPr>
      <w:r w:rsidRPr="00A57A1F">
        <w:rPr>
          <w:rFonts w:ascii="Arial" w:hAnsi="Arial" w:cs="Arial"/>
          <w:i/>
          <w:sz w:val="20"/>
          <w:szCs w:val="20"/>
        </w:rPr>
        <w:lastRenderedPageBreak/>
        <w:t>Paying Taxes 201</w:t>
      </w:r>
      <w:r w:rsidR="0002114E" w:rsidRPr="00A57A1F">
        <w:rPr>
          <w:rFonts w:ascii="Arial" w:hAnsi="Arial" w:cs="Arial"/>
          <w:i/>
          <w:sz w:val="20"/>
          <w:szCs w:val="20"/>
        </w:rPr>
        <w:t>5</w:t>
      </w:r>
      <w:r w:rsidRPr="00A57A1F">
        <w:rPr>
          <w:rFonts w:ascii="Arial" w:hAnsi="Arial" w:cs="Arial"/>
          <w:sz w:val="20"/>
          <w:szCs w:val="20"/>
        </w:rPr>
        <w:t xml:space="preserve"> measures all mandatory taxes and contributions that a medium-size </w:t>
      </w:r>
      <w:r w:rsidR="00401062" w:rsidRPr="00A57A1F">
        <w:rPr>
          <w:rFonts w:ascii="Arial" w:hAnsi="Arial" w:cs="Arial"/>
          <w:sz w:val="20"/>
          <w:szCs w:val="20"/>
        </w:rPr>
        <w:t xml:space="preserve">company </w:t>
      </w:r>
      <w:r w:rsidRPr="00A57A1F">
        <w:rPr>
          <w:rFonts w:ascii="Arial" w:hAnsi="Arial" w:cs="Arial"/>
          <w:sz w:val="20"/>
          <w:szCs w:val="20"/>
        </w:rPr>
        <w:t>must pay in a given year. Taxes and contributions measured include the profit or corporate income tax, social contributions and labour taxes paid by the employer, property taxes, property transfer taxes, dividend tax, capital gains tax, financial transactions tax, waste collection taxes, vehicle and road taxes, and other small taxes or fees.</w:t>
      </w:r>
    </w:p>
    <w:p w:rsidR="00497C68" w:rsidRPr="00A57A1F" w:rsidRDefault="00497C68" w:rsidP="009771F6">
      <w:pPr>
        <w:pStyle w:val="NormalWeb"/>
        <w:spacing w:before="0" w:beforeAutospacing="0" w:after="0" w:afterAutospacing="0"/>
        <w:ind w:right="360"/>
        <w:jc w:val="both"/>
        <w:rPr>
          <w:rFonts w:ascii="Arial" w:hAnsi="Arial" w:cs="Arial"/>
          <w:sz w:val="20"/>
          <w:szCs w:val="20"/>
        </w:rPr>
      </w:pPr>
    </w:p>
    <w:p w:rsidR="00AA1628" w:rsidRDefault="00AA1628" w:rsidP="009771F6">
      <w:pPr>
        <w:pStyle w:val="NormalWeb"/>
        <w:spacing w:before="0" w:beforeAutospacing="0" w:after="0" w:afterAutospacing="0"/>
        <w:ind w:right="360"/>
        <w:jc w:val="both"/>
        <w:rPr>
          <w:rFonts w:ascii="Arial" w:hAnsi="Arial" w:cs="Arial"/>
          <w:sz w:val="20"/>
          <w:szCs w:val="20"/>
        </w:rPr>
      </w:pPr>
      <w:r w:rsidRPr="00A57A1F">
        <w:rPr>
          <w:rFonts w:ascii="Arial" w:hAnsi="Arial" w:cs="Arial"/>
          <w:sz w:val="20"/>
          <w:szCs w:val="20"/>
        </w:rPr>
        <w:t xml:space="preserve">For more information about </w:t>
      </w:r>
      <w:r w:rsidR="00152C18" w:rsidRPr="00A57A1F">
        <w:rPr>
          <w:rFonts w:ascii="Arial" w:hAnsi="Arial" w:cs="Arial"/>
          <w:sz w:val="20"/>
          <w:szCs w:val="20"/>
        </w:rPr>
        <w:t xml:space="preserve">the </w:t>
      </w:r>
      <w:r w:rsidRPr="00A57A1F">
        <w:rPr>
          <w:rFonts w:ascii="Arial" w:hAnsi="Arial" w:cs="Arial"/>
          <w:i/>
          <w:sz w:val="20"/>
          <w:szCs w:val="20"/>
        </w:rPr>
        <w:t>Paying Taxes</w:t>
      </w:r>
      <w:r w:rsidR="00152C18" w:rsidRPr="00A57A1F">
        <w:rPr>
          <w:rFonts w:ascii="Arial" w:hAnsi="Arial" w:cs="Arial"/>
          <w:sz w:val="20"/>
          <w:szCs w:val="20"/>
        </w:rPr>
        <w:t xml:space="preserve"> study, visit</w:t>
      </w:r>
      <w:r w:rsidR="00DD2420" w:rsidRPr="00A57A1F">
        <w:rPr>
          <w:rFonts w:ascii="Arial" w:hAnsi="Arial" w:cs="Arial"/>
          <w:sz w:val="20"/>
          <w:szCs w:val="20"/>
        </w:rPr>
        <w:t>:</w:t>
      </w:r>
      <w:r w:rsidRPr="00A57A1F">
        <w:rPr>
          <w:rFonts w:ascii="Arial" w:hAnsi="Arial" w:cs="Arial"/>
          <w:sz w:val="20"/>
          <w:szCs w:val="20"/>
        </w:rPr>
        <w:t xml:space="preserve"> </w:t>
      </w:r>
      <w:hyperlink r:id="rId10" w:history="1">
        <w:r w:rsidR="00497C68" w:rsidRPr="00E1467B">
          <w:rPr>
            <w:rStyle w:val="Hyperlink"/>
            <w:rFonts w:ascii="Arial" w:hAnsi="Arial" w:cs="Arial"/>
            <w:sz w:val="20"/>
            <w:szCs w:val="20"/>
          </w:rPr>
          <w:t>www.pwc.com/payingtaxes</w:t>
        </w:r>
      </w:hyperlink>
      <w:r w:rsidRPr="00A57A1F">
        <w:rPr>
          <w:rFonts w:ascii="Arial" w:hAnsi="Arial" w:cs="Arial"/>
          <w:sz w:val="20"/>
          <w:szCs w:val="20"/>
        </w:rPr>
        <w:t>.</w:t>
      </w:r>
    </w:p>
    <w:p w:rsidR="00497C68" w:rsidRPr="00A57A1F" w:rsidRDefault="00497C68" w:rsidP="00497C68">
      <w:pPr>
        <w:pStyle w:val="NormalWeb"/>
        <w:spacing w:before="0" w:beforeAutospacing="0" w:after="0" w:afterAutospacing="0"/>
        <w:ind w:right="720"/>
        <w:jc w:val="both"/>
        <w:rPr>
          <w:rFonts w:ascii="Arial" w:hAnsi="Arial" w:cs="Arial"/>
          <w:sz w:val="20"/>
          <w:szCs w:val="20"/>
        </w:rPr>
      </w:pPr>
    </w:p>
    <w:p w:rsidR="00C65D39" w:rsidRDefault="00C65D39" w:rsidP="00497C68">
      <w:pPr>
        <w:pStyle w:val="NormalWeb"/>
        <w:spacing w:before="0" w:beforeAutospacing="0" w:after="0" w:afterAutospacing="0"/>
        <w:jc w:val="both"/>
        <w:rPr>
          <w:rFonts w:ascii="Arial" w:hAnsi="Arial" w:cs="Arial"/>
          <w:sz w:val="20"/>
          <w:szCs w:val="20"/>
        </w:rPr>
      </w:pPr>
      <w:r w:rsidRPr="00A57A1F">
        <w:rPr>
          <w:rFonts w:ascii="Arial" w:hAnsi="Arial" w:cs="Arial"/>
          <w:bCs/>
          <w:sz w:val="20"/>
          <w:szCs w:val="20"/>
        </w:rPr>
        <w:t xml:space="preserve">The </w:t>
      </w:r>
      <w:r w:rsidRPr="00A57A1F">
        <w:rPr>
          <w:rFonts w:ascii="Arial" w:hAnsi="Arial" w:cs="Arial"/>
          <w:bCs/>
          <w:i/>
          <w:sz w:val="20"/>
          <w:szCs w:val="20"/>
        </w:rPr>
        <w:t>Paying Taxes</w:t>
      </w:r>
      <w:r w:rsidRPr="00A57A1F">
        <w:rPr>
          <w:rFonts w:ascii="Arial" w:hAnsi="Arial" w:cs="Arial"/>
          <w:bCs/>
          <w:sz w:val="20"/>
          <w:szCs w:val="20"/>
        </w:rPr>
        <w:t xml:space="preserve"> </w:t>
      </w:r>
      <w:r w:rsidR="00A601C1" w:rsidRPr="00A57A1F">
        <w:rPr>
          <w:rFonts w:ascii="Arial" w:hAnsi="Arial" w:cs="Arial"/>
          <w:bCs/>
          <w:sz w:val="20"/>
          <w:szCs w:val="20"/>
        </w:rPr>
        <w:t xml:space="preserve">annual </w:t>
      </w:r>
      <w:r w:rsidR="00C97A6F" w:rsidRPr="00A57A1F">
        <w:rPr>
          <w:rFonts w:ascii="Arial" w:hAnsi="Arial" w:cs="Arial"/>
          <w:bCs/>
          <w:sz w:val="20"/>
          <w:szCs w:val="20"/>
        </w:rPr>
        <w:t>report builds</w:t>
      </w:r>
      <w:r w:rsidRPr="00A57A1F">
        <w:rPr>
          <w:rFonts w:ascii="Arial" w:hAnsi="Arial" w:cs="Arial"/>
          <w:bCs/>
          <w:sz w:val="20"/>
          <w:szCs w:val="20"/>
        </w:rPr>
        <w:t xml:space="preserve"> on the World Bank Group’s </w:t>
      </w:r>
      <w:r w:rsidRPr="00A57A1F">
        <w:rPr>
          <w:rFonts w:ascii="Arial" w:hAnsi="Arial" w:cs="Arial"/>
          <w:bCs/>
          <w:i/>
          <w:sz w:val="20"/>
          <w:szCs w:val="20"/>
        </w:rPr>
        <w:t xml:space="preserve">Doing Business </w:t>
      </w:r>
      <w:r w:rsidRPr="00A57A1F">
        <w:rPr>
          <w:rFonts w:ascii="Arial" w:hAnsi="Arial" w:cs="Arial"/>
          <w:bCs/>
          <w:sz w:val="20"/>
          <w:szCs w:val="20"/>
        </w:rPr>
        <w:t>report</w:t>
      </w:r>
      <w:r w:rsidR="00A601C1" w:rsidRPr="00A57A1F">
        <w:rPr>
          <w:rFonts w:ascii="Arial" w:hAnsi="Arial" w:cs="Arial"/>
          <w:bCs/>
          <w:sz w:val="20"/>
          <w:szCs w:val="20"/>
        </w:rPr>
        <w:t>s’</w:t>
      </w:r>
      <w:r w:rsidRPr="00A57A1F">
        <w:rPr>
          <w:rFonts w:ascii="Arial" w:hAnsi="Arial" w:cs="Arial"/>
          <w:bCs/>
          <w:sz w:val="20"/>
          <w:szCs w:val="20"/>
        </w:rPr>
        <w:t xml:space="preserve"> chapter on Paying Taxes. For more information on the </w:t>
      </w:r>
      <w:r w:rsidRPr="00A57A1F">
        <w:rPr>
          <w:rFonts w:ascii="Arial" w:hAnsi="Arial" w:cs="Arial"/>
          <w:bCs/>
          <w:i/>
          <w:sz w:val="20"/>
          <w:szCs w:val="20"/>
        </w:rPr>
        <w:t>Doing</w:t>
      </w:r>
      <w:r w:rsidRPr="00A57A1F">
        <w:rPr>
          <w:rFonts w:ascii="Arial" w:hAnsi="Arial" w:cs="Arial"/>
          <w:bCs/>
          <w:i/>
          <w:iCs/>
          <w:sz w:val="20"/>
          <w:szCs w:val="20"/>
        </w:rPr>
        <w:t xml:space="preserve"> Business </w:t>
      </w:r>
      <w:r w:rsidRPr="00A57A1F">
        <w:rPr>
          <w:rFonts w:ascii="Arial" w:hAnsi="Arial" w:cs="Arial"/>
          <w:bCs/>
          <w:sz w:val="20"/>
          <w:szCs w:val="20"/>
        </w:rPr>
        <w:t>report series, visit:</w:t>
      </w:r>
      <w:r w:rsidRPr="00A57A1F">
        <w:rPr>
          <w:rFonts w:ascii="Arial" w:hAnsi="Arial" w:cs="Arial"/>
          <w:b/>
          <w:bCs/>
          <w:sz w:val="20"/>
          <w:szCs w:val="20"/>
        </w:rPr>
        <w:t xml:space="preserve"> </w:t>
      </w:r>
      <w:hyperlink r:id="rId11" w:history="1">
        <w:r w:rsidR="00497C68" w:rsidRPr="00E1467B">
          <w:rPr>
            <w:rStyle w:val="Hyperlink"/>
            <w:rFonts w:ascii="Arial" w:hAnsi="Arial" w:cs="Arial"/>
            <w:sz w:val="20"/>
            <w:szCs w:val="20"/>
          </w:rPr>
          <w:t>www.doingbusiness.org</w:t>
        </w:r>
      </w:hyperlink>
      <w:r w:rsidR="00497C68">
        <w:rPr>
          <w:rFonts w:ascii="Arial" w:hAnsi="Arial" w:cs="Arial"/>
          <w:sz w:val="20"/>
          <w:szCs w:val="20"/>
        </w:rPr>
        <w:t>.</w:t>
      </w:r>
    </w:p>
    <w:p w:rsidR="00497C68" w:rsidRPr="00A57A1F" w:rsidRDefault="00497C68" w:rsidP="00497C68">
      <w:pPr>
        <w:pStyle w:val="NormalWeb"/>
        <w:spacing w:before="0" w:beforeAutospacing="0" w:after="0" w:afterAutospacing="0"/>
        <w:jc w:val="both"/>
        <w:rPr>
          <w:rFonts w:ascii="Arial" w:hAnsi="Arial" w:cs="Arial"/>
          <w:sz w:val="20"/>
          <w:szCs w:val="20"/>
        </w:rPr>
      </w:pPr>
    </w:p>
    <w:p w:rsidR="008B150B" w:rsidRPr="008B150B" w:rsidRDefault="008B150B" w:rsidP="00497C68">
      <w:pPr>
        <w:jc w:val="both"/>
        <w:rPr>
          <w:b/>
          <w:bCs/>
          <w:color w:val="000000"/>
        </w:rPr>
      </w:pPr>
      <w:r w:rsidRPr="008B150B">
        <w:rPr>
          <w:b/>
          <w:bCs/>
          <w:color w:val="000000"/>
        </w:rPr>
        <w:t>About the World Bank Group</w:t>
      </w:r>
    </w:p>
    <w:p w:rsidR="008B150B" w:rsidRPr="00A57A1F" w:rsidRDefault="008B150B" w:rsidP="00497C68">
      <w:pPr>
        <w:jc w:val="both"/>
        <w:rPr>
          <w:rStyle w:val="Strong"/>
          <w:b w:val="0"/>
          <w:bCs w:val="0"/>
          <w:color w:val="000000"/>
        </w:rPr>
      </w:pPr>
      <w:r w:rsidRPr="008B150B">
        <w:rPr>
          <w:color w:val="000000"/>
        </w:rPr>
        <w:t>The World Bank Group plays a key role in the global effort to end extreme poverty and boost shared prosperity. It consists of five institutions: the World Bank, including the International Bank for Reconstruction and Development (IBRD) and the International Development Association (IDA); the International Finance Corporation (IFC); the Multilateral Investment Guarantee Agency (MIGA); and the International Centre for Settlement of Investment Disputes (ICSID). Working together in more than 100 countries, these institutions provide financing, advice, and other solutions that enable countries to address the most urgent challenges of development. For more information, please visit www.worldbank.org, www.miga.org, and ifc.org.</w:t>
      </w:r>
    </w:p>
    <w:p w:rsidR="009A58AE" w:rsidRDefault="009A58AE" w:rsidP="00497C68">
      <w:pPr>
        <w:autoSpaceDE/>
        <w:autoSpaceDN/>
        <w:adjustRightInd/>
        <w:jc w:val="both"/>
        <w:rPr>
          <w:rFonts w:eastAsia="Calibri"/>
          <w:b/>
          <w:lang w:val="en-GB" w:eastAsia="en-GB"/>
        </w:rPr>
      </w:pPr>
    </w:p>
    <w:p w:rsidR="0002114E" w:rsidRPr="00A57A1F" w:rsidRDefault="00497C68" w:rsidP="00497C68">
      <w:pPr>
        <w:autoSpaceDE/>
        <w:autoSpaceDN/>
        <w:adjustRightInd/>
        <w:jc w:val="both"/>
        <w:rPr>
          <w:rFonts w:eastAsia="Calibri"/>
          <w:b/>
          <w:lang w:val="en-GB" w:eastAsia="en-GB"/>
        </w:rPr>
      </w:pPr>
      <w:r>
        <w:rPr>
          <w:rFonts w:eastAsia="Calibri"/>
          <w:b/>
          <w:lang w:val="en-GB" w:eastAsia="en-GB"/>
        </w:rPr>
        <w:t>About PwC</w:t>
      </w:r>
    </w:p>
    <w:p w:rsidR="0002114E" w:rsidRPr="00A57A1F" w:rsidRDefault="0002114E" w:rsidP="00497C68">
      <w:pPr>
        <w:autoSpaceDE/>
        <w:autoSpaceDN/>
        <w:adjustRightInd/>
        <w:jc w:val="both"/>
        <w:rPr>
          <w:rFonts w:eastAsia="Calibri"/>
          <w:lang w:val="en-GB"/>
        </w:rPr>
      </w:pPr>
      <w:r w:rsidRPr="00A57A1F">
        <w:rPr>
          <w:rFonts w:eastAsia="Calibri"/>
          <w:bCs/>
          <w:lang w:val="en-GB"/>
        </w:rPr>
        <w:t>P</w:t>
      </w:r>
      <w:r w:rsidRPr="00A57A1F">
        <w:rPr>
          <w:rFonts w:eastAsia="Calibri"/>
          <w:lang w:val="en-GB"/>
        </w:rPr>
        <w:t xml:space="preserve">wC firms help organisations and individuals create the value they’re looking for. We’re a network of firms in 157 countries with more than 195,000 people who are committed to delivering quality in assurance, tax and advisory services. Find out more and tell us what matters to you by visiting us at </w:t>
      </w:r>
      <w:r w:rsidRPr="009A58AE">
        <w:rPr>
          <w:rFonts w:eastAsia="Calibri"/>
          <w:lang w:val="en-GB"/>
        </w:rPr>
        <w:t>www.pwc.com</w:t>
      </w:r>
      <w:r w:rsidRPr="00A57A1F">
        <w:rPr>
          <w:rFonts w:eastAsia="Calibri"/>
          <w:lang w:val="en-GB"/>
        </w:rPr>
        <w:t>.</w:t>
      </w:r>
    </w:p>
    <w:p w:rsidR="0002114E" w:rsidRPr="00A57A1F" w:rsidRDefault="0002114E" w:rsidP="00497C68">
      <w:pPr>
        <w:autoSpaceDE/>
        <w:autoSpaceDN/>
        <w:adjustRightInd/>
        <w:spacing w:before="100" w:beforeAutospacing="1" w:after="100" w:afterAutospacing="1"/>
        <w:jc w:val="both"/>
        <w:rPr>
          <w:lang w:val="en-GB"/>
        </w:rPr>
      </w:pPr>
      <w:r w:rsidRPr="00A57A1F">
        <w:rPr>
          <w:lang w:val="en-GB"/>
        </w:rPr>
        <w:t>PwC refers to the PwC network and/or one or more of its member firms, each of which is a separate legal entity. Please see</w:t>
      </w:r>
      <w:r w:rsidRPr="009A58AE">
        <w:rPr>
          <w:rFonts w:eastAsia="Calibri"/>
          <w:lang w:val="en-GB"/>
        </w:rPr>
        <w:t xml:space="preserve"> www.pwc.com/structure</w:t>
      </w:r>
      <w:r w:rsidRPr="00A57A1F">
        <w:rPr>
          <w:lang w:val="en-GB"/>
        </w:rPr>
        <w:t xml:space="preserve"> for further details.</w:t>
      </w:r>
    </w:p>
    <w:p w:rsidR="000D5317" w:rsidRPr="00A57A1F" w:rsidRDefault="0002114E" w:rsidP="00497C68">
      <w:pPr>
        <w:autoSpaceDE/>
        <w:autoSpaceDN/>
        <w:adjustRightInd/>
        <w:jc w:val="both"/>
        <w:rPr>
          <w:lang w:val="en-GB"/>
        </w:rPr>
      </w:pPr>
      <w:r w:rsidRPr="00A57A1F">
        <w:rPr>
          <w:rFonts w:eastAsia="Calibri"/>
          <w:lang w:val="en-GB"/>
        </w:rPr>
        <w:t>©</w:t>
      </w:r>
      <w:r w:rsidRPr="00A57A1F">
        <w:rPr>
          <w:rFonts w:eastAsia="Calibri"/>
          <w:color w:val="000000"/>
          <w:lang w:val="en-GB"/>
        </w:rPr>
        <w:t>2014 PricewaterhouseCoopers. All rights reserved</w:t>
      </w:r>
    </w:p>
    <w:p w:rsidR="000D5317" w:rsidRPr="008B150B" w:rsidRDefault="000D5317" w:rsidP="00497C68">
      <w:pPr>
        <w:pStyle w:val="NormalWeb"/>
        <w:spacing w:before="0" w:beforeAutospacing="0" w:after="0" w:afterAutospacing="0"/>
        <w:jc w:val="both"/>
        <w:rPr>
          <w:rFonts w:ascii="Arial" w:hAnsi="Arial" w:cs="Arial"/>
          <w:sz w:val="20"/>
          <w:szCs w:val="20"/>
          <w:lang w:val="en-GB"/>
        </w:rPr>
      </w:pPr>
      <w:bookmarkStart w:id="0" w:name="_GoBack"/>
      <w:bookmarkEnd w:id="0"/>
    </w:p>
    <w:sectPr w:rsidR="000D5317" w:rsidRPr="008B150B" w:rsidSect="009F4C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3B9B"/>
    <w:multiLevelType w:val="hybridMultilevel"/>
    <w:tmpl w:val="17602F18"/>
    <w:lvl w:ilvl="0" w:tplc="BA864622">
      <w:start w:val="5"/>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A6CE5"/>
    <w:multiLevelType w:val="hybridMultilevel"/>
    <w:tmpl w:val="15E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E4F24"/>
    <w:multiLevelType w:val="hybridMultilevel"/>
    <w:tmpl w:val="C90E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A0"/>
    <w:rsid w:val="00002071"/>
    <w:rsid w:val="00004FF5"/>
    <w:rsid w:val="0002114E"/>
    <w:rsid w:val="000310D7"/>
    <w:rsid w:val="00043F9E"/>
    <w:rsid w:val="00052C78"/>
    <w:rsid w:val="00092367"/>
    <w:rsid w:val="000A4CD1"/>
    <w:rsid w:val="000A6355"/>
    <w:rsid w:val="000C0415"/>
    <w:rsid w:val="000D5317"/>
    <w:rsid w:val="000F271A"/>
    <w:rsid w:val="000F32F7"/>
    <w:rsid w:val="00106D87"/>
    <w:rsid w:val="00125080"/>
    <w:rsid w:val="00133473"/>
    <w:rsid w:val="00152C18"/>
    <w:rsid w:val="00153E24"/>
    <w:rsid w:val="00173A89"/>
    <w:rsid w:val="001A3EF8"/>
    <w:rsid w:val="001A5103"/>
    <w:rsid w:val="001A530D"/>
    <w:rsid w:val="001C2996"/>
    <w:rsid w:val="001F290B"/>
    <w:rsid w:val="002038F2"/>
    <w:rsid w:val="00226D3B"/>
    <w:rsid w:val="00247DB4"/>
    <w:rsid w:val="00253C0B"/>
    <w:rsid w:val="00306FE4"/>
    <w:rsid w:val="00345986"/>
    <w:rsid w:val="0038746D"/>
    <w:rsid w:val="00391039"/>
    <w:rsid w:val="003B7F3F"/>
    <w:rsid w:val="003C609B"/>
    <w:rsid w:val="003E593A"/>
    <w:rsid w:val="003F7F18"/>
    <w:rsid w:val="00401062"/>
    <w:rsid w:val="00413BB8"/>
    <w:rsid w:val="004140DD"/>
    <w:rsid w:val="0042290F"/>
    <w:rsid w:val="00424172"/>
    <w:rsid w:val="0042713F"/>
    <w:rsid w:val="00437322"/>
    <w:rsid w:val="004763A7"/>
    <w:rsid w:val="0047781C"/>
    <w:rsid w:val="00494242"/>
    <w:rsid w:val="00497C68"/>
    <w:rsid w:val="004A37D6"/>
    <w:rsid w:val="004A3DB3"/>
    <w:rsid w:val="004D65AE"/>
    <w:rsid w:val="004F3F1D"/>
    <w:rsid w:val="00510587"/>
    <w:rsid w:val="00520C24"/>
    <w:rsid w:val="00534C00"/>
    <w:rsid w:val="00537A57"/>
    <w:rsid w:val="005404FD"/>
    <w:rsid w:val="005413B5"/>
    <w:rsid w:val="005422B9"/>
    <w:rsid w:val="005431C2"/>
    <w:rsid w:val="00546CCB"/>
    <w:rsid w:val="0059670C"/>
    <w:rsid w:val="005B01C3"/>
    <w:rsid w:val="005B4E60"/>
    <w:rsid w:val="005F3AF3"/>
    <w:rsid w:val="00621921"/>
    <w:rsid w:val="0065561A"/>
    <w:rsid w:val="00684DC8"/>
    <w:rsid w:val="006A55BE"/>
    <w:rsid w:val="006D709C"/>
    <w:rsid w:val="006D7105"/>
    <w:rsid w:val="007258D8"/>
    <w:rsid w:val="007441E3"/>
    <w:rsid w:val="00760B2D"/>
    <w:rsid w:val="007737D4"/>
    <w:rsid w:val="0079370E"/>
    <w:rsid w:val="007A2E21"/>
    <w:rsid w:val="007D30E6"/>
    <w:rsid w:val="007E26CE"/>
    <w:rsid w:val="007E6A2D"/>
    <w:rsid w:val="00805721"/>
    <w:rsid w:val="00815725"/>
    <w:rsid w:val="00815C99"/>
    <w:rsid w:val="008A2C47"/>
    <w:rsid w:val="008B150B"/>
    <w:rsid w:val="008C05F1"/>
    <w:rsid w:val="008C629D"/>
    <w:rsid w:val="008D12B4"/>
    <w:rsid w:val="008D5113"/>
    <w:rsid w:val="008F71E4"/>
    <w:rsid w:val="009074CD"/>
    <w:rsid w:val="009153F0"/>
    <w:rsid w:val="009320E1"/>
    <w:rsid w:val="00943BF8"/>
    <w:rsid w:val="009517B8"/>
    <w:rsid w:val="00954217"/>
    <w:rsid w:val="0096238F"/>
    <w:rsid w:val="009634F7"/>
    <w:rsid w:val="009771F6"/>
    <w:rsid w:val="009A58AE"/>
    <w:rsid w:val="009A7964"/>
    <w:rsid w:val="009F3A9E"/>
    <w:rsid w:val="009F4CA0"/>
    <w:rsid w:val="00A57A1F"/>
    <w:rsid w:val="00A601C1"/>
    <w:rsid w:val="00A62318"/>
    <w:rsid w:val="00A64CBA"/>
    <w:rsid w:val="00A71F5E"/>
    <w:rsid w:val="00AA1628"/>
    <w:rsid w:val="00AE0063"/>
    <w:rsid w:val="00AF0724"/>
    <w:rsid w:val="00B15648"/>
    <w:rsid w:val="00B2276C"/>
    <w:rsid w:val="00B35980"/>
    <w:rsid w:val="00B457EF"/>
    <w:rsid w:val="00B924A3"/>
    <w:rsid w:val="00BD7B5F"/>
    <w:rsid w:val="00BF72AA"/>
    <w:rsid w:val="00C26815"/>
    <w:rsid w:val="00C332F4"/>
    <w:rsid w:val="00C43C22"/>
    <w:rsid w:val="00C468CB"/>
    <w:rsid w:val="00C6323C"/>
    <w:rsid w:val="00C65D39"/>
    <w:rsid w:val="00C71634"/>
    <w:rsid w:val="00C97A6F"/>
    <w:rsid w:val="00CB4884"/>
    <w:rsid w:val="00CE1BAF"/>
    <w:rsid w:val="00CE7A8F"/>
    <w:rsid w:val="00D035E1"/>
    <w:rsid w:val="00D243D1"/>
    <w:rsid w:val="00D34798"/>
    <w:rsid w:val="00D4406A"/>
    <w:rsid w:val="00D57407"/>
    <w:rsid w:val="00D61604"/>
    <w:rsid w:val="00D776DF"/>
    <w:rsid w:val="00DD2420"/>
    <w:rsid w:val="00DD4992"/>
    <w:rsid w:val="00DF4B88"/>
    <w:rsid w:val="00E148D4"/>
    <w:rsid w:val="00E77677"/>
    <w:rsid w:val="00E906C4"/>
    <w:rsid w:val="00EB69A7"/>
    <w:rsid w:val="00ED3817"/>
    <w:rsid w:val="00F05AA0"/>
    <w:rsid w:val="00F06036"/>
    <w:rsid w:val="00F30757"/>
    <w:rsid w:val="00F330FB"/>
    <w:rsid w:val="00F41D60"/>
    <w:rsid w:val="00F47975"/>
    <w:rsid w:val="00F52A84"/>
    <w:rsid w:val="00F56DC0"/>
    <w:rsid w:val="00F573AC"/>
    <w:rsid w:val="00F74EBE"/>
    <w:rsid w:val="00FD163F"/>
    <w:rsid w:val="00FD2F6E"/>
    <w:rsid w:val="00FD60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A0"/>
    <w:pPr>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4CA0"/>
    <w:pPr>
      <w:tabs>
        <w:tab w:val="center" w:pos="4320"/>
        <w:tab w:val="right" w:pos="8640"/>
      </w:tabs>
    </w:pPr>
  </w:style>
  <w:style w:type="character" w:customStyle="1" w:styleId="HeaderChar">
    <w:name w:val="Header Char"/>
    <w:basedOn w:val="DefaultParagraphFont"/>
    <w:link w:val="Header"/>
    <w:uiPriority w:val="99"/>
    <w:semiHidden/>
    <w:locked/>
    <w:rsid w:val="009F4CA0"/>
    <w:rPr>
      <w:rFonts w:ascii="Arial" w:hAnsi="Arial" w:cs="Arial"/>
      <w:sz w:val="20"/>
      <w:szCs w:val="20"/>
    </w:rPr>
  </w:style>
  <w:style w:type="table" w:styleId="TableGrid">
    <w:name w:val="Table Grid"/>
    <w:basedOn w:val="TableNormal"/>
    <w:uiPriority w:val="99"/>
    <w:rsid w:val="009F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4CA0"/>
    <w:rPr>
      <w:rFonts w:ascii="Verdana" w:hAnsi="Verdana" w:cs="Times New Roman"/>
      <w:color w:val="0000FF"/>
      <w:u w:val="single"/>
    </w:rPr>
  </w:style>
  <w:style w:type="character" w:customStyle="1" w:styleId="left">
    <w:name w:val="left"/>
    <w:basedOn w:val="DefaultParagraphFont"/>
    <w:uiPriority w:val="99"/>
    <w:rsid w:val="009F4CA0"/>
    <w:rPr>
      <w:rFonts w:cs="Times New Roman"/>
    </w:rPr>
  </w:style>
  <w:style w:type="paragraph" w:styleId="BalloonText">
    <w:name w:val="Balloon Text"/>
    <w:basedOn w:val="Normal"/>
    <w:link w:val="BalloonTextChar"/>
    <w:uiPriority w:val="99"/>
    <w:rsid w:val="009F4CA0"/>
    <w:rPr>
      <w:rFonts w:ascii="Tahoma" w:hAnsi="Tahoma" w:cs="Tahoma"/>
      <w:sz w:val="16"/>
      <w:szCs w:val="16"/>
    </w:rPr>
  </w:style>
  <w:style w:type="character" w:customStyle="1" w:styleId="BalloonTextChar">
    <w:name w:val="Balloon Text Char"/>
    <w:basedOn w:val="DefaultParagraphFont"/>
    <w:link w:val="BalloonText"/>
    <w:uiPriority w:val="99"/>
    <w:locked/>
    <w:rsid w:val="009F4CA0"/>
    <w:rPr>
      <w:rFonts w:ascii="Tahoma" w:hAnsi="Tahoma" w:cs="Tahoma"/>
      <w:sz w:val="16"/>
      <w:szCs w:val="16"/>
    </w:rPr>
  </w:style>
  <w:style w:type="character" w:styleId="CommentReference">
    <w:name w:val="annotation reference"/>
    <w:basedOn w:val="DefaultParagraphFont"/>
    <w:uiPriority w:val="99"/>
    <w:rsid w:val="009F4CA0"/>
    <w:rPr>
      <w:rFonts w:cs="Times New Roman"/>
      <w:sz w:val="16"/>
      <w:szCs w:val="16"/>
    </w:rPr>
  </w:style>
  <w:style w:type="paragraph" w:styleId="CommentText">
    <w:name w:val="annotation text"/>
    <w:basedOn w:val="Normal"/>
    <w:link w:val="CommentTextChar"/>
    <w:uiPriority w:val="99"/>
    <w:rsid w:val="009F4CA0"/>
  </w:style>
  <w:style w:type="character" w:customStyle="1" w:styleId="CommentTextChar">
    <w:name w:val="Comment Text Char"/>
    <w:basedOn w:val="DefaultParagraphFont"/>
    <w:link w:val="CommentText"/>
    <w:uiPriority w:val="99"/>
    <w:locked/>
    <w:rsid w:val="009F4CA0"/>
    <w:rPr>
      <w:rFonts w:cs="Times New Roman"/>
    </w:rPr>
  </w:style>
  <w:style w:type="paragraph" w:styleId="CommentSubject">
    <w:name w:val="annotation subject"/>
    <w:basedOn w:val="CommentText"/>
    <w:next w:val="CommentText"/>
    <w:link w:val="CommentSubjectChar"/>
    <w:uiPriority w:val="99"/>
    <w:rsid w:val="009F4CA0"/>
    <w:rPr>
      <w:b/>
      <w:bCs/>
    </w:rPr>
  </w:style>
  <w:style w:type="character" w:customStyle="1" w:styleId="CommentSubjectChar">
    <w:name w:val="Comment Subject Char"/>
    <w:basedOn w:val="CommentTextChar"/>
    <w:link w:val="CommentSubject"/>
    <w:uiPriority w:val="99"/>
    <w:locked/>
    <w:rsid w:val="009F4CA0"/>
    <w:rPr>
      <w:rFonts w:cs="Times New Roman"/>
      <w:b/>
      <w:bCs/>
    </w:rPr>
  </w:style>
  <w:style w:type="paragraph" w:styleId="Revision">
    <w:name w:val="Revision"/>
    <w:hidden/>
    <w:uiPriority w:val="99"/>
    <w:semiHidden/>
    <w:rsid w:val="009F4CA0"/>
    <w:rPr>
      <w:sz w:val="24"/>
      <w:szCs w:val="24"/>
    </w:rPr>
  </w:style>
  <w:style w:type="paragraph" w:styleId="NormalWeb">
    <w:name w:val="Normal (Web)"/>
    <w:basedOn w:val="Normal"/>
    <w:unhideWhenUsed/>
    <w:rsid w:val="009F4CA0"/>
    <w:pPr>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locked/>
    <w:rsid w:val="009F4CA0"/>
    <w:rPr>
      <w:b/>
      <w:bCs/>
    </w:rPr>
  </w:style>
  <w:style w:type="character" w:styleId="Emphasis">
    <w:name w:val="Emphasis"/>
    <w:basedOn w:val="DefaultParagraphFont"/>
    <w:qFormat/>
    <w:locked/>
    <w:rsid w:val="001F29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A0"/>
    <w:pPr>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4CA0"/>
    <w:pPr>
      <w:tabs>
        <w:tab w:val="center" w:pos="4320"/>
        <w:tab w:val="right" w:pos="8640"/>
      </w:tabs>
    </w:pPr>
  </w:style>
  <w:style w:type="character" w:customStyle="1" w:styleId="HeaderChar">
    <w:name w:val="Header Char"/>
    <w:basedOn w:val="DefaultParagraphFont"/>
    <w:link w:val="Header"/>
    <w:uiPriority w:val="99"/>
    <w:semiHidden/>
    <w:locked/>
    <w:rsid w:val="009F4CA0"/>
    <w:rPr>
      <w:rFonts w:ascii="Arial" w:hAnsi="Arial" w:cs="Arial"/>
      <w:sz w:val="20"/>
      <w:szCs w:val="20"/>
    </w:rPr>
  </w:style>
  <w:style w:type="table" w:styleId="TableGrid">
    <w:name w:val="Table Grid"/>
    <w:basedOn w:val="TableNormal"/>
    <w:uiPriority w:val="99"/>
    <w:rsid w:val="009F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4CA0"/>
    <w:rPr>
      <w:rFonts w:ascii="Verdana" w:hAnsi="Verdana" w:cs="Times New Roman"/>
      <w:color w:val="0000FF"/>
      <w:u w:val="single"/>
    </w:rPr>
  </w:style>
  <w:style w:type="character" w:customStyle="1" w:styleId="left">
    <w:name w:val="left"/>
    <w:basedOn w:val="DefaultParagraphFont"/>
    <w:uiPriority w:val="99"/>
    <w:rsid w:val="009F4CA0"/>
    <w:rPr>
      <w:rFonts w:cs="Times New Roman"/>
    </w:rPr>
  </w:style>
  <w:style w:type="paragraph" w:styleId="BalloonText">
    <w:name w:val="Balloon Text"/>
    <w:basedOn w:val="Normal"/>
    <w:link w:val="BalloonTextChar"/>
    <w:uiPriority w:val="99"/>
    <w:rsid w:val="009F4CA0"/>
    <w:rPr>
      <w:rFonts w:ascii="Tahoma" w:hAnsi="Tahoma" w:cs="Tahoma"/>
      <w:sz w:val="16"/>
      <w:szCs w:val="16"/>
    </w:rPr>
  </w:style>
  <w:style w:type="character" w:customStyle="1" w:styleId="BalloonTextChar">
    <w:name w:val="Balloon Text Char"/>
    <w:basedOn w:val="DefaultParagraphFont"/>
    <w:link w:val="BalloonText"/>
    <w:uiPriority w:val="99"/>
    <w:locked/>
    <w:rsid w:val="009F4CA0"/>
    <w:rPr>
      <w:rFonts w:ascii="Tahoma" w:hAnsi="Tahoma" w:cs="Tahoma"/>
      <w:sz w:val="16"/>
      <w:szCs w:val="16"/>
    </w:rPr>
  </w:style>
  <w:style w:type="character" w:styleId="CommentReference">
    <w:name w:val="annotation reference"/>
    <w:basedOn w:val="DefaultParagraphFont"/>
    <w:uiPriority w:val="99"/>
    <w:rsid w:val="009F4CA0"/>
    <w:rPr>
      <w:rFonts w:cs="Times New Roman"/>
      <w:sz w:val="16"/>
      <w:szCs w:val="16"/>
    </w:rPr>
  </w:style>
  <w:style w:type="paragraph" w:styleId="CommentText">
    <w:name w:val="annotation text"/>
    <w:basedOn w:val="Normal"/>
    <w:link w:val="CommentTextChar"/>
    <w:uiPriority w:val="99"/>
    <w:rsid w:val="009F4CA0"/>
  </w:style>
  <w:style w:type="character" w:customStyle="1" w:styleId="CommentTextChar">
    <w:name w:val="Comment Text Char"/>
    <w:basedOn w:val="DefaultParagraphFont"/>
    <w:link w:val="CommentText"/>
    <w:uiPriority w:val="99"/>
    <w:locked/>
    <w:rsid w:val="009F4CA0"/>
    <w:rPr>
      <w:rFonts w:cs="Times New Roman"/>
    </w:rPr>
  </w:style>
  <w:style w:type="paragraph" w:styleId="CommentSubject">
    <w:name w:val="annotation subject"/>
    <w:basedOn w:val="CommentText"/>
    <w:next w:val="CommentText"/>
    <w:link w:val="CommentSubjectChar"/>
    <w:uiPriority w:val="99"/>
    <w:rsid w:val="009F4CA0"/>
    <w:rPr>
      <w:b/>
      <w:bCs/>
    </w:rPr>
  </w:style>
  <w:style w:type="character" w:customStyle="1" w:styleId="CommentSubjectChar">
    <w:name w:val="Comment Subject Char"/>
    <w:basedOn w:val="CommentTextChar"/>
    <w:link w:val="CommentSubject"/>
    <w:uiPriority w:val="99"/>
    <w:locked/>
    <w:rsid w:val="009F4CA0"/>
    <w:rPr>
      <w:rFonts w:cs="Times New Roman"/>
      <w:b/>
      <w:bCs/>
    </w:rPr>
  </w:style>
  <w:style w:type="paragraph" w:styleId="Revision">
    <w:name w:val="Revision"/>
    <w:hidden/>
    <w:uiPriority w:val="99"/>
    <w:semiHidden/>
    <w:rsid w:val="009F4CA0"/>
    <w:rPr>
      <w:sz w:val="24"/>
      <w:szCs w:val="24"/>
    </w:rPr>
  </w:style>
  <w:style w:type="paragraph" w:styleId="NormalWeb">
    <w:name w:val="Normal (Web)"/>
    <w:basedOn w:val="Normal"/>
    <w:unhideWhenUsed/>
    <w:rsid w:val="009F4CA0"/>
    <w:pPr>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locked/>
    <w:rsid w:val="009F4CA0"/>
    <w:rPr>
      <w:b/>
      <w:bCs/>
    </w:rPr>
  </w:style>
  <w:style w:type="character" w:styleId="Emphasis">
    <w:name w:val="Emphasis"/>
    <w:basedOn w:val="DefaultParagraphFont"/>
    <w:qFormat/>
    <w:locked/>
    <w:rsid w:val="001F2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129">
      <w:bodyDiv w:val="1"/>
      <w:marLeft w:val="0"/>
      <w:marRight w:val="0"/>
      <w:marTop w:val="0"/>
      <w:marBottom w:val="0"/>
      <w:divBdr>
        <w:top w:val="none" w:sz="0" w:space="0" w:color="auto"/>
        <w:left w:val="none" w:sz="0" w:space="0" w:color="auto"/>
        <w:bottom w:val="none" w:sz="0" w:space="0" w:color="auto"/>
        <w:right w:val="none" w:sz="0" w:space="0" w:color="auto"/>
      </w:divBdr>
    </w:div>
    <w:div w:id="525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ingbusiness.org" TargetMode="External"/><Relationship Id="rId5" Type="http://schemas.openxmlformats.org/officeDocument/2006/relationships/settings" Target="settings.xml"/><Relationship Id="rId10" Type="http://schemas.openxmlformats.org/officeDocument/2006/relationships/hyperlink" Target="http://www.pwc.com/payingtaxes" TargetMode="External"/><Relationship Id="rId4" Type="http://schemas.microsoft.com/office/2007/relationships/stylesWithEffects" Target="stylesWithEffects.xml"/><Relationship Id="rId9" Type="http://schemas.openxmlformats.org/officeDocument/2006/relationships/hyperlink" Target="mailto:nsghannam@i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5E5B-E0D5-4963-8EA5-17397242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IFC</Company>
  <LinksUpToDate>false</LinksUpToDate>
  <CharactersWithSpaces>5892</CharactersWithSpaces>
  <SharedDoc>false</SharedDoc>
  <HLinks>
    <vt:vector size="6" baseType="variant">
      <vt:variant>
        <vt:i4>720932</vt:i4>
      </vt:variant>
      <vt:variant>
        <vt:i4>0</vt:i4>
      </vt:variant>
      <vt:variant>
        <vt:i4>0</vt:i4>
      </vt:variant>
      <vt:variant>
        <vt:i4>5</vt:i4>
      </vt:variant>
      <vt:variant>
        <vt:lpwstr>mailto:nsghannam@ifc.org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SDekouadio</dc:creator>
  <cp:lastModifiedBy>Shelly Ko Van Pelt</cp:lastModifiedBy>
  <cp:revision>5</cp:revision>
  <cp:lastPrinted>2014-11-18T19:56:00Z</cp:lastPrinted>
  <dcterms:created xsi:type="dcterms:W3CDTF">2014-11-18T18:04:00Z</dcterms:created>
  <dcterms:modified xsi:type="dcterms:W3CDTF">2014-11-18T20:21:00Z</dcterms:modified>
</cp:coreProperties>
</file>