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36" w:rsidRPr="00993039" w:rsidRDefault="00D81336"/>
    <w:p w:rsidR="00D81336" w:rsidRPr="00993039" w:rsidRDefault="00A77FF6">
      <w:pPr>
        <w:pStyle w:val="Title"/>
        <w:rPr>
          <w:rFonts w:ascii="Georgia" w:hAnsi="Georgia"/>
        </w:rPr>
      </w:pPr>
      <w:r w:rsidRPr="00993039">
        <w:rPr>
          <w:rFonts w:ascii="Georgia" w:hAnsi="Georgia"/>
        </w:rPr>
        <w:t>News release</w:t>
      </w:r>
    </w:p>
    <w:tbl>
      <w:tblPr>
        <w:tblW w:w="0" w:type="auto"/>
        <w:tblLayout w:type="fixed"/>
        <w:tblLook w:val="0000" w:firstRow="0" w:lastRow="0" w:firstColumn="0" w:lastColumn="0" w:noHBand="0" w:noVBand="0"/>
      </w:tblPr>
      <w:tblGrid>
        <w:gridCol w:w="2268"/>
        <w:gridCol w:w="4645"/>
      </w:tblGrid>
      <w:tr w:rsidR="00D81336" w:rsidRPr="00993039">
        <w:tc>
          <w:tcPr>
            <w:tcW w:w="2268" w:type="dxa"/>
          </w:tcPr>
          <w:p w:rsidR="00D81336" w:rsidRPr="00993039" w:rsidRDefault="00A77FF6">
            <w:pPr>
              <w:rPr>
                <w:i/>
              </w:rPr>
            </w:pPr>
            <w:r w:rsidRPr="00993039">
              <w:rPr>
                <w:i/>
              </w:rPr>
              <w:t>Date</w:t>
            </w:r>
          </w:p>
        </w:tc>
        <w:tc>
          <w:tcPr>
            <w:tcW w:w="4645" w:type="dxa"/>
          </w:tcPr>
          <w:p w:rsidR="00D81336" w:rsidRPr="00993039" w:rsidRDefault="00E81CF1">
            <w:r>
              <w:t>16 June 2014</w:t>
            </w:r>
          </w:p>
          <w:p w:rsidR="00D81336" w:rsidRPr="00993039" w:rsidRDefault="00D81336"/>
        </w:tc>
      </w:tr>
      <w:tr w:rsidR="00D81336" w:rsidRPr="00FC338F">
        <w:tc>
          <w:tcPr>
            <w:tcW w:w="2268" w:type="dxa"/>
          </w:tcPr>
          <w:p w:rsidR="00D81336" w:rsidRPr="00993039" w:rsidRDefault="00A77FF6">
            <w:pPr>
              <w:rPr>
                <w:i/>
              </w:rPr>
            </w:pPr>
            <w:r w:rsidRPr="00993039">
              <w:rPr>
                <w:i/>
              </w:rPr>
              <w:t>Contact</w:t>
            </w:r>
          </w:p>
        </w:tc>
        <w:tc>
          <w:tcPr>
            <w:tcW w:w="4645" w:type="dxa"/>
          </w:tcPr>
          <w:p w:rsidR="0054567A" w:rsidRDefault="0054567A" w:rsidP="0054567A">
            <w:pPr>
              <w:tabs>
                <w:tab w:val="left" w:pos="1440"/>
              </w:tabs>
              <w:ind w:left="1440" w:hanging="1440"/>
              <w:rPr>
                <w:rFonts w:cs="Arial"/>
                <w:lang w:val="it-IT"/>
              </w:rPr>
            </w:pPr>
            <w:r>
              <w:rPr>
                <w:rFonts w:cs="Arial"/>
                <w:bCs/>
                <w:lang w:val="it-IT"/>
              </w:rPr>
              <w:t>Mike Davies, PwC</w:t>
            </w:r>
          </w:p>
          <w:p w:rsidR="0054567A" w:rsidRPr="00552957" w:rsidRDefault="0054567A" w:rsidP="0054567A">
            <w:pPr>
              <w:tabs>
                <w:tab w:val="left" w:pos="1440"/>
              </w:tabs>
              <w:ind w:left="1440" w:hanging="1440"/>
              <w:rPr>
                <w:rFonts w:cs="Arial"/>
                <w:lang w:val="it-IT"/>
              </w:rPr>
            </w:pPr>
            <w:r>
              <w:rPr>
                <w:rFonts w:cs="Arial"/>
                <w:lang w:val="it-IT"/>
              </w:rPr>
              <w:t xml:space="preserve">Tel: </w:t>
            </w:r>
            <w:r w:rsidRPr="00530A1A">
              <w:rPr>
                <w:lang w:val="de-DE"/>
              </w:rPr>
              <w:t xml:space="preserve"> </w:t>
            </w:r>
            <w:r w:rsidRPr="008366F0">
              <w:rPr>
                <w:rFonts w:cs="Tms Rmn"/>
                <w:color w:val="000000"/>
                <w:szCs w:val="20"/>
                <w:lang w:val="nl-NL" w:eastAsia="en-GB"/>
              </w:rPr>
              <w:t>+</w:t>
            </w:r>
            <w:r>
              <w:rPr>
                <w:rFonts w:cs="Tms Rmn"/>
                <w:color w:val="000000"/>
                <w:szCs w:val="20"/>
                <w:lang w:val="nl-NL" w:eastAsia="en-GB"/>
              </w:rPr>
              <w:t>44 207 804 2378</w:t>
            </w:r>
          </w:p>
          <w:p w:rsidR="00D81336" w:rsidRPr="0054567A" w:rsidRDefault="0054567A" w:rsidP="0054567A">
            <w:pPr>
              <w:tabs>
                <w:tab w:val="left" w:pos="1440"/>
              </w:tabs>
              <w:ind w:left="1440" w:hanging="1440"/>
              <w:rPr>
                <w:lang w:val="de-DE"/>
              </w:rPr>
            </w:pPr>
            <w:r>
              <w:rPr>
                <w:rFonts w:cs="Arial"/>
                <w:lang w:val="it-IT"/>
              </w:rPr>
              <w:t xml:space="preserve">e-mail: </w:t>
            </w:r>
            <w:r w:rsidRPr="00530A1A">
              <w:rPr>
                <w:lang w:val="de-DE"/>
              </w:rPr>
              <w:t xml:space="preserve"> </w:t>
            </w:r>
            <w:r>
              <w:rPr>
                <w:lang w:val="de-DE"/>
              </w:rPr>
              <w:t>mike.davies</w:t>
            </w:r>
            <w:r w:rsidRPr="007C5EB9">
              <w:rPr>
                <w:lang w:val="de-DE"/>
              </w:rPr>
              <w:t>@</w:t>
            </w:r>
            <w:r>
              <w:rPr>
                <w:lang w:val="de-DE"/>
              </w:rPr>
              <w:t>uk.pwc.com</w:t>
            </w:r>
          </w:p>
        </w:tc>
      </w:tr>
      <w:tr w:rsidR="00D81336" w:rsidRPr="00FC338F">
        <w:tc>
          <w:tcPr>
            <w:tcW w:w="2268" w:type="dxa"/>
          </w:tcPr>
          <w:p w:rsidR="00D81336" w:rsidRPr="00FC338F" w:rsidRDefault="00D81336">
            <w:pPr>
              <w:rPr>
                <w:i/>
              </w:rPr>
            </w:pPr>
          </w:p>
          <w:p w:rsidR="00D81336" w:rsidRPr="00993039" w:rsidRDefault="00A77FF6">
            <w:pPr>
              <w:rPr>
                <w:i/>
              </w:rPr>
            </w:pPr>
            <w:r w:rsidRPr="00993039">
              <w:rPr>
                <w:i/>
              </w:rPr>
              <w:t xml:space="preserve">Pages </w:t>
            </w:r>
          </w:p>
        </w:tc>
        <w:tc>
          <w:tcPr>
            <w:tcW w:w="4645" w:type="dxa"/>
          </w:tcPr>
          <w:p w:rsidR="00D81336" w:rsidRPr="00FC338F" w:rsidRDefault="00D81336"/>
          <w:p w:rsidR="00D81336" w:rsidRDefault="00E11F82">
            <w:r w:rsidRPr="00FC338F">
              <w:t>2</w:t>
            </w:r>
            <w:r w:rsidR="001E7D34" w:rsidRPr="00FC338F">
              <w:t xml:space="preserve"> pages</w:t>
            </w:r>
          </w:p>
          <w:p w:rsidR="00612D47" w:rsidRPr="00FC338F" w:rsidRDefault="00612D47"/>
        </w:tc>
      </w:tr>
    </w:tbl>
    <w:p w:rsidR="00D81336" w:rsidRPr="00FC338F" w:rsidRDefault="00D81336" w:rsidP="001B75F2">
      <w:pPr>
        <w:pStyle w:val="Title"/>
        <w:spacing w:after="0"/>
        <w:rPr>
          <w:i w:val="0"/>
          <w:sz w:val="16"/>
          <w:szCs w:val="16"/>
        </w:rPr>
      </w:pPr>
    </w:p>
    <w:p w:rsidR="001B75F2" w:rsidRDefault="00E81CF1" w:rsidP="001B75F2">
      <w:pPr>
        <w:jc w:val="center"/>
        <w:rPr>
          <w:b/>
          <w:bCs/>
          <w:sz w:val="24"/>
          <w:szCs w:val="24"/>
        </w:rPr>
      </w:pPr>
      <w:r w:rsidRPr="00E81CF1">
        <w:rPr>
          <w:b/>
          <w:bCs/>
          <w:sz w:val="24"/>
          <w:szCs w:val="24"/>
        </w:rPr>
        <w:t xml:space="preserve">Balance of </w:t>
      </w:r>
      <w:r w:rsidR="00914792">
        <w:rPr>
          <w:b/>
          <w:bCs/>
          <w:sz w:val="24"/>
          <w:szCs w:val="24"/>
        </w:rPr>
        <w:t>s</w:t>
      </w:r>
      <w:r w:rsidRPr="00E81CF1">
        <w:rPr>
          <w:b/>
          <w:bCs/>
          <w:sz w:val="24"/>
          <w:szCs w:val="24"/>
        </w:rPr>
        <w:t xml:space="preserve">ocial and </w:t>
      </w:r>
      <w:r w:rsidR="00914792">
        <w:rPr>
          <w:b/>
          <w:bCs/>
          <w:sz w:val="24"/>
          <w:szCs w:val="24"/>
        </w:rPr>
        <w:t>e</w:t>
      </w:r>
      <w:r w:rsidRPr="00E81CF1">
        <w:rPr>
          <w:b/>
          <w:bCs/>
          <w:sz w:val="24"/>
          <w:szCs w:val="24"/>
        </w:rPr>
        <w:t xml:space="preserve">conomic </w:t>
      </w:r>
      <w:r w:rsidR="00914792">
        <w:rPr>
          <w:b/>
          <w:bCs/>
          <w:sz w:val="24"/>
          <w:szCs w:val="24"/>
        </w:rPr>
        <w:t>s</w:t>
      </w:r>
      <w:r w:rsidRPr="00E81CF1">
        <w:rPr>
          <w:b/>
          <w:bCs/>
          <w:sz w:val="24"/>
          <w:szCs w:val="24"/>
        </w:rPr>
        <w:t xml:space="preserve">trengths </w:t>
      </w:r>
      <w:r w:rsidR="00914792">
        <w:rPr>
          <w:b/>
          <w:bCs/>
          <w:sz w:val="24"/>
          <w:szCs w:val="24"/>
        </w:rPr>
        <w:t>k</w:t>
      </w:r>
      <w:r w:rsidRPr="00E81CF1">
        <w:rPr>
          <w:b/>
          <w:bCs/>
          <w:sz w:val="24"/>
          <w:szCs w:val="24"/>
        </w:rPr>
        <w:t xml:space="preserve">ey to </w:t>
      </w:r>
      <w:r w:rsidR="00914792">
        <w:rPr>
          <w:b/>
          <w:bCs/>
          <w:sz w:val="24"/>
          <w:szCs w:val="24"/>
        </w:rPr>
        <w:t>a</w:t>
      </w:r>
      <w:r w:rsidRPr="00E81CF1">
        <w:rPr>
          <w:b/>
          <w:bCs/>
          <w:sz w:val="24"/>
          <w:szCs w:val="24"/>
        </w:rPr>
        <w:t xml:space="preserve">ttracting </w:t>
      </w:r>
      <w:r w:rsidR="00914792">
        <w:rPr>
          <w:b/>
          <w:bCs/>
          <w:sz w:val="24"/>
          <w:szCs w:val="24"/>
        </w:rPr>
        <w:t>t</w:t>
      </w:r>
      <w:r w:rsidRPr="00E81CF1">
        <w:rPr>
          <w:b/>
          <w:bCs/>
          <w:sz w:val="24"/>
          <w:szCs w:val="24"/>
        </w:rPr>
        <w:t xml:space="preserve">alent to </w:t>
      </w:r>
      <w:r w:rsidR="00914792">
        <w:rPr>
          <w:b/>
          <w:bCs/>
          <w:sz w:val="24"/>
          <w:szCs w:val="24"/>
        </w:rPr>
        <w:t>c</w:t>
      </w:r>
      <w:r w:rsidRPr="00E81CF1">
        <w:rPr>
          <w:b/>
          <w:bCs/>
          <w:sz w:val="24"/>
          <w:szCs w:val="24"/>
        </w:rPr>
        <w:t>ities</w:t>
      </w:r>
    </w:p>
    <w:p w:rsidR="00E81CF1" w:rsidRPr="001B75F2" w:rsidRDefault="00E81CF1" w:rsidP="001B75F2">
      <w:pPr>
        <w:jc w:val="center"/>
        <w:rPr>
          <w:iCs/>
          <w:szCs w:val="20"/>
        </w:rPr>
      </w:pPr>
    </w:p>
    <w:p w:rsidR="00E81CF1" w:rsidRDefault="00914792" w:rsidP="00E81CF1">
      <w:pPr>
        <w:jc w:val="center"/>
        <w:rPr>
          <w:i/>
          <w:iCs/>
          <w:sz w:val="22"/>
        </w:rPr>
      </w:pPr>
      <w:r>
        <w:rPr>
          <w:i/>
          <w:iCs/>
          <w:sz w:val="22"/>
        </w:rPr>
        <w:t>PwC a</w:t>
      </w:r>
      <w:r w:rsidR="00E81CF1" w:rsidRPr="00E81CF1">
        <w:rPr>
          <w:i/>
          <w:iCs/>
          <w:sz w:val="22"/>
        </w:rPr>
        <w:t xml:space="preserve">nalysis of 15,000 professionals in 30 of the world’s leading cities </w:t>
      </w:r>
      <w:r w:rsidR="00D01356">
        <w:rPr>
          <w:i/>
          <w:iCs/>
          <w:sz w:val="22"/>
        </w:rPr>
        <w:br/>
      </w:r>
      <w:r w:rsidR="00E81CF1" w:rsidRPr="00E81CF1">
        <w:rPr>
          <w:i/>
          <w:iCs/>
          <w:sz w:val="22"/>
        </w:rPr>
        <w:t>uncovers population patterns and community needs</w:t>
      </w:r>
    </w:p>
    <w:p w:rsidR="00D01356" w:rsidRDefault="00D01356" w:rsidP="00E81CF1">
      <w:pPr>
        <w:spacing w:line="240" w:lineRule="auto"/>
        <w:rPr>
          <w:b/>
          <w:bCs/>
        </w:rPr>
      </w:pPr>
    </w:p>
    <w:p w:rsidR="00914792" w:rsidRDefault="00E81CF1" w:rsidP="00E81CF1">
      <w:pPr>
        <w:spacing w:line="240" w:lineRule="auto"/>
      </w:pPr>
      <w:r>
        <w:rPr>
          <w:b/>
          <w:bCs/>
        </w:rPr>
        <w:t>16 June 2014</w:t>
      </w:r>
      <w:r w:rsidR="001B75F2" w:rsidRPr="007A4560">
        <w:t xml:space="preserve"> –</w:t>
      </w:r>
      <w:r w:rsidRPr="00E81CF1">
        <w:t xml:space="preserve"> </w:t>
      </w:r>
      <w:r>
        <w:t xml:space="preserve">Today’s urban professionals want to live in cities with strong reputations for developing intellectual capital and innovation, as well as high marks for employment prospects and quality of life, according to a new study – </w:t>
      </w:r>
      <w:hyperlink r:id="rId9" w:history="1">
        <w:r w:rsidRPr="006D230A">
          <w:rPr>
            <w:rStyle w:val="Hyperlink"/>
            <w:i/>
          </w:rPr>
          <w:t xml:space="preserve">Cities of Opportunity 6: We, </w:t>
        </w:r>
        <w:bookmarkStart w:id="0" w:name="_GoBack"/>
        <w:bookmarkEnd w:id="0"/>
        <w:r w:rsidRPr="006D230A">
          <w:rPr>
            <w:rStyle w:val="Hyperlink"/>
            <w:i/>
          </w:rPr>
          <w:t>t</w:t>
        </w:r>
        <w:r w:rsidRPr="006D230A">
          <w:rPr>
            <w:rStyle w:val="Hyperlink"/>
            <w:i/>
          </w:rPr>
          <w:t>he urban people</w:t>
        </w:r>
      </w:hyperlink>
      <w:r>
        <w:t xml:space="preserve"> – released today by PwC. </w:t>
      </w:r>
    </w:p>
    <w:p w:rsidR="00914792" w:rsidRDefault="00914792" w:rsidP="00E81CF1">
      <w:pPr>
        <w:spacing w:line="240" w:lineRule="auto"/>
      </w:pPr>
    </w:p>
    <w:p w:rsidR="00E81CF1" w:rsidRDefault="00E81CF1" w:rsidP="00E81CF1">
      <w:pPr>
        <w:spacing w:line="240" w:lineRule="auto"/>
      </w:pPr>
      <w:r>
        <w:t>The study focuses on urban demographics and includes findings from a global survey of 15,000 PwC staff in 30 cities, providing an in-depth look at what matters most to working professionals in the cities where they live.</w:t>
      </w:r>
    </w:p>
    <w:p w:rsidR="00E81CF1" w:rsidRDefault="00E81CF1" w:rsidP="00E81CF1">
      <w:pPr>
        <w:spacing w:line="240" w:lineRule="auto"/>
      </w:pPr>
    </w:p>
    <w:p w:rsidR="00E81CF1" w:rsidRDefault="00E81CF1" w:rsidP="00E81CF1">
      <w:pPr>
        <w:spacing w:line="240" w:lineRule="auto"/>
      </w:pPr>
      <w:r>
        <w:t xml:space="preserve">The study examines critical urban qualities, commuting, likelihood of remaining in the city, preferences for relocation, and spending patterns. It also provides leaders in business, government and education with an understanding of how to develop strategies to advance the well-being of urban people and communities. </w:t>
      </w:r>
    </w:p>
    <w:p w:rsidR="00E81CF1" w:rsidRDefault="00E81CF1" w:rsidP="00E81CF1">
      <w:pPr>
        <w:spacing w:line="240" w:lineRule="auto"/>
      </w:pPr>
    </w:p>
    <w:p w:rsidR="00914792" w:rsidRDefault="00E81CF1" w:rsidP="00E81CF1">
      <w:pPr>
        <w:spacing w:line="240" w:lineRule="auto"/>
        <w:rPr>
          <w:rFonts w:cs="Georgia"/>
          <w:bCs/>
          <w:color w:val="000000"/>
          <w:szCs w:val="20"/>
          <w:lang w:val="en-US"/>
        </w:rPr>
      </w:pPr>
      <w:r>
        <w:rPr>
          <w:rFonts w:cs="Georgia"/>
          <w:bCs/>
          <w:color w:val="000000"/>
          <w:szCs w:val="20"/>
          <w:lang w:val="en-US"/>
        </w:rPr>
        <w:t>“Rapid urbanis</w:t>
      </w:r>
      <w:r w:rsidRPr="00A500BF">
        <w:rPr>
          <w:rFonts w:cs="Georgia"/>
          <w:bCs/>
          <w:color w:val="000000"/>
          <w:szCs w:val="20"/>
          <w:lang w:val="en-US"/>
        </w:rPr>
        <w:t xml:space="preserve">ation and demographic shifts are trends around which policymakers in business, government and education can craft strategies that will build prosperity," said Bob Moritz, PwC's US Chairman and Senior Partner. </w:t>
      </w:r>
    </w:p>
    <w:p w:rsidR="00914792" w:rsidRDefault="00914792" w:rsidP="00E81CF1">
      <w:pPr>
        <w:spacing w:line="240" w:lineRule="auto"/>
        <w:rPr>
          <w:rFonts w:cs="Georgia"/>
          <w:bCs/>
          <w:color w:val="000000"/>
          <w:szCs w:val="20"/>
          <w:lang w:val="en-US"/>
        </w:rPr>
      </w:pPr>
    </w:p>
    <w:p w:rsidR="00E81CF1" w:rsidRPr="00A500BF" w:rsidRDefault="00E81CF1" w:rsidP="00E81CF1">
      <w:pPr>
        <w:spacing w:line="240" w:lineRule="auto"/>
      </w:pPr>
      <w:r w:rsidRPr="00A500BF">
        <w:rPr>
          <w:rFonts w:cs="Georgia"/>
          <w:bCs/>
          <w:color w:val="000000"/>
          <w:szCs w:val="20"/>
          <w:lang w:val="en-US"/>
        </w:rPr>
        <w:t xml:space="preserve">"People are seeking new opportunities in cities, so the world is getting smaller. In order to attract the </w:t>
      </w:r>
      <w:r>
        <w:rPr>
          <w:rFonts w:cs="Georgia"/>
          <w:bCs/>
          <w:color w:val="000000"/>
          <w:szCs w:val="20"/>
          <w:lang w:val="en-US"/>
        </w:rPr>
        <w:t>talent</w:t>
      </w:r>
      <w:r w:rsidRPr="00A500BF">
        <w:rPr>
          <w:rFonts w:cs="Georgia"/>
          <w:bCs/>
          <w:color w:val="000000"/>
          <w:szCs w:val="20"/>
          <w:lang w:val="en-US"/>
        </w:rPr>
        <w:t xml:space="preserve"> cities need to maintain a competitive advantage and thrive, cities need to have the foresight necessary to invest in infrastructure and other areas that will help individuals not only maintain high morale and quality of life, but succeed both i</w:t>
      </w:r>
      <w:r>
        <w:rPr>
          <w:rFonts w:cs="Georgia"/>
          <w:bCs/>
          <w:color w:val="000000"/>
          <w:szCs w:val="20"/>
          <w:lang w:val="en-US"/>
        </w:rPr>
        <w:t>n their careers and personally.”</w:t>
      </w:r>
    </w:p>
    <w:p w:rsidR="00E81CF1" w:rsidRDefault="00E81CF1" w:rsidP="00E81CF1">
      <w:pPr>
        <w:spacing w:line="240" w:lineRule="auto"/>
      </w:pPr>
    </w:p>
    <w:p w:rsidR="00E81CF1" w:rsidRPr="00BE30DB" w:rsidRDefault="00E81CF1" w:rsidP="00E81CF1">
      <w:pPr>
        <w:spacing w:line="240" w:lineRule="auto"/>
        <w:rPr>
          <w:b/>
        </w:rPr>
      </w:pPr>
      <w:r w:rsidRPr="00BE30DB">
        <w:rPr>
          <w:b/>
        </w:rPr>
        <w:t>What Matters Most</w:t>
      </w:r>
    </w:p>
    <w:p w:rsidR="00E81CF1" w:rsidRDefault="00E81CF1" w:rsidP="00E81CF1">
      <w:pPr>
        <w:spacing w:line="240" w:lineRule="auto"/>
      </w:pPr>
      <w:r>
        <w:t xml:space="preserve">PwC’s study confirms that skilled professionals in the prime of their careers want to live and work in urban centres that offer the greatest employment opportunities and strong social attributes. Friends and family was cited as the most critical trait to have in a city by 29% of respondents. That was followed by employment prospects at 23% and safety and security at 14%. </w:t>
      </w:r>
    </w:p>
    <w:p w:rsidR="00E81CF1" w:rsidRDefault="00E81CF1" w:rsidP="00E81CF1">
      <w:pPr>
        <w:spacing w:line="240" w:lineRule="auto"/>
      </w:pPr>
    </w:p>
    <w:p w:rsidR="00E81CF1" w:rsidRDefault="00E81CF1" w:rsidP="00E81CF1">
      <w:pPr>
        <w:spacing w:line="240" w:lineRule="auto"/>
      </w:pPr>
      <w:r>
        <w:t>Relocation preferences also parallel the desire for social and economic balance. London and New York were named as the top two choices by PwC people if they were to work in any other of the 30 cities featured (with 20% and 18% choosing the two cities, respectively). Cities with strong showings in the demographics and liveability indicator also fared well as Sydney, San Francisco and Paris rounded out the top five first-choice preferences for relocation, attracting 10%, 9%  and 5% of responses, respectively.</w:t>
      </w:r>
    </w:p>
    <w:p w:rsidR="00E81CF1" w:rsidRDefault="00E81CF1" w:rsidP="00E81CF1">
      <w:pPr>
        <w:spacing w:line="240" w:lineRule="auto"/>
      </w:pPr>
    </w:p>
    <w:p w:rsidR="00E81CF1" w:rsidRDefault="00E81CF1" w:rsidP="00E81CF1">
      <w:pPr>
        <w:spacing w:line="240" w:lineRule="auto"/>
      </w:pPr>
      <w:r>
        <w:t>Affordability was cited by 28% of respondents as most needing improvement in their city. Transportation infrastructure was the second most universal complaint noted by 24%.</w:t>
      </w:r>
    </w:p>
    <w:p w:rsidR="00E81CF1" w:rsidRDefault="00E81CF1" w:rsidP="00E81CF1">
      <w:pPr>
        <w:spacing w:line="240" w:lineRule="auto"/>
      </w:pPr>
    </w:p>
    <w:p w:rsidR="00E81CF1" w:rsidRPr="006074FA" w:rsidRDefault="00E81CF1" w:rsidP="00E81CF1">
      <w:pPr>
        <w:spacing w:line="240" w:lineRule="auto"/>
        <w:rPr>
          <w:b/>
        </w:rPr>
      </w:pPr>
      <w:r w:rsidRPr="006074FA">
        <w:rPr>
          <w:b/>
        </w:rPr>
        <w:t>Commuting</w:t>
      </w:r>
    </w:p>
    <w:p w:rsidR="00914792" w:rsidRDefault="00E81CF1" w:rsidP="00E81CF1">
      <w:pPr>
        <w:spacing w:line="240" w:lineRule="auto"/>
      </w:pPr>
      <w:r>
        <w:t xml:space="preserve">On average, 65% of PwC professionals go into their central business district offices on a daily basis, with Nairobi, Jakarta, Stockholm, Moscow, and London among the most dedicated to their downtown desks (ranging from 93% in the case of Nairobi to 80% in London). For Jakarta, that comes at a cost of 20 days lost commuting annually, 16 days lost in London and 14 in Moscow. </w:t>
      </w:r>
    </w:p>
    <w:p w:rsidR="00914792" w:rsidRDefault="00914792" w:rsidP="00E81CF1">
      <w:pPr>
        <w:spacing w:line="240" w:lineRule="auto"/>
      </w:pPr>
    </w:p>
    <w:p w:rsidR="00E81CF1" w:rsidRDefault="00E81CF1" w:rsidP="00E81CF1">
      <w:pPr>
        <w:spacing w:line="240" w:lineRule="auto"/>
      </w:pPr>
      <w:r>
        <w:t>Among transportation modes included in the commute, 39% take the subway, 26% drive their cars and 24% take the bus. 17% walk, 3% bike to work and 2% ride a motorcycle, and these are the people who were most pleased with the ease of their commutes. Those who drive or take the train say they have the most difficult commute. PwC people in Stockholm and San Francisco</w:t>
      </w:r>
      <w:r w:rsidRPr="00DF4A13">
        <w:t xml:space="preserve"> </w:t>
      </w:r>
      <w:r>
        <w:t xml:space="preserve">rate their commute as easiest among the 30 cities. </w:t>
      </w:r>
    </w:p>
    <w:p w:rsidR="00E81CF1" w:rsidRDefault="00E81CF1" w:rsidP="00E81CF1">
      <w:pPr>
        <w:spacing w:line="240" w:lineRule="auto"/>
      </w:pPr>
    </w:p>
    <w:p w:rsidR="00E81CF1" w:rsidRPr="006074FA" w:rsidRDefault="00E81CF1" w:rsidP="00E81CF1">
      <w:pPr>
        <w:spacing w:line="240" w:lineRule="auto"/>
        <w:rPr>
          <w:b/>
        </w:rPr>
      </w:pPr>
      <w:r w:rsidRPr="006074FA">
        <w:rPr>
          <w:b/>
        </w:rPr>
        <w:t>The Impact of Demographic Shifts</w:t>
      </w:r>
    </w:p>
    <w:p w:rsidR="00914792" w:rsidRDefault="00E81CF1" w:rsidP="00E81CF1">
      <w:pPr>
        <w:spacing w:line="240" w:lineRule="auto"/>
      </w:pPr>
      <w:r>
        <w:t xml:space="preserve">The growing numbers of elderly urban dwellers also figure prominently in </w:t>
      </w:r>
      <w:hyperlink r:id="rId10" w:history="1">
        <w:r w:rsidRPr="00262246">
          <w:rPr>
            <w:rStyle w:val="Hyperlink"/>
          </w:rPr>
          <w:t>demographic shifts</w:t>
        </w:r>
      </w:hyperlink>
      <w:r>
        <w:t xml:space="preserve"> the world is witnessing. For instance, about a quarter of the population in cities like Milan and Tokyo will be over 67 by 2025 (26% and 23%, respectively). And today, more than two-thirds of our 30 cities have two or less active workers for each non-working dependent. </w:t>
      </w:r>
    </w:p>
    <w:p w:rsidR="00914792" w:rsidRDefault="00914792" w:rsidP="00E81CF1">
      <w:pPr>
        <w:spacing w:line="240" w:lineRule="auto"/>
      </w:pPr>
    </w:p>
    <w:p w:rsidR="00E81CF1" w:rsidRDefault="00E81CF1" w:rsidP="00E81CF1">
      <w:pPr>
        <w:spacing w:line="240" w:lineRule="auto"/>
      </w:pPr>
      <w:r>
        <w:t xml:space="preserve">As part of its study, PwC examined how a “greying planet” could create new urban economic challenges at the same time, as cities have the potential to use their densities to effectively serve aging demographics and businesses have the opportunity to serve new markets in healthy longevity. </w:t>
      </w:r>
    </w:p>
    <w:p w:rsidR="00E81CF1" w:rsidRDefault="00E81CF1" w:rsidP="00E81CF1">
      <w:pPr>
        <w:spacing w:line="240" w:lineRule="auto"/>
      </w:pPr>
    </w:p>
    <w:p w:rsidR="00E81CF1" w:rsidRPr="007A4560" w:rsidRDefault="00E81CF1" w:rsidP="00E81CF1">
      <w:r>
        <w:t xml:space="preserve">Cities of Opportunity 6: We, the urban people is a companion to the previously released </w:t>
      </w:r>
      <w:hyperlink r:id="rId11" w:history="1">
        <w:r w:rsidRPr="00256AA8">
          <w:rPr>
            <w:rStyle w:val="Hyperlink"/>
          </w:rPr>
          <w:t>Citie</w:t>
        </w:r>
        <w:r w:rsidRPr="00256AA8">
          <w:rPr>
            <w:rStyle w:val="Hyperlink"/>
          </w:rPr>
          <w:t>s</w:t>
        </w:r>
        <w:r w:rsidRPr="00256AA8">
          <w:rPr>
            <w:rStyle w:val="Hyperlink"/>
          </w:rPr>
          <w:t xml:space="preserve"> of Opportunity 6</w:t>
        </w:r>
      </w:hyperlink>
    </w:p>
    <w:p w:rsidR="001B75F2" w:rsidRDefault="001B75F2" w:rsidP="001B75F2">
      <w:pPr>
        <w:autoSpaceDE w:val="0"/>
        <w:autoSpaceDN w:val="0"/>
        <w:adjustRightInd w:val="0"/>
        <w:spacing w:line="240" w:lineRule="auto"/>
      </w:pPr>
      <w:r w:rsidRPr="007A4560">
        <w:br/>
      </w:r>
    </w:p>
    <w:p w:rsidR="001B75F2" w:rsidRPr="00DC535E" w:rsidRDefault="001B75F2" w:rsidP="001B75F2">
      <w:pPr>
        <w:autoSpaceDE w:val="0"/>
        <w:autoSpaceDN w:val="0"/>
        <w:adjustRightInd w:val="0"/>
        <w:spacing w:line="240" w:lineRule="auto"/>
        <w:rPr>
          <w:rFonts w:cs="Helv"/>
          <w:b/>
          <w:szCs w:val="20"/>
        </w:rPr>
      </w:pPr>
      <w:r w:rsidRPr="00DC535E">
        <w:rPr>
          <w:rFonts w:cs="Helv"/>
          <w:b/>
          <w:szCs w:val="20"/>
        </w:rPr>
        <w:t>About PwC</w:t>
      </w:r>
    </w:p>
    <w:p w:rsidR="001B75F2" w:rsidRPr="00DC535E" w:rsidRDefault="001B75F2" w:rsidP="001B75F2">
      <w:pPr>
        <w:spacing w:line="240" w:lineRule="auto"/>
        <w:rPr>
          <w:rFonts w:cs="Arial"/>
          <w:color w:val="000000"/>
          <w:szCs w:val="20"/>
          <w:lang w:val="en-US"/>
        </w:rPr>
      </w:pPr>
    </w:p>
    <w:p w:rsidR="001B75F2" w:rsidRDefault="001B75F2" w:rsidP="001B75F2">
      <w:pPr>
        <w:rPr>
          <w:rFonts w:ascii="Times New Roman" w:hAnsi="Times New Roman"/>
          <w:bCs/>
          <w:color w:val="000000"/>
          <w:szCs w:val="20"/>
          <w:lang w:eastAsia="en-GB"/>
        </w:rPr>
      </w:pPr>
      <w:r w:rsidRPr="00745286">
        <w:rPr>
          <w:rFonts w:cs="Georgia"/>
          <w:bCs/>
          <w:color w:val="000000"/>
          <w:szCs w:val="20"/>
          <w:lang w:eastAsia="en-GB"/>
        </w:rPr>
        <w:t xml:space="preserve">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t>
      </w:r>
      <w:hyperlink r:id="rId12" w:history="1">
        <w:r w:rsidRPr="00745286">
          <w:rPr>
            <w:rFonts w:cs="Georgia"/>
            <w:bCs/>
            <w:color w:val="00A1E0"/>
            <w:szCs w:val="20"/>
            <w:lang w:eastAsia="en-GB"/>
          </w:rPr>
          <w:t>www.pwc.com</w:t>
        </w:r>
      </w:hyperlink>
      <w:r w:rsidRPr="00745286">
        <w:rPr>
          <w:rFonts w:ascii="Times New Roman" w:hAnsi="Times New Roman"/>
          <w:bCs/>
          <w:color w:val="000000"/>
          <w:szCs w:val="20"/>
          <w:lang w:eastAsia="en-GB"/>
        </w:rPr>
        <w:t>.</w:t>
      </w:r>
    </w:p>
    <w:p w:rsidR="001B75F2" w:rsidRPr="008A0CBB" w:rsidRDefault="001B75F2" w:rsidP="001B75F2">
      <w:pPr>
        <w:pStyle w:val="NormalWeb"/>
        <w:rPr>
          <w:rFonts w:ascii="Georgia" w:hAnsi="Georgia"/>
          <w:sz w:val="20"/>
          <w:szCs w:val="20"/>
          <w:lang w:val="en-GB"/>
        </w:rPr>
      </w:pPr>
      <w:r w:rsidRPr="008A0CBB">
        <w:rPr>
          <w:rFonts w:ascii="Georgia" w:hAnsi="Georgia"/>
          <w:sz w:val="20"/>
          <w:szCs w:val="20"/>
          <w:lang w:val="en-GB"/>
        </w:rPr>
        <w:t xml:space="preserve">PwC refers to the PwC network and/or one or more of its member firms, each of which is a separate legal entity. Please see www.pwc.com/structure for further details. </w:t>
      </w:r>
    </w:p>
    <w:p w:rsidR="001B75F2" w:rsidRDefault="00E81CF1" w:rsidP="001B75F2">
      <w:pPr>
        <w:rPr>
          <w:rFonts w:cs="Georgia"/>
          <w:color w:val="000000"/>
          <w:szCs w:val="20"/>
          <w:lang w:eastAsia="de-CH"/>
        </w:rPr>
      </w:pPr>
      <w:r>
        <w:rPr>
          <w:rFonts w:cs="Georgia"/>
          <w:color w:val="000000"/>
          <w:szCs w:val="20"/>
          <w:lang w:eastAsia="de-CH"/>
        </w:rPr>
        <w:t>©</w:t>
      </w:r>
      <w:r w:rsidR="001B75F2" w:rsidRPr="009553FB">
        <w:rPr>
          <w:rFonts w:cs="Georgia"/>
          <w:color w:val="000000"/>
          <w:szCs w:val="20"/>
          <w:lang w:eastAsia="de-CH"/>
        </w:rPr>
        <w:t>2014 PricewaterhouseCoopers. All rights reserved.</w:t>
      </w:r>
    </w:p>
    <w:sectPr w:rsidR="001B75F2" w:rsidSect="00D81336">
      <w:headerReference w:type="even" r:id="rId13"/>
      <w:headerReference w:type="default" r:id="rId14"/>
      <w:footerReference w:type="even" r:id="rId15"/>
      <w:footerReference w:type="default" r:id="rId16"/>
      <w:headerReference w:type="first" r:id="rId17"/>
      <w:pgSz w:w="11907" w:h="16839"/>
      <w:pgMar w:top="3137" w:right="850" w:bottom="1417"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F4" w:rsidRDefault="002723F4">
      <w:pPr>
        <w:spacing w:line="240" w:lineRule="auto"/>
      </w:pPr>
      <w:r>
        <w:separator/>
      </w:r>
    </w:p>
  </w:endnote>
  <w:endnote w:type="continuationSeparator" w:id="0">
    <w:p w:rsidR="002723F4" w:rsidRDefault="00272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E0140E">
    <w:pPr>
      <w:pStyle w:val="Footer"/>
    </w:pPr>
    <w:r>
      <w:fldChar w:fldCharType="begin"/>
    </w:r>
    <w:r w:rsidR="00393683">
      <w:instrText xml:space="preserve"> PAGE  \* MERGEFORMAT </w:instrText>
    </w:r>
    <w:r>
      <w:fldChar w:fldCharType="separate"/>
    </w:r>
    <w:r w:rsidR="007D37AC">
      <w:rPr>
        <w:noProof/>
      </w:rPr>
      <w:t>2</w:t>
    </w:r>
    <w:r>
      <w:rPr>
        <w:noProof/>
      </w:rPr>
      <w:fldChar w:fldCharType="end"/>
    </w:r>
    <w:r w:rsidR="00A77FF6">
      <w:t xml:space="preserve"> of </w:t>
    </w:r>
    <w:fldSimple w:instr=" NUMPAGES  \* MERGEFORMAT ">
      <w:r w:rsidR="007D37AC">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E0140E">
    <w:pPr>
      <w:pStyle w:val="Footer"/>
    </w:pPr>
    <w:r>
      <w:fldChar w:fldCharType="begin"/>
    </w:r>
    <w:r w:rsidR="00393683">
      <w:instrText xml:space="preserve"> PAGE  \* MERGEFORMAT </w:instrText>
    </w:r>
    <w:r>
      <w:fldChar w:fldCharType="separate"/>
    </w:r>
    <w:r w:rsidR="001B75F2">
      <w:rPr>
        <w:noProof/>
      </w:rPr>
      <w:t>3</w:t>
    </w:r>
    <w:r>
      <w:rPr>
        <w:noProof/>
      </w:rPr>
      <w:fldChar w:fldCharType="end"/>
    </w:r>
    <w:r w:rsidR="00A77FF6">
      <w:t xml:space="preserve"> of </w:t>
    </w:r>
    <w:fldSimple w:instr=" NUMPAGES  \* MERGEFORMAT ">
      <w:r w:rsidR="001B75F2">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F4" w:rsidRDefault="002723F4">
      <w:pPr>
        <w:spacing w:line="240" w:lineRule="auto"/>
      </w:pPr>
      <w:r>
        <w:separator/>
      </w:r>
    </w:p>
  </w:footnote>
  <w:footnote w:type="continuationSeparator" w:id="0">
    <w:p w:rsidR="002723F4" w:rsidRDefault="002723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8752" behindDoc="0" locked="1" layoutInCell="1" allowOverlap="1" wp14:anchorId="48686956" wp14:editId="689DE8F9">
          <wp:simplePos x="0" y="0"/>
          <wp:positionH relativeFrom="page">
            <wp:posOffset>431165</wp:posOffset>
          </wp:positionH>
          <wp:positionV relativeFrom="page">
            <wp:posOffset>490855</wp:posOffset>
          </wp:positionV>
          <wp:extent cx="1410970" cy="12687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7728" behindDoc="0" locked="1" layoutInCell="1" allowOverlap="1" wp14:anchorId="0CFF8568" wp14:editId="41AD9E4E">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6704" behindDoc="0" locked="1" layoutInCell="1" allowOverlap="1" wp14:anchorId="3C9EE0AA" wp14:editId="361DBACA">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B10F114"/>
    <w:lvl w:ilvl="0">
      <w:numFmt w:val="bullet"/>
      <w:lvlText w:val="*"/>
      <w:lvlJc w:val="left"/>
    </w:lvl>
  </w:abstractNum>
  <w:abstractNum w:abstractNumId="11">
    <w:nsid w:val="12A14D41"/>
    <w:multiLevelType w:val="hybridMultilevel"/>
    <w:tmpl w:val="56B60D68"/>
    <w:lvl w:ilvl="0" w:tplc="4418A60A">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33167E6"/>
    <w:multiLevelType w:val="hybridMultilevel"/>
    <w:tmpl w:val="683A0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5">
    <w:nsid w:val="1FCE483B"/>
    <w:multiLevelType w:val="hybridMultilevel"/>
    <w:tmpl w:val="8C9E00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0065C4"/>
    <w:multiLevelType w:val="hybridMultilevel"/>
    <w:tmpl w:val="98DCBF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3E175F"/>
    <w:multiLevelType w:val="hybridMultilevel"/>
    <w:tmpl w:val="7AD83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92F87"/>
    <w:multiLevelType w:val="hybridMultilevel"/>
    <w:tmpl w:val="28C47278"/>
    <w:lvl w:ilvl="0" w:tplc="45289F02">
      <w:start w:val="1"/>
      <w:numFmt w:val="decimal"/>
      <w:lvlText w:val="%1."/>
      <w:lvlJc w:val="left"/>
      <w:pPr>
        <w:ind w:left="720" w:hanging="360"/>
      </w:pPr>
    </w:lvl>
    <w:lvl w:ilvl="1" w:tplc="08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0DF71B8"/>
    <w:multiLevelType w:val="hybridMultilevel"/>
    <w:tmpl w:val="F49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3D4C"/>
    <w:multiLevelType w:val="hybridMultilevel"/>
    <w:tmpl w:val="BEAA203E"/>
    <w:lvl w:ilvl="0" w:tplc="5EB495E0">
      <w:start w:val="1"/>
      <w:numFmt w:val="decimal"/>
      <w:lvlText w:val="%1."/>
      <w:lvlJc w:val="left"/>
      <w:pPr>
        <w:ind w:left="360" w:hanging="360"/>
      </w:pPr>
      <w:rPr>
        <w:rFonts w:ascii="Cambria" w:hAnsi="Cambria" w:hint="default"/>
        <w:sz w:val="20"/>
        <w:szCs w:val="20"/>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49063FD"/>
    <w:multiLevelType w:val="hybridMultilevel"/>
    <w:tmpl w:val="A13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122278"/>
    <w:multiLevelType w:val="hybridMultilevel"/>
    <w:tmpl w:val="F706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4">
    <w:nsid w:val="66EA5E03"/>
    <w:multiLevelType w:val="hybridMultilevel"/>
    <w:tmpl w:val="BD5C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4142AE"/>
    <w:multiLevelType w:val="hybridMultilevel"/>
    <w:tmpl w:val="8818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523C64"/>
    <w:multiLevelType w:val="hybridMultilevel"/>
    <w:tmpl w:val="FB467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CB0114"/>
    <w:multiLevelType w:val="hybridMultilevel"/>
    <w:tmpl w:val="2C92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nsid w:val="781B763F"/>
    <w:multiLevelType w:val="hybridMultilevel"/>
    <w:tmpl w:val="675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282FA1"/>
    <w:multiLevelType w:val="hybridMultilevel"/>
    <w:tmpl w:val="F09E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3"/>
  </w:num>
  <w:num w:numId="14">
    <w:abstractNumId w:val="13"/>
  </w:num>
  <w:num w:numId="15">
    <w:abstractNumId w:val="26"/>
  </w:num>
  <w:num w:numId="16">
    <w:abstractNumId w:val="22"/>
  </w:num>
  <w:num w:numId="17">
    <w:abstractNumId w:val="15"/>
  </w:num>
  <w:num w:numId="18">
    <w:abstractNumId w:val="27"/>
  </w:num>
  <w:num w:numId="19">
    <w:abstractNumId w:val="24"/>
  </w:num>
  <w:num w:numId="20">
    <w:abstractNumId w:val="20"/>
  </w:num>
  <w:num w:numId="21">
    <w:abstractNumId w:val="18"/>
  </w:num>
  <w:num w:numId="22">
    <w:abstractNumId w:val="19"/>
  </w:num>
  <w:num w:numId="23">
    <w:abstractNumId w:val="28"/>
  </w:num>
  <w:num w:numId="24">
    <w:abstractNumId w:val="10"/>
    <w:lvlOverride w:ilvl="0">
      <w:lvl w:ilvl="0">
        <w:numFmt w:val="bullet"/>
        <w:lvlText w:val=""/>
        <w:legacy w:legacy="1" w:legacySpace="0" w:legacyIndent="0"/>
        <w:lvlJc w:val="left"/>
        <w:rPr>
          <w:rFonts w:ascii="Symbol" w:hAnsi="Symbol" w:hint="default"/>
          <w:sz w:val="22"/>
        </w:rPr>
      </w:lvl>
    </w:lvlOverride>
  </w:num>
  <w:num w:numId="25">
    <w:abstractNumId w:val="30"/>
  </w:num>
  <w:num w:numId="26">
    <w:abstractNumId w:val="21"/>
  </w:num>
  <w:num w:numId="27">
    <w:abstractNumId w:val="12"/>
  </w:num>
  <w:num w:numId="28">
    <w:abstractNumId w:val="25"/>
  </w:num>
  <w:num w:numId="29">
    <w:abstractNumId w:val="31"/>
  </w:num>
  <w:num w:numId="30">
    <w:abstractNumId w:val="17"/>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36"/>
    <w:rsid w:val="00006AE5"/>
    <w:rsid w:val="0001193B"/>
    <w:rsid w:val="00017ED5"/>
    <w:rsid w:val="00021346"/>
    <w:rsid w:val="00024FE0"/>
    <w:rsid w:val="0002648E"/>
    <w:rsid w:val="000376A0"/>
    <w:rsid w:val="0004136B"/>
    <w:rsid w:val="00044346"/>
    <w:rsid w:val="00046B4E"/>
    <w:rsid w:val="00052E2C"/>
    <w:rsid w:val="00052E41"/>
    <w:rsid w:val="0005778C"/>
    <w:rsid w:val="000610EB"/>
    <w:rsid w:val="00073F6A"/>
    <w:rsid w:val="00083687"/>
    <w:rsid w:val="000E26AB"/>
    <w:rsid w:val="000E4BCB"/>
    <w:rsid w:val="000F196C"/>
    <w:rsid w:val="000F529D"/>
    <w:rsid w:val="001027EA"/>
    <w:rsid w:val="00103223"/>
    <w:rsid w:val="00103B9C"/>
    <w:rsid w:val="00104713"/>
    <w:rsid w:val="0010725A"/>
    <w:rsid w:val="00127BEF"/>
    <w:rsid w:val="00135784"/>
    <w:rsid w:val="00135CC6"/>
    <w:rsid w:val="00136F21"/>
    <w:rsid w:val="0014604F"/>
    <w:rsid w:val="0015067D"/>
    <w:rsid w:val="00152644"/>
    <w:rsid w:val="001528E0"/>
    <w:rsid w:val="00156A70"/>
    <w:rsid w:val="00160C0A"/>
    <w:rsid w:val="001752F9"/>
    <w:rsid w:val="001805A6"/>
    <w:rsid w:val="00194555"/>
    <w:rsid w:val="001A0527"/>
    <w:rsid w:val="001A166B"/>
    <w:rsid w:val="001A6BCA"/>
    <w:rsid w:val="001B0FDB"/>
    <w:rsid w:val="001B1A1E"/>
    <w:rsid w:val="001B5934"/>
    <w:rsid w:val="001B75F2"/>
    <w:rsid w:val="001C3307"/>
    <w:rsid w:val="001D252A"/>
    <w:rsid w:val="001D2778"/>
    <w:rsid w:val="001E6BE9"/>
    <w:rsid w:val="001E7D34"/>
    <w:rsid w:val="001F1955"/>
    <w:rsid w:val="001F3C00"/>
    <w:rsid w:val="00204F9E"/>
    <w:rsid w:val="00207B40"/>
    <w:rsid w:val="00221B2F"/>
    <w:rsid w:val="002265FB"/>
    <w:rsid w:val="0023011B"/>
    <w:rsid w:val="002304B7"/>
    <w:rsid w:val="00230F6C"/>
    <w:rsid w:val="00234BFB"/>
    <w:rsid w:val="00236BB8"/>
    <w:rsid w:val="0024075B"/>
    <w:rsid w:val="00242BFE"/>
    <w:rsid w:val="00251125"/>
    <w:rsid w:val="00255C91"/>
    <w:rsid w:val="00267E0F"/>
    <w:rsid w:val="00270672"/>
    <w:rsid w:val="002723F4"/>
    <w:rsid w:val="00280364"/>
    <w:rsid w:val="00290936"/>
    <w:rsid w:val="002C4C7F"/>
    <w:rsid w:val="002D0A99"/>
    <w:rsid w:val="002D542C"/>
    <w:rsid w:val="002D6E1A"/>
    <w:rsid w:val="002E55E0"/>
    <w:rsid w:val="003017F6"/>
    <w:rsid w:val="003065F5"/>
    <w:rsid w:val="00321D79"/>
    <w:rsid w:val="00337793"/>
    <w:rsid w:val="00356366"/>
    <w:rsid w:val="00362E6A"/>
    <w:rsid w:val="00370039"/>
    <w:rsid w:val="00373606"/>
    <w:rsid w:val="00390080"/>
    <w:rsid w:val="003903EF"/>
    <w:rsid w:val="00393683"/>
    <w:rsid w:val="003C62E9"/>
    <w:rsid w:val="003C723B"/>
    <w:rsid w:val="003D6A4B"/>
    <w:rsid w:val="003E1A4A"/>
    <w:rsid w:val="003E3A1F"/>
    <w:rsid w:val="003E3DE3"/>
    <w:rsid w:val="003E6143"/>
    <w:rsid w:val="003E7169"/>
    <w:rsid w:val="003E78E5"/>
    <w:rsid w:val="003F21FD"/>
    <w:rsid w:val="00403015"/>
    <w:rsid w:val="0041669D"/>
    <w:rsid w:val="00423A70"/>
    <w:rsid w:val="0042478E"/>
    <w:rsid w:val="00425C8B"/>
    <w:rsid w:val="00437EBF"/>
    <w:rsid w:val="0044270F"/>
    <w:rsid w:val="00443378"/>
    <w:rsid w:val="00453AB1"/>
    <w:rsid w:val="00464D97"/>
    <w:rsid w:val="0048163B"/>
    <w:rsid w:val="00492DB3"/>
    <w:rsid w:val="004A2FD3"/>
    <w:rsid w:val="004A4CF4"/>
    <w:rsid w:val="004B06DF"/>
    <w:rsid w:val="004B6C9C"/>
    <w:rsid w:val="004B740C"/>
    <w:rsid w:val="004C5739"/>
    <w:rsid w:val="004C70EC"/>
    <w:rsid w:val="004D4208"/>
    <w:rsid w:val="004D5CE4"/>
    <w:rsid w:val="004E3913"/>
    <w:rsid w:val="004F5679"/>
    <w:rsid w:val="00503C92"/>
    <w:rsid w:val="00512820"/>
    <w:rsid w:val="00515795"/>
    <w:rsid w:val="00517155"/>
    <w:rsid w:val="0054567A"/>
    <w:rsid w:val="0057309F"/>
    <w:rsid w:val="00577FB3"/>
    <w:rsid w:val="0059621F"/>
    <w:rsid w:val="0059696F"/>
    <w:rsid w:val="005A05B8"/>
    <w:rsid w:val="005D365B"/>
    <w:rsid w:val="005D6FF0"/>
    <w:rsid w:val="00612D47"/>
    <w:rsid w:val="00614A1D"/>
    <w:rsid w:val="0062072C"/>
    <w:rsid w:val="00622A9D"/>
    <w:rsid w:val="00633631"/>
    <w:rsid w:val="0064300E"/>
    <w:rsid w:val="00671D62"/>
    <w:rsid w:val="00672373"/>
    <w:rsid w:val="00680895"/>
    <w:rsid w:val="00693471"/>
    <w:rsid w:val="006A0DB1"/>
    <w:rsid w:val="006B12A3"/>
    <w:rsid w:val="006C634F"/>
    <w:rsid w:val="006C72BE"/>
    <w:rsid w:val="006C7AC4"/>
    <w:rsid w:val="006D6A11"/>
    <w:rsid w:val="006E181F"/>
    <w:rsid w:val="006E1F0F"/>
    <w:rsid w:val="006F1868"/>
    <w:rsid w:val="00702378"/>
    <w:rsid w:val="00711B16"/>
    <w:rsid w:val="00717145"/>
    <w:rsid w:val="00724D5C"/>
    <w:rsid w:val="00737A54"/>
    <w:rsid w:val="0074049A"/>
    <w:rsid w:val="00747D76"/>
    <w:rsid w:val="00753EBA"/>
    <w:rsid w:val="0075590D"/>
    <w:rsid w:val="0077103E"/>
    <w:rsid w:val="00780E52"/>
    <w:rsid w:val="007A485E"/>
    <w:rsid w:val="007A77F3"/>
    <w:rsid w:val="007B041F"/>
    <w:rsid w:val="007B0511"/>
    <w:rsid w:val="007B69E1"/>
    <w:rsid w:val="007C43B5"/>
    <w:rsid w:val="007D37AC"/>
    <w:rsid w:val="007E4726"/>
    <w:rsid w:val="00814070"/>
    <w:rsid w:val="00820FC7"/>
    <w:rsid w:val="00822375"/>
    <w:rsid w:val="00826DF8"/>
    <w:rsid w:val="0083373C"/>
    <w:rsid w:val="00834DE3"/>
    <w:rsid w:val="00842EDD"/>
    <w:rsid w:val="00844CD6"/>
    <w:rsid w:val="00851149"/>
    <w:rsid w:val="00862440"/>
    <w:rsid w:val="00862E83"/>
    <w:rsid w:val="0086545B"/>
    <w:rsid w:val="00883C95"/>
    <w:rsid w:val="00890345"/>
    <w:rsid w:val="008954FC"/>
    <w:rsid w:val="008B4F10"/>
    <w:rsid w:val="008B6A67"/>
    <w:rsid w:val="008C2B85"/>
    <w:rsid w:val="008C4A7C"/>
    <w:rsid w:val="008C6A29"/>
    <w:rsid w:val="008C776E"/>
    <w:rsid w:val="008D3565"/>
    <w:rsid w:val="008E67AC"/>
    <w:rsid w:val="008F39D9"/>
    <w:rsid w:val="00914792"/>
    <w:rsid w:val="0092384B"/>
    <w:rsid w:val="009238D1"/>
    <w:rsid w:val="00923D6B"/>
    <w:rsid w:val="00953237"/>
    <w:rsid w:val="00970878"/>
    <w:rsid w:val="00971626"/>
    <w:rsid w:val="009804DC"/>
    <w:rsid w:val="00993039"/>
    <w:rsid w:val="00996943"/>
    <w:rsid w:val="00996A98"/>
    <w:rsid w:val="009A690A"/>
    <w:rsid w:val="009A764D"/>
    <w:rsid w:val="009C6C6F"/>
    <w:rsid w:val="009D17CC"/>
    <w:rsid w:val="009D7AB6"/>
    <w:rsid w:val="009F01CA"/>
    <w:rsid w:val="009F20C9"/>
    <w:rsid w:val="00A10215"/>
    <w:rsid w:val="00A20CBA"/>
    <w:rsid w:val="00A252FA"/>
    <w:rsid w:val="00A4193A"/>
    <w:rsid w:val="00A466DA"/>
    <w:rsid w:val="00A50A3B"/>
    <w:rsid w:val="00A51DA6"/>
    <w:rsid w:val="00A5260A"/>
    <w:rsid w:val="00A53B34"/>
    <w:rsid w:val="00A54360"/>
    <w:rsid w:val="00A55A9F"/>
    <w:rsid w:val="00A71808"/>
    <w:rsid w:val="00A74875"/>
    <w:rsid w:val="00A77FF6"/>
    <w:rsid w:val="00A963BD"/>
    <w:rsid w:val="00AB1A5B"/>
    <w:rsid w:val="00AB7D21"/>
    <w:rsid w:val="00AE0B7C"/>
    <w:rsid w:val="00AE4CE9"/>
    <w:rsid w:val="00AF6C13"/>
    <w:rsid w:val="00B215E9"/>
    <w:rsid w:val="00B26E60"/>
    <w:rsid w:val="00B74D79"/>
    <w:rsid w:val="00B90864"/>
    <w:rsid w:val="00BA74A6"/>
    <w:rsid w:val="00BB47ED"/>
    <w:rsid w:val="00BB6758"/>
    <w:rsid w:val="00BC069C"/>
    <w:rsid w:val="00BC7FAB"/>
    <w:rsid w:val="00BD07A4"/>
    <w:rsid w:val="00BD6496"/>
    <w:rsid w:val="00BE2F72"/>
    <w:rsid w:val="00BF3135"/>
    <w:rsid w:val="00C00F38"/>
    <w:rsid w:val="00C024AD"/>
    <w:rsid w:val="00C0274A"/>
    <w:rsid w:val="00C056AB"/>
    <w:rsid w:val="00C075C6"/>
    <w:rsid w:val="00C25269"/>
    <w:rsid w:val="00C266A7"/>
    <w:rsid w:val="00C271C3"/>
    <w:rsid w:val="00C3685C"/>
    <w:rsid w:val="00C374E3"/>
    <w:rsid w:val="00C64510"/>
    <w:rsid w:val="00C70A5E"/>
    <w:rsid w:val="00C721FC"/>
    <w:rsid w:val="00C7234F"/>
    <w:rsid w:val="00C935AD"/>
    <w:rsid w:val="00C94E81"/>
    <w:rsid w:val="00CB2D0E"/>
    <w:rsid w:val="00CC12CF"/>
    <w:rsid w:val="00CC283B"/>
    <w:rsid w:val="00CE123D"/>
    <w:rsid w:val="00CE5EB5"/>
    <w:rsid w:val="00D01356"/>
    <w:rsid w:val="00D1599F"/>
    <w:rsid w:val="00D207B0"/>
    <w:rsid w:val="00D23C5B"/>
    <w:rsid w:val="00D370F5"/>
    <w:rsid w:val="00D47125"/>
    <w:rsid w:val="00D6710C"/>
    <w:rsid w:val="00D70544"/>
    <w:rsid w:val="00D728CE"/>
    <w:rsid w:val="00D73503"/>
    <w:rsid w:val="00D73871"/>
    <w:rsid w:val="00D74C26"/>
    <w:rsid w:val="00D754A8"/>
    <w:rsid w:val="00D75651"/>
    <w:rsid w:val="00D802A3"/>
    <w:rsid w:val="00D81336"/>
    <w:rsid w:val="00D95099"/>
    <w:rsid w:val="00DA612B"/>
    <w:rsid w:val="00DE0F17"/>
    <w:rsid w:val="00DE67CF"/>
    <w:rsid w:val="00DE6B0F"/>
    <w:rsid w:val="00DF26EF"/>
    <w:rsid w:val="00DF77D0"/>
    <w:rsid w:val="00E0140E"/>
    <w:rsid w:val="00E01B58"/>
    <w:rsid w:val="00E11F82"/>
    <w:rsid w:val="00E12F3D"/>
    <w:rsid w:val="00E24742"/>
    <w:rsid w:val="00E27959"/>
    <w:rsid w:val="00E454B4"/>
    <w:rsid w:val="00E52F69"/>
    <w:rsid w:val="00E62574"/>
    <w:rsid w:val="00E674AC"/>
    <w:rsid w:val="00E81CF1"/>
    <w:rsid w:val="00EB5502"/>
    <w:rsid w:val="00EC00DB"/>
    <w:rsid w:val="00EC11C9"/>
    <w:rsid w:val="00EC30C1"/>
    <w:rsid w:val="00EC4195"/>
    <w:rsid w:val="00EC71C6"/>
    <w:rsid w:val="00EC7646"/>
    <w:rsid w:val="00ED1AC6"/>
    <w:rsid w:val="00ED4301"/>
    <w:rsid w:val="00ED48F7"/>
    <w:rsid w:val="00ED717D"/>
    <w:rsid w:val="00EE1E32"/>
    <w:rsid w:val="00EF0BDB"/>
    <w:rsid w:val="00F00122"/>
    <w:rsid w:val="00F17ADF"/>
    <w:rsid w:val="00F22648"/>
    <w:rsid w:val="00F27911"/>
    <w:rsid w:val="00F3168E"/>
    <w:rsid w:val="00F346E8"/>
    <w:rsid w:val="00F35E2F"/>
    <w:rsid w:val="00F36BB7"/>
    <w:rsid w:val="00F36BD4"/>
    <w:rsid w:val="00F37E8D"/>
    <w:rsid w:val="00F501F7"/>
    <w:rsid w:val="00F5146C"/>
    <w:rsid w:val="00F54525"/>
    <w:rsid w:val="00F63E3D"/>
    <w:rsid w:val="00F65C7E"/>
    <w:rsid w:val="00F76B1C"/>
    <w:rsid w:val="00F76F4D"/>
    <w:rsid w:val="00F77CD2"/>
    <w:rsid w:val="00F90CE6"/>
    <w:rsid w:val="00FA07EF"/>
    <w:rsid w:val="00FB1E6E"/>
    <w:rsid w:val="00FB782E"/>
    <w:rsid w:val="00FB788A"/>
    <w:rsid w:val="00FC338F"/>
    <w:rsid w:val="00FD5BE9"/>
    <w:rsid w:val="00FD6344"/>
    <w:rsid w:val="00FE2520"/>
    <w:rsid w:val="00FE25AB"/>
    <w:rsid w:val="00FE6A5F"/>
    <w:rsid w:val="00FF413D"/>
    <w:rsid w:val="00FF4B04"/>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 w:type="character" w:customStyle="1" w:styleId="Hyperlink2">
    <w:name w:val="Hyperlink2"/>
    <w:rsid w:val="001B75F2"/>
    <w:rPr>
      <w:color w:val="0000FE"/>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 w:type="character" w:customStyle="1" w:styleId="Hyperlink2">
    <w:name w:val="Hyperlink2"/>
    <w:rsid w:val="001B75F2"/>
    <w:rPr>
      <w:color w:val="0000FE"/>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wc.com/g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us/en/cities-of-opportunity/index.j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wc.com/gx/en/issues/megatrends/index.j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wc.com/citiespeopl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1931-AA1C-4504-AF68-C61A2333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PwC</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alayna.francis@us.pwc.com</dc:creator>
  <cp:keywords>TMT, Innovation, Innovators, Technology, Entertainment &amp; Media, Telecommunications</cp:keywords>
  <cp:lastModifiedBy>Shelly Ko Van Pelt</cp:lastModifiedBy>
  <cp:revision>2</cp:revision>
  <cp:lastPrinted>2014-01-27T20:17:00Z</cp:lastPrinted>
  <dcterms:created xsi:type="dcterms:W3CDTF">2014-06-12T18:55:00Z</dcterms:created>
  <dcterms:modified xsi:type="dcterms:W3CDTF">2014-06-12T18:55:00Z</dcterms:modified>
</cp:coreProperties>
</file>