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1336" w:rsidRPr="00993039" w:rsidRDefault="00D81336"/>
    <w:p w:rsidR="00D81336" w:rsidRPr="00993039" w:rsidRDefault="00A77FF6">
      <w:pPr>
        <w:pStyle w:val="Title"/>
        <w:rPr>
          <w:rFonts w:ascii="Georgia" w:hAnsi="Georgia"/>
        </w:rPr>
      </w:pPr>
      <w:r w:rsidRPr="00993039">
        <w:rPr>
          <w:rFonts w:ascii="Georgia" w:hAnsi="Georgia"/>
        </w:rPr>
        <w:t>News release</w:t>
      </w:r>
    </w:p>
    <w:tbl>
      <w:tblPr>
        <w:tblW w:w="0" w:type="auto"/>
        <w:tblLayout w:type="fixed"/>
        <w:tblLook w:val="0000" w:firstRow="0" w:lastRow="0" w:firstColumn="0" w:lastColumn="0" w:noHBand="0" w:noVBand="0"/>
      </w:tblPr>
      <w:tblGrid>
        <w:gridCol w:w="2268"/>
        <w:gridCol w:w="4645"/>
      </w:tblGrid>
      <w:tr w:rsidR="00D81336" w:rsidRPr="00993039">
        <w:tc>
          <w:tcPr>
            <w:tcW w:w="2268" w:type="dxa"/>
          </w:tcPr>
          <w:p w:rsidR="00D81336" w:rsidRPr="00993039" w:rsidRDefault="00A77FF6">
            <w:pPr>
              <w:rPr>
                <w:i/>
              </w:rPr>
            </w:pPr>
            <w:r w:rsidRPr="00993039">
              <w:rPr>
                <w:i/>
              </w:rPr>
              <w:t>Date</w:t>
            </w:r>
          </w:p>
        </w:tc>
        <w:tc>
          <w:tcPr>
            <w:tcW w:w="4645" w:type="dxa"/>
          </w:tcPr>
          <w:p w:rsidR="00D81336" w:rsidRPr="00993039" w:rsidRDefault="001B75F2">
            <w:r>
              <w:t>19 May 2014</w:t>
            </w:r>
          </w:p>
          <w:p w:rsidR="00D81336" w:rsidRPr="00993039" w:rsidRDefault="00D81336"/>
        </w:tc>
      </w:tr>
      <w:tr w:rsidR="00D81336" w:rsidRPr="00FC338F">
        <w:tc>
          <w:tcPr>
            <w:tcW w:w="2268" w:type="dxa"/>
          </w:tcPr>
          <w:p w:rsidR="00D81336" w:rsidRPr="00993039" w:rsidRDefault="00A77FF6">
            <w:pPr>
              <w:rPr>
                <w:i/>
              </w:rPr>
            </w:pPr>
            <w:r w:rsidRPr="00993039">
              <w:rPr>
                <w:i/>
              </w:rPr>
              <w:t>Contact</w:t>
            </w:r>
          </w:p>
        </w:tc>
        <w:tc>
          <w:tcPr>
            <w:tcW w:w="4645" w:type="dxa"/>
          </w:tcPr>
          <w:p w:rsidR="00D81336" w:rsidRDefault="001B75F2">
            <w:pPr>
              <w:tabs>
                <w:tab w:val="left" w:pos="1440"/>
              </w:tabs>
              <w:ind w:left="1440" w:hanging="1440"/>
              <w:rPr>
                <w:rFonts w:cs="Arial"/>
                <w:b/>
                <w:bCs/>
                <w:color w:val="000000"/>
              </w:rPr>
            </w:pPr>
            <w:r>
              <w:rPr>
                <w:rFonts w:cs="Arial"/>
                <w:b/>
                <w:bCs/>
                <w:color w:val="000000"/>
              </w:rPr>
              <w:t>Tanja Sullivan</w:t>
            </w:r>
          </w:p>
          <w:p w:rsidR="001B75F2" w:rsidRPr="001B75F2" w:rsidRDefault="001B75F2">
            <w:pPr>
              <w:tabs>
                <w:tab w:val="left" w:pos="1440"/>
              </w:tabs>
              <w:ind w:left="1440" w:hanging="1440"/>
              <w:rPr>
                <w:rFonts w:cs="Arial"/>
                <w:color w:val="000000"/>
              </w:rPr>
            </w:pPr>
            <w:r>
              <w:rPr>
                <w:rFonts w:cs="Arial"/>
                <w:color w:val="000000"/>
              </w:rPr>
              <w:t>PwC US, Public Relations</w:t>
            </w:r>
          </w:p>
          <w:p w:rsidR="00D81336" w:rsidRPr="00FC338F" w:rsidRDefault="00A77FF6">
            <w:pPr>
              <w:tabs>
                <w:tab w:val="left" w:pos="1440"/>
              </w:tabs>
              <w:ind w:left="1440" w:hanging="1440"/>
              <w:rPr>
                <w:rFonts w:cs="Arial"/>
                <w:color w:val="000000"/>
              </w:rPr>
            </w:pPr>
            <w:r w:rsidRPr="00FC338F">
              <w:rPr>
                <w:rFonts w:cs="Arial"/>
                <w:color w:val="000000"/>
              </w:rPr>
              <w:t xml:space="preserve">Tel: </w:t>
            </w:r>
            <w:r w:rsidR="00104713" w:rsidRPr="00FC338F">
              <w:rPr>
                <w:rFonts w:cs="Arial"/>
                <w:color w:val="000000"/>
              </w:rPr>
              <w:t>+1 646-471-</w:t>
            </w:r>
            <w:r w:rsidR="001B75F2">
              <w:rPr>
                <w:rFonts w:cs="Arial"/>
                <w:color w:val="000000"/>
              </w:rPr>
              <w:t>6959</w:t>
            </w:r>
          </w:p>
          <w:p w:rsidR="00D81336" w:rsidRPr="00FC338F" w:rsidRDefault="001E7D34" w:rsidP="001B75F2">
            <w:pPr>
              <w:tabs>
                <w:tab w:val="left" w:pos="1440"/>
              </w:tabs>
              <w:ind w:left="1440" w:hanging="1440"/>
              <w:rPr>
                <w:rFonts w:cs="Arial"/>
                <w:color w:val="000000"/>
              </w:rPr>
            </w:pPr>
            <w:r w:rsidRPr="00FC338F">
              <w:rPr>
                <w:rFonts w:cs="Arial"/>
                <w:color w:val="000000"/>
              </w:rPr>
              <w:t>E</w:t>
            </w:r>
            <w:r w:rsidR="00A77FF6" w:rsidRPr="00FC338F">
              <w:rPr>
                <w:rFonts w:cs="Arial"/>
                <w:color w:val="000000"/>
              </w:rPr>
              <w:t xml:space="preserve">-mail: </w:t>
            </w:r>
            <w:r w:rsidR="001B75F2">
              <w:rPr>
                <w:rFonts w:cs="Arial"/>
                <w:color w:val="000000"/>
              </w:rPr>
              <w:t>tanja.sullivan@us.pwc.com</w:t>
            </w:r>
          </w:p>
        </w:tc>
      </w:tr>
      <w:tr w:rsidR="00D81336" w:rsidRPr="00FC338F">
        <w:tc>
          <w:tcPr>
            <w:tcW w:w="2268" w:type="dxa"/>
          </w:tcPr>
          <w:p w:rsidR="00D81336" w:rsidRPr="00FC338F" w:rsidRDefault="00D81336">
            <w:pPr>
              <w:rPr>
                <w:i/>
              </w:rPr>
            </w:pPr>
          </w:p>
          <w:p w:rsidR="00D81336" w:rsidRPr="00993039" w:rsidRDefault="00A77FF6">
            <w:pPr>
              <w:rPr>
                <w:i/>
              </w:rPr>
            </w:pPr>
            <w:r w:rsidRPr="00993039">
              <w:rPr>
                <w:i/>
              </w:rPr>
              <w:t xml:space="preserve">Pages </w:t>
            </w:r>
          </w:p>
        </w:tc>
        <w:tc>
          <w:tcPr>
            <w:tcW w:w="4645" w:type="dxa"/>
          </w:tcPr>
          <w:p w:rsidR="00D81336" w:rsidRPr="00FC338F" w:rsidRDefault="00D81336"/>
          <w:p w:rsidR="00D81336" w:rsidRDefault="00E11F82">
            <w:r w:rsidRPr="00FC338F">
              <w:t>2</w:t>
            </w:r>
            <w:r w:rsidR="001E7D34" w:rsidRPr="00FC338F">
              <w:t xml:space="preserve"> pages</w:t>
            </w:r>
          </w:p>
          <w:p w:rsidR="00612D47" w:rsidRPr="00FC338F" w:rsidRDefault="00612D47"/>
        </w:tc>
        <w:bookmarkStart w:id="0" w:name="_GoBack"/>
        <w:bookmarkEnd w:id="0"/>
      </w:tr>
    </w:tbl>
    <w:p w:rsidR="00D81336" w:rsidRPr="00FC338F" w:rsidRDefault="00D81336" w:rsidP="001B75F2">
      <w:pPr>
        <w:pStyle w:val="Title"/>
        <w:spacing w:after="0"/>
        <w:rPr>
          <w:i w:val="0"/>
          <w:sz w:val="16"/>
          <w:szCs w:val="16"/>
        </w:rPr>
      </w:pPr>
    </w:p>
    <w:p w:rsidR="001B75F2" w:rsidRPr="001B75F2" w:rsidRDefault="001B75F2" w:rsidP="001B75F2">
      <w:pPr>
        <w:jc w:val="center"/>
        <w:rPr>
          <w:sz w:val="24"/>
          <w:szCs w:val="24"/>
        </w:rPr>
      </w:pPr>
      <w:r w:rsidRPr="001B75F2">
        <w:rPr>
          <w:b/>
          <w:bCs/>
          <w:sz w:val="24"/>
          <w:szCs w:val="24"/>
        </w:rPr>
        <w:t xml:space="preserve">London Tops PwC’s </w:t>
      </w:r>
      <w:r w:rsidRPr="001B75F2">
        <w:rPr>
          <w:b/>
          <w:bCs/>
          <w:i/>
          <w:iCs/>
          <w:sz w:val="24"/>
          <w:szCs w:val="24"/>
        </w:rPr>
        <w:t>Cities of Opportunity</w:t>
      </w:r>
      <w:r w:rsidRPr="001B75F2">
        <w:rPr>
          <w:b/>
          <w:bCs/>
          <w:sz w:val="24"/>
          <w:szCs w:val="24"/>
        </w:rPr>
        <w:t xml:space="preserve"> Study </w:t>
      </w:r>
      <w:r w:rsidRPr="001B75F2">
        <w:rPr>
          <w:b/>
          <w:bCs/>
          <w:sz w:val="24"/>
          <w:szCs w:val="24"/>
        </w:rPr>
        <w:br/>
      </w:r>
      <w:r w:rsidRPr="001B75F2">
        <w:rPr>
          <w:b/>
          <w:bCs/>
          <w:sz w:val="24"/>
          <w:szCs w:val="24"/>
        </w:rPr>
        <w:t>of Global Centers of Business, Finance and Culture</w:t>
      </w:r>
    </w:p>
    <w:p w:rsidR="001B75F2" w:rsidRPr="001B75F2" w:rsidRDefault="001B75F2" w:rsidP="001B75F2">
      <w:pPr>
        <w:jc w:val="center"/>
        <w:rPr>
          <w:iCs/>
          <w:szCs w:val="20"/>
        </w:rPr>
      </w:pPr>
    </w:p>
    <w:p w:rsidR="001B75F2" w:rsidRDefault="001B75F2" w:rsidP="001B75F2">
      <w:pPr>
        <w:jc w:val="center"/>
        <w:rPr>
          <w:i/>
          <w:iCs/>
          <w:sz w:val="22"/>
        </w:rPr>
      </w:pPr>
      <w:r w:rsidRPr="007A4560">
        <w:rPr>
          <w:i/>
          <w:iCs/>
          <w:sz w:val="22"/>
        </w:rPr>
        <w:t>New York takes second</w:t>
      </w:r>
      <w:r>
        <w:rPr>
          <w:i/>
          <w:iCs/>
          <w:sz w:val="22"/>
        </w:rPr>
        <w:t xml:space="preserve">; </w:t>
      </w:r>
      <w:r w:rsidRPr="007A4560">
        <w:rPr>
          <w:i/>
          <w:iCs/>
          <w:sz w:val="22"/>
        </w:rPr>
        <w:t>Singapore climbs to third</w:t>
      </w:r>
    </w:p>
    <w:p w:rsidR="001B75F2" w:rsidRPr="001B75F2" w:rsidRDefault="001B75F2" w:rsidP="001B75F2">
      <w:pPr>
        <w:jc w:val="center"/>
        <w:rPr>
          <w:iCs/>
          <w:szCs w:val="20"/>
        </w:rPr>
      </w:pPr>
    </w:p>
    <w:p w:rsidR="001B75F2" w:rsidRPr="007A4560" w:rsidRDefault="001B75F2" w:rsidP="001B75F2">
      <w:pPr>
        <w:jc w:val="center"/>
        <w:rPr>
          <w:sz w:val="22"/>
        </w:rPr>
      </w:pPr>
      <w:r w:rsidRPr="007A4560">
        <w:rPr>
          <w:i/>
          <w:iCs/>
          <w:sz w:val="22"/>
        </w:rPr>
        <w:t>Competition for talent, capital and economic clout drives cities to build and maintain resilient urban communities</w:t>
      </w:r>
    </w:p>
    <w:p w:rsidR="001B75F2" w:rsidRDefault="001B75F2" w:rsidP="001B75F2">
      <w:r w:rsidRPr="007A4560">
        <w:br/>
      </w:r>
      <w:r w:rsidRPr="007A4560">
        <w:rPr>
          <w:b/>
          <w:bCs/>
        </w:rPr>
        <w:t>New York, May 19, 2014</w:t>
      </w:r>
      <w:r w:rsidRPr="007A4560">
        <w:t xml:space="preserve"> – For the first time, London posts the highest score among the 30 cities studied by </w:t>
      </w:r>
      <w:hyperlink r:id="rId9" w:history="1">
        <w:r w:rsidRPr="007A4560">
          <w:rPr>
            <w:rStyle w:val="Hyperlink"/>
          </w:rPr>
          <w:t>PwC US</w:t>
        </w:r>
      </w:hyperlink>
      <w:r w:rsidRPr="007A4560">
        <w:t xml:space="preserve"> in the sixth edition of its </w:t>
      </w:r>
      <w:hyperlink r:id="rId10" w:history="1">
        <w:r w:rsidRPr="007A4560">
          <w:rPr>
            <w:rStyle w:val="Hyperlink"/>
            <w:i/>
            <w:iCs/>
          </w:rPr>
          <w:t>Cities of Opportunity</w:t>
        </w:r>
      </w:hyperlink>
      <w:r w:rsidRPr="007A4560">
        <w:rPr>
          <w:i/>
          <w:iCs/>
        </w:rPr>
        <w:t xml:space="preserve"> </w:t>
      </w:r>
      <w:r w:rsidRPr="007A4560">
        <w:t xml:space="preserve">report, released today. London, the only city to finish first in three of the 10 indicators—economic clout, city gateway and technology readiness, a category it ties with Seoul—was followed by New York and Singapore. The study shows that top ranked cities embody the energy, opportunity and hope that draw people to city life. High performing cities also find the right balance between social and economic strengths in a world being quickly shaped by inescapable global trends. </w:t>
      </w:r>
    </w:p>
    <w:p w:rsidR="001B75F2" w:rsidRDefault="001B75F2" w:rsidP="001B75F2"/>
    <w:p w:rsidR="001B75F2" w:rsidRDefault="001B75F2" w:rsidP="001B75F2">
      <w:r w:rsidRPr="007A4560">
        <w:t>Moving up four spots from the last edition, Singapore takes third place overall and finishes first in two indicators—ease of doing business and transportation and infrastructure. Despite not having a top rank in any indicator, New York continues to show strong consistency across most of the categories. Rounding out the top five cities are Toronto and San Francisco.</w:t>
      </w:r>
    </w:p>
    <w:p w:rsidR="001B75F2" w:rsidRDefault="001B75F2" w:rsidP="001B75F2"/>
    <w:p w:rsidR="001B75F2" w:rsidRPr="007A4560" w:rsidRDefault="001B75F2" w:rsidP="001B75F2">
      <w:pPr>
        <w:rPr>
          <w:b/>
          <w:bCs/>
        </w:rPr>
      </w:pPr>
      <w:r w:rsidRPr="007A4560">
        <w:t>As for London, the city outperforms New York by a good margin after finishing second in a virtual tie with New York in 2012. Results show London is developing a strong foundation for the future with top economic strength, openness to the world and technology readiness—all critical building blocks for further growth in a digitally and physically connected world. In addition, London finishes a narrow second to Paris in intellectual capital and innovation and comes in second—virtually tying Sydney—in demographics and liveability, both key areas for future urban prosperity.</w:t>
      </w:r>
    </w:p>
    <w:p w:rsidR="001B75F2" w:rsidRDefault="001B75F2" w:rsidP="001B75F2"/>
    <w:p w:rsidR="001B75F2" w:rsidRDefault="001B75F2" w:rsidP="001B75F2">
      <w:r>
        <w:t>“</w:t>
      </w:r>
      <w:r w:rsidRPr="002E020B">
        <w:t>Changing demographics, shifts in economic power and the concepts of urbanization being realized are the forces taki</w:t>
      </w:r>
      <w:r>
        <w:t>ng the world in a new direction</w:t>
      </w:r>
      <w:r w:rsidRPr="002E020B">
        <w:t>,</w:t>
      </w:r>
      <w:r>
        <w:t>”</w:t>
      </w:r>
      <w:r w:rsidRPr="002E020B">
        <w:t xml:space="preserve"> said </w:t>
      </w:r>
      <w:hyperlink r:id="rId11" w:history="1">
        <w:r w:rsidRPr="002E020B">
          <w:rPr>
            <w:rStyle w:val="Hyperlink"/>
          </w:rPr>
          <w:t>Bob Moritz</w:t>
        </w:r>
      </w:hyperlink>
      <w:r w:rsidRPr="002E020B">
        <w:t>, PwC's U</w:t>
      </w:r>
      <w:r>
        <w:t>S Chairman and Senior Partner. “</w:t>
      </w:r>
      <w:r w:rsidRPr="002E020B">
        <w:t xml:space="preserve">Cities are increasingly competing for talent and are working hard to capture the promise of growth from </w:t>
      </w:r>
      <w:r>
        <w:t>the many opportunities in today’</w:t>
      </w:r>
      <w:r w:rsidRPr="002E020B">
        <w:t xml:space="preserve">s rapidly changing world. As a result, people are looking for more potential for personal opportunity while demanding critical elements </w:t>
      </w:r>
      <w:r>
        <w:t>to increase</w:t>
      </w:r>
      <w:r w:rsidRPr="002E020B">
        <w:t xml:space="preserve"> quality of life. It</w:t>
      </w:r>
      <w:r>
        <w:t>’</w:t>
      </w:r>
      <w:r w:rsidRPr="002E020B">
        <w:t xml:space="preserve">s the </w:t>
      </w:r>
      <w:r>
        <w:t>top ranking cities in this year’</w:t>
      </w:r>
      <w:r w:rsidRPr="002E020B">
        <w:t>s study that are demonstrating the foresight that is needed to adapt, stay competitive and thrive for a sustainable positive future."</w:t>
      </w:r>
    </w:p>
    <w:p w:rsidR="001B75F2" w:rsidRDefault="001B75F2" w:rsidP="001B75F2"/>
    <w:p w:rsidR="001B75F2" w:rsidRDefault="001B75F2" w:rsidP="001B75F2">
      <w:r w:rsidRPr="007A4560">
        <w:rPr>
          <w:i/>
          <w:iCs/>
        </w:rPr>
        <w:lastRenderedPageBreak/>
        <w:t xml:space="preserve">Cities of Opportunity </w:t>
      </w:r>
      <w:r w:rsidRPr="007A4560">
        <w:t>6 also highlights the increasing competitiveness of emerging cities across several key indicators. Beijing, which ranked 19</w:t>
      </w:r>
      <w:r w:rsidRPr="007A4560">
        <w:rPr>
          <w:vertAlign w:val="superscript"/>
        </w:rPr>
        <w:t>th</w:t>
      </w:r>
      <w:r w:rsidRPr="007A4560">
        <w:t>, finishes in the top three in both the city gateway and economic clout categories, while Seoul is top in technology readiness and is the only emerging city to reach the top 10 in the ease of doing business indicator. Seoul and Buenos Aires also break into the top three for transportation and infrastructure, while Johannesburg is in the top three for cost.</w:t>
      </w:r>
    </w:p>
    <w:p w:rsidR="001B75F2" w:rsidRDefault="001B75F2" w:rsidP="001B75F2"/>
    <w:p w:rsidR="001B75F2" w:rsidRPr="007A4560" w:rsidRDefault="001B75F2" w:rsidP="001B75F2">
      <w:r w:rsidRPr="007A4560">
        <w:t xml:space="preserve">The </w:t>
      </w:r>
      <w:r w:rsidRPr="007A4560">
        <w:rPr>
          <w:i/>
          <w:iCs/>
        </w:rPr>
        <w:t>Cities of Opportunity</w:t>
      </w:r>
      <w:r w:rsidRPr="007A4560">
        <w:t xml:space="preserve"> key indicators and top three cities within each are: </w:t>
      </w:r>
    </w:p>
    <w:p w:rsidR="001B75F2" w:rsidRDefault="001B75F2" w:rsidP="001B75F2">
      <w:pPr>
        <w:pStyle w:val="ListParagraph"/>
        <w:numPr>
          <w:ilvl w:val="0"/>
          <w:numId w:val="31"/>
        </w:numPr>
        <w:ind w:left="540"/>
      </w:pPr>
      <w:r w:rsidRPr="001B75F2">
        <w:rPr>
          <w:i/>
          <w:iCs/>
        </w:rPr>
        <w:t>Intellectual capital and innovation</w:t>
      </w:r>
      <w:r w:rsidRPr="007A4560">
        <w:t>: Paris, London, San Francisco</w:t>
      </w:r>
    </w:p>
    <w:p w:rsidR="001B75F2" w:rsidRDefault="001B75F2" w:rsidP="001B75F2">
      <w:pPr>
        <w:pStyle w:val="ListParagraph"/>
        <w:numPr>
          <w:ilvl w:val="0"/>
          <w:numId w:val="31"/>
        </w:numPr>
        <w:ind w:left="540"/>
      </w:pPr>
      <w:r w:rsidRPr="001B75F2">
        <w:rPr>
          <w:i/>
          <w:iCs/>
        </w:rPr>
        <w:t>Technology readiness</w:t>
      </w:r>
      <w:r w:rsidRPr="007A4560">
        <w:t>: London and Seoul tied for first place, Stockholm, Hong Kong</w:t>
      </w:r>
    </w:p>
    <w:p w:rsidR="001B75F2" w:rsidRDefault="001B75F2" w:rsidP="001B75F2">
      <w:pPr>
        <w:pStyle w:val="ListParagraph"/>
        <w:numPr>
          <w:ilvl w:val="0"/>
          <w:numId w:val="31"/>
        </w:numPr>
        <w:ind w:left="540"/>
      </w:pPr>
      <w:r w:rsidRPr="001B75F2">
        <w:rPr>
          <w:i/>
          <w:iCs/>
        </w:rPr>
        <w:t>City gateway</w:t>
      </w:r>
      <w:r w:rsidRPr="007A4560">
        <w:t>: London, Beijing, Singapore</w:t>
      </w:r>
    </w:p>
    <w:p w:rsidR="001B75F2" w:rsidRDefault="001B75F2" w:rsidP="001B75F2">
      <w:pPr>
        <w:pStyle w:val="ListParagraph"/>
        <w:numPr>
          <w:ilvl w:val="0"/>
          <w:numId w:val="31"/>
        </w:numPr>
        <w:ind w:left="540"/>
      </w:pPr>
      <w:r w:rsidRPr="001B75F2">
        <w:rPr>
          <w:i/>
          <w:iCs/>
        </w:rPr>
        <w:t>Transportation and infrastructure</w:t>
      </w:r>
      <w:r w:rsidRPr="007A4560">
        <w:t>: Singapore, Toronto, Buenos Aires and Seoul tied for third</w:t>
      </w:r>
    </w:p>
    <w:p w:rsidR="001B75F2" w:rsidRDefault="001B75F2" w:rsidP="001B75F2">
      <w:pPr>
        <w:pStyle w:val="ListParagraph"/>
        <w:numPr>
          <w:ilvl w:val="0"/>
          <w:numId w:val="31"/>
        </w:numPr>
        <w:ind w:left="540"/>
      </w:pPr>
      <w:r w:rsidRPr="001B75F2">
        <w:rPr>
          <w:i/>
          <w:iCs/>
        </w:rPr>
        <w:t>Health, safety and security</w:t>
      </w:r>
      <w:r w:rsidRPr="007A4560">
        <w:t>: Stockholm, Sydney and Toronto tied for second, Berlin</w:t>
      </w:r>
    </w:p>
    <w:p w:rsidR="001B75F2" w:rsidRDefault="001B75F2" w:rsidP="001B75F2">
      <w:pPr>
        <w:pStyle w:val="ListParagraph"/>
        <w:numPr>
          <w:ilvl w:val="0"/>
          <w:numId w:val="31"/>
        </w:numPr>
        <w:ind w:left="540"/>
      </w:pPr>
      <w:r w:rsidRPr="001B75F2">
        <w:rPr>
          <w:i/>
          <w:iCs/>
        </w:rPr>
        <w:t>Sustainability and the natural environment</w:t>
      </w:r>
      <w:r w:rsidRPr="007A4560">
        <w:t>: Stockholm and Sydney tied for first, Paris and Berlin tied for second, San Francisco</w:t>
      </w:r>
    </w:p>
    <w:p w:rsidR="001B75F2" w:rsidRDefault="001B75F2" w:rsidP="001B75F2">
      <w:pPr>
        <w:pStyle w:val="ListParagraph"/>
        <w:numPr>
          <w:ilvl w:val="0"/>
          <w:numId w:val="31"/>
        </w:numPr>
        <w:ind w:left="540"/>
      </w:pPr>
      <w:r w:rsidRPr="001B75F2">
        <w:rPr>
          <w:i/>
          <w:iCs/>
        </w:rPr>
        <w:t>Demographics and livability</w:t>
      </w:r>
      <w:r w:rsidRPr="007A4560">
        <w:t>: Sydney, London, San Francisco</w:t>
      </w:r>
    </w:p>
    <w:p w:rsidR="001B75F2" w:rsidRDefault="001B75F2" w:rsidP="001B75F2">
      <w:pPr>
        <w:pStyle w:val="ListParagraph"/>
        <w:numPr>
          <w:ilvl w:val="0"/>
          <w:numId w:val="31"/>
        </w:numPr>
        <w:ind w:left="540"/>
      </w:pPr>
      <w:r w:rsidRPr="001B75F2">
        <w:rPr>
          <w:i/>
          <w:iCs/>
        </w:rPr>
        <w:t>Economic clout</w:t>
      </w:r>
      <w:r w:rsidRPr="007A4560">
        <w:t>: London, Beijing, New York</w:t>
      </w:r>
    </w:p>
    <w:p w:rsidR="001B75F2" w:rsidRDefault="001B75F2" w:rsidP="001B75F2">
      <w:pPr>
        <w:pStyle w:val="ListParagraph"/>
        <w:numPr>
          <w:ilvl w:val="0"/>
          <w:numId w:val="31"/>
        </w:numPr>
        <w:ind w:left="540"/>
      </w:pPr>
      <w:r w:rsidRPr="001B75F2">
        <w:rPr>
          <w:i/>
          <w:iCs/>
        </w:rPr>
        <w:t>Ease of doing business</w:t>
      </w:r>
      <w:r w:rsidRPr="007A4560">
        <w:t>: Singapore, Hong Kong, New York</w:t>
      </w:r>
    </w:p>
    <w:p w:rsidR="001B75F2" w:rsidRPr="007A4560" w:rsidRDefault="001B75F2" w:rsidP="001B75F2">
      <w:pPr>
        <w:pStyle w:val="ListParagraph"/>
        <w:numPr>
          <w:ilvl w:val="0"/>
          <w:numId w:val="31"/>
        </w:numPr>
        <w:ind w:left="540"/>
      </w:pPr>
      <w:r w:rsidRPr="001B75F2">
        <w:rPr>
          <w:i/>
          <w:iCs/>
        </w:rPr>
        <w:t>Cost</w:t>
      </w:r>
      <w:r w:rsidRPr="007A4560">
        <w:t>: Los Angeles, Chicago, Johannesburg</w:t>
      </w:r>
    </w:p>
    <w:p w:rsidR="001B75F2" w:rsidRDefault="001B75F2" w:rsidP="001B75F2">
      <w:pPr>
        <w:autoSpaceDE w:val="0"/>
        <w:autoSpaceDN w:val="0"/>
        <w:adjustRightInd w:val="0"/>
        <w:spacing w:line="240" w:lineRule="auto"/>
      </w:pPr>
    </w:p>
    <w:p w:rsidR="001B75F2" w:rsidRDefault="001B75F2" w:rsidP="001B75F2">
      <w:pPr>
        <w:autoSpaceDE w:val="0"/>
        <w:autoSpaceDN w:val="0"/>
        <w:adjustRightInd w:val="0"/>
        <w:spacing w:line="240" w:lineRule="auto"/>
      </w:pPr>
      <w:r w:rsidRPr="007A4560">
        <w:t xml:space="preserve">The full report is available at </w:t>
      </w:r>
      <w:hyperlink r:id="rId12" w:history="1">
        <w:r w:rsidRPr="007A4560">
          <w:rPr>
            <w:rStyle w:val="Hyperlink"/>
          </w:rPr>
          <w:t>http://www.pwc.com/cities</w:t>
        </w:r>
      </w:hyperlink>
      <w:r>
        <w:t>.</w:t>
      </w:r>
      <w:r w:rsidRPr="007A4560">
        <w:t>The site also features in-depth video interviews with leaders including Bob Moritz, PwC’s US Chairman and Senior Partner, Erik Brynjolfsson of MIT’s center for digital business, and Ulla Hamilton, Deputy Mayor of Stockholm for entrepreneurism.</w:t>
      </w:r>
    </w:p>
    <w:p w:rsidR="001B75F2" w:rsidRDefault="001B75F2" w:rsidP="001B75F2">
      <w:pPr>
        <w:autoSpaceDE w:val="0"/>
        <w:autoSpaceDN w:val="0"/>
        <w:adjustRightInd w:val="0"/>
        <w:spacing w:line="240" w:lineRule="auto"/>
      </w:pPr>
    </w:p>
    <w:p w:rsidR="001B75F2" w:rsidRDefault="001B75F2" w:rsidP="001B75F2">
      <w:pPr>
        <w:autoSpaceDE w:val="0"/>
        <w:autoSpaceDN w:val="0"/>
        <w:adjustRightInd w:val="0"/>
        <w:spacing w:line="240" w:lineRule="auto"/>
        <w:rPr>
          <w:b/>
          <w:bCs/>
          <w:i/>
          <w:iCs/>
        </w:rPr>
      </w:pPr>
      <w:r w:rsidRPr="007A4560">
        <w:rPr>
          <w:b/>
          <w:bCs/>
          <w:i/>
          <w:iCs/>
        </w:rPr>
        <w:t>Cities of Opportunity 6: We, the urban people</w:t>
      </w:r>
    </w:p>
    <w:p w:rsidR="001B75F2" w:rsidRDefault="001B75F2" w:rsidP="001B75F2">
      <w:pPr>
        <w:autoSpaceDE w:val="0"/>
        <w:autoSpaceDN w:val="0"/>
        <w:adjustRightInd w:val="0"/>
        <w:spacing w:line="240" w:lineRule="auto"/>
      </w:pPr>
      <w:r w:rsidRPr="007A4560">
        <w:t xml:space="preserve">In June, PwC will release </w:t>
      </w:r>
      <w:r w:rsidRPr="007A4560">
        <w:rPr>
          <w:i/>
          <w:iCs/>
        </w:rPr>
        <w:t>Cities of Opportunity 6: We, the urban people</w:t>
      </w:r>
      <w:r w:rsidRPr="007A4560">
        <w:t xml:space="preserve">, that will include findings from a global survey of 15,000 PwC professional staff—comprised of an average of 20 percent of staff in each of the 30 cities. The study, which was used to enrich the data of the main </w:t>
      </w:r>
      <w:r w:rsidRPr="007A4560">
        <w:rPr>
          <w:i/>
          <w:iCs/>
        </w:rPr>
        <w:t xml:space="preserve">Cities of Opportunity 6 </w:t>
      </w:r>
      <w:r w:rsidRPr="007A4560">
        <w:t xml:space="preserve">report, will provide an in-depth look at demographics and quality of urban life, including responses on commuting, urban priorities, likelihood of remaining in the city, preferences for relocation, and spending patterns, among other revealing points. </w:t>
      </w:r>
    </w:p>
    <w:p w:rsidR="001B75F2" w:rsidRDefault="001B75F2" w:rsidP="001B75F2">
      <w:pPr>
        <w:autoSpaceDE w:val="0"/>
        <w:autoSpaceDN w:val="0"/>
        <w:adjustRightInd w:val="0"/>
        <w:spacing w:line="240" w:lineRule="auto"/>
      </w:pPr>
    </w:p>
    <w:p w:rsidR="001B75F2" w:rsidRDefault="001B75F2" w:rsidP="001B75F2">
      <w:pPr>
        <w:autoSpaceDE w:val="0"/>
        <w:autoSpaceDN w:val="0"/>
        <w:adjustRightInd w:val="0"/>
        <w:spacing w:line="240" w:lineRule="auto"/>
        <w:rPr>
          <w:b/>
          <w:bCs/>
        </w:rPr>
      </w:pPr>
      <w:r w:rsidRPr="007A4560">
        <w:rPr>
          <w:b/>
          <w:bCs/>
        </w:rPr>
        <w:t>Methodology</w:t>
      </w:r>
    </w:p>
    <w:p w:rsidR="001B75F2" w:rsidRDefault="001B75F2" w:rsidP="001B75F2">
      <w:pPr>
        <w:autoSpaceDE w:val="0"/>
        <w:autoSpaceDN w:val="0"/>
        <w:adjustRightInd w:val="0"/>
        <w:spacing w:line="240" w:lineRule="auto"/>
      </w:pPr>
      <w:r w:rsidRPr="007A4560">
        <w:rPr>
          <w:i/>
          <w:iCs/>
        </w:rPr>
        <w:t>Cities of Opportunity</w:t>
      </w:r>
      <w:r w:rsidRPr="007A4560">
        <w:t xml:space="preserve"> is based on publicly available data, using three main sources: global multilateral development organizations such as the World Bank and the International Monetary Fund; national statistics organizations, such as National Statistics in the UK and the Census Bureau in the US; and commercial data providers. The data was collected during the third and fourth quarters of 2013. Besides adding Jakarta, Nairobi, and Rio de Janeiro to the study, PwC also replaced Abu Dhabi with Dubai, which brought the study to 30 cities total, the largest to date. The scoring methodology was developed to facilitate transparency and simplicity for readers, as well as comparability across cities. </w:t>
      </w:r>
      <w:r w:rsidRPr="007A4560">
        <w:br/>
      </w:r>
    </w:p>
    <w:p w:rsidR="001B75F2" w:rsidRPr="00DC535E" w:rsidRDefault="001B75F2" w:rsidP="001B75F2">
      <w:pPr>
        <w:autoSpaceDE w:val="0"/>
        <w:autoSpaceDN w:val="0"/>
        <w:adjustRightInd w:val="0"/>
        <w:spacing w:line="240" w:lineRule="auto"/>
        <w:rPr>
          <w:rFonts w:cs="Helv"/>
          <w:b/>
          <w:szCs w:val="20"/>
        </w:rPr>
      </w:pPr>
      <w:r w:rsidRPr="00DC535E">
        <w:rPr>
          <w:rFonts w:cs="Helv"/>
          <w:b/>
          <w:szCs w:val="20"/>
        </w:rPr>
        <w:t>About PwC</w:t>
      </w:r>
    </w:p>
    <w:p w:rsidR="001B75F2" w:rsidRPr="00DC535E" w:rsidRDefault="001B75F2" w:rsidP="001B75F2">
      <w:pPr>
        <w:spacing w:line="240" w:lineRule="auto"/>
        <w:rPr>
          <w:rFonts w:cs="Arial"/>
          <w:color w:val="000000"/>
          <w:szCs w:val="20"/>
          <w:lang w:val="en-US"/>
        </w:rPr>
      </w:pPr>
    </w:p>
    <w:p w:rsidR="001B75F2" w:rsidRDefault="001B75F2" w:rsidP="001B75F2">
      <w:pPr>
        <w:rPr>
          <w:rFonts w:ascii="Times New Roman" w:hAnsi="Times New Roman"/>
          <w:bCs/>
          <w:color w:val="000000"/>
          <w:szCs w:val="20"/>
          <w:lang w:eastAsia="en-GB"/>
        </w:rPr>
      </w:pPr>
      <w:r w:rsidRPr="00745286">
        <w:rPr>
          <w:rFonts w:cs="Georgia"/>
          <w:bCs/>
          <w:color w:val="000000"/>
          <w:szCs w:val="20"/>
          <w:lang w:eastAsia="en-GB"/>
        </w:rPr>
        <w:t xml:space="preserve">PwC helps organisations and individuals create the value they’re looking for. We’re a network of firms in 157 countries with more than 184,000 people who are committed to delivering quality in assurance, tax and advisory services. Tell us what matters to you and find out more by visiting us at </w:t>
      </w:r>
      <w:hyperlink r:id="rId13" w:history="1">
        <w:r w:rsidRPr="00745286">
          <w:rPr>
            <w:rFonts w:cs="Georgia"/>
            <w:bCs/>
            <w:color w:val="00A1E0"/>
            <w:szCs w:val="20"/>
            <w:lang w:eastAsia="en-GB"/>
          </w:rPr>
          <w:t>www.pwc.com</w:t>
        </w:r>
      </w:hyperlink>
      <w:r w:rsidRPr="00745286">
        <w:rPr>
          <w:rFonts w:ascii="Times New Roman" w:hAnsi="Times New Roman"/>
          <w:bCs/>
          <w:color w:val="000000"/>
          <w:szCs w:val="20"/>
          <w:lang w:eastAsia="en-GB"/>
        </w:rPr>
        <w:t>.</w:t>
      </w:r>
    </w:p>
    <w:p w:rsidR="001B75F2" w:rsidRPr="008A0CBB" w:rsidRDefault="001B75F2" w:rsidP="001B75F2">
      <w:pPr>
        <w:pStyle w:val="NormalWeb"/>
        <w:rPr>
          <w:rFonts w:ascii="Georgia" w:hAnsi="Georgia"/>
          <w:sz w:val="20"/>
          <w:szCs w:val="20"/>
          <w:lang w:val="en-GB"/>
        </w:rPr>
      </w:pPr>
      <w:r w:rsidRPr="008A0CBB">
        <w:rPr>
          <w:rFonts w:ascii="Georgia" w:hAnsi="Georgia"/>
          <w:sz w:val="20"/>
          <w:szCs w:val="20"/>
          <w:lang w:val="en-GB"/>
        </w:rPr>
        <w:t xml:space="preserve">PwC refers to the PwC network and/or one or more of its member firms, each of which is a separate legal entity. Please see www.pwc.com/structure for further details. </w:t>
      </w:r>
    </w:p>
    <w:p w:rsidR="001B75F2" w:rsidRDefault="001B75F2" w:rsidP="001B75F2">
      <w:pPr>
        <w:rPr>
          <w:rFonts w:cs="Georgia"/>
          <w:color w:val="000000"/>
          <w:szCs w:val="20"/>
          <w:lang w:eastAsia="de-CH"/>
        </w:rPr>
      </w:pPr>
      <w:r w:rsidRPr="009553FB">
        <w:rPr>
          <w:rFonts w:cs="Georgia"/>
          <w:color w:val="000000"/>
          <w:szCs w:val="20"/>
          <w:lang w:eastAsia="de-CH"/>
        </w:rPr>
        <w:t>2014 PricewaterhouseCoopers. All rights reserved.</w:t>
      </w:r>
    </w:p>
    <w:sectPr w:rsidR="001B75F2" w:rsidSect="00D81336">
      <w:headerReference w:type="even" r:id="rId14"/>
      <w:headerReference w:type="default" r:id="rId15"/>
      <w:footerReference w:type="even" r:id="rId16"/>
      <w:footerReference w:type="default" r:id="rId17"/>
      <w:headerReference w:type="first" r:id="rId18"/>
      <w:pgSz w:w="11907" w:h="16839"/>
      <w:pgMar w:top="3137" w:right="850" w:bottom="1417" w:left="1984" w:header="567" w:footer="567"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46E8" w:rsidRDefault="00F346E8">
      <w:pPr>
        <w:spacing w:line="240" w:lineRule="auto"/>
      </w:pPr>
      <w:r>
        <w:separator/>
      </w:r>
    </w:p>
  </w:endnote>
  <w:endnote w:type="continuationSeparator" w:id="0">
    <w:p w:rsidR="00F346E8" w:rsidRDefault="00F346E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E0140E">
    <w:pPr>
      <w:pStyle w:val="Footer"/>
    </w:pPr>
    <w:r>
      <w:fldChar w:fldCharType="begin"/>
    </w:r>
    <w:r w:rsidR="00393683">
      <w:instrText xml:space="preserve"> PAGE  \* MERGEFORMAT </w:instrText>
    </w:r>
    <w:r>
      <w:fldChar w:fldCharType="separate"/>
    </w:r>
    <w:r w:rsidR="001B75F2">
      <w:rPr>
        <w:noProof/>
      </w:rPr>
      <w:t>2</w:t>
    </w:r>
    <w:r>
      <w:rPr>
        <w:noProof/>
      </w:rPr>
      <w:fldChar w:fldCharType="end"/>
    </w:r>
    <w:r w:rsidR="00A77FF6">
      <w:t xml:space="preserve"> of </w:t>
    </w:r>
    <w:fldSimple w:instr=" NUMPAGES  \* MERGEFORMAT ">
      <w:r w:rsidR="001B75F2">
        <w:rPr>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E0140E">
    <w:pPr>
      <w:pStyle w:val="Footer"/>
    </w:pPr>
    <w:r>
      <w:fldChar w:fldCharType="begin"/>
    </w:r>
    <w:r w:rsidR="00393683">
      <w:instrText xml:space="preserve"> PAGE  \* MERGEFORMAT </w:instrText>
    </w:r>
    <w:r>
      <w:fldChar w:fldCharType="separate"/>
    </w:r>
    <w:r w:rsidR="001B75F2">
      <w:rPr>
        <w:noProof/>
      </w:rPr>
      <w:t>3</w:t>
    </w:r>
    <w:r>
      <w:rPr>
        <w:noProof/>
      </w:rPr>
      <w:fldChar w:fldCharType="end"/>
    </w:r>
    <w:r w:rsidR="00A77FF6">
      <w:t xml:space="preserve"> of </w:t>
    </w:r>
    <w:fldSimple w:instr=" NUMPAGES  \* MERGEFORMAT ">
      <w:r w:rsidR="001B75F2">
        <w:rPr>
          <w:noProof/>
        </w:rPr>
        <w:t>3</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46E8" w:rsidRDefault="00F346E8">
      <w:pPr>
        <w:spacing w:line="240" w:lineRule="auto"/>
      </w:pPr>
      <w:r>
        <w:separator/>
      </w:r>
    </w:p>
  </w:footnote>
  <w:footnote w:type="continuationSeparator" w:id="0">
    <w:p w:rsidR="00F346E8" w:rsidRDefault="00F346E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F90CE6">
    <w:pPr>
      <w:pStyle w:val="Header"/>
    </w:pPr>
    <w:r>
      <w:rPr>
        <w:noProof/>
        <w:lang w:val="en-US"/>
      </w:rPr>
      <w:drawing>
        <wp:anchor distT="0" distB="0" distL="114300" distR="114300" simplePos="0" relativeHeight="251658752" behindDoc="0" locked="1" layoutInCell="1" allowOverlap="1" wp14:anchorId="48686956" wp14:editId="689DE8F9">
          <wp:simplePos x="0" y="0"/>
          <wp:positionH relativeFrom="page">
            <wp:posOffset>431165</wp:posOffset>
          </wp:positionH>
          <wp:positionV relativeFrom="page">
            <wp:posOffset>490855</wp:posOffset>
          </wp:positionV>
          <wp:extent cx="1410970" cy="126873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D81336" w:rsidRDefault="00D8133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F90CE6">
    <w:pPr>
      <w:pStyle w:val="Header"/>
    </w:pPr>
    <w:r>
      <w:rPr>
        <w:noProof/>
        <w:lang w:val="en-US"/>
      </w:rPr>
      <w:drawing>
        <wp:anchor distT="0" distB="0" distL="114300" distR="114300" simplePos="0" relativeHeight="251657728" behindDoc="0" locked="1" layoutInCell="1" allowOverlap="1" wp14:anchorId="0CFF8568" wp14:editId="41AD9E4E">
          <wp:simplePos x="0" y="0"/>
          <wp:positionH relativeFrom="page">
            <wp:posOffset>431165</wp:posOffset>
          </wp:positionH>
          <wp:positionV relativeFrom="page">
            <wp:posOffset>490855</wp:posOffset>
          </wp:positionV>
          <wp:extent cx="1410970" cy="126873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p w:rsidR="00D81336" w:rsidRDefault="00D8133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1336" w:rsidRDefault="00F90CE6">
    <w:pPr>
      <w:pStyle w:val="Header"/>
    </w:pPr>
    <w:r>
      <w:rPr>
        <w:noProof/>
        <w:lang w:val="en-US"/>
      </w:rPr>
      <w:drawing>
        <wp:anchor distT="0" distB="0" distL="114300" distR="114300" simplePos="0" relativeHeight="251656704" behindDoc="0" locked="1" layoutInCell="1" allowOverlap="1" wp14:anchorId="3C9EE0AA" wp14:editId="361DBACA">
          <wp:simplePos x="0" y="0"/>
          <wp:positionH relativeFrom="page">
            <wp:posOffset>431165</wp:posOffset>
          </wp:positionH>
          <wp:positionV relativeFrom="page">
            <wp:posOffset>490855</wp:posOffset>
          </wp:positionV>
          <wp:extent cx="1410970" cy="1268730"/>
          <wp:effectExtent l="0" t="0" r="0" b="0"/>
          <wp:wrapNone/>
          <wp:docPr id="1" name="first_pag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rst_page_logo"/>
                  <pic:cNvPicPr>
                    <a:picLocks noChangeAspect="1" noChangeArrowheads="1"/>
                  </pic:cNvPicPr>
                </pic:nvPicPr>
                <pic:blipFill>
                  <a:blip r:embed="rId1"/>
                  <a:srcRect/>
                  <a:stretch>
                    <a:fillRect/>
                  </a:stretch>
                </pic:blipFill>
                <pic:spPr bwMode="auto">
                  <a:xfrm>
                    <a:off x="0" y="0"/>
                    <a:ext cx="1410970" cy="126873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6EA3AF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24EAF02"/>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35A452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954278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BD2751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00ED73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BA5C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100455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0D6F8DC"/>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A4EC8A8"/>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AB10F114"/>
    <w:lvl w:ilvl="0">
      <w:numFmt w:val="bullet"/>
      <w:lvlText w:val="*"/>
      <w:lvlJc w:val="left"/>
    </w:lvl>
  </w:abstractNum>
  <w:abstractNum w:abstractNumId="11">
    <w:nsid w:val="12A14D41"/>
    <w:multiLevelType w:val="hybridMultilevel"/>
    <w:tmpl w:val="56B60D68"/>
    <w:lvl w:ilvl="0" w:tplc="4418A60A">
      <w:numFmt w:val="bullet"/>
      <w:lvlText w:val="-"/>
      <w:lvlJc w:val="left"/>
      <w:pPr>
        <w:ind w:left="1080" w:hanging="360"/>
      </w:pPr>
      <w:rPr>
        <w:rFonts w:ascii="Georgia" w:eastAsia="Calibri"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133167E6"/>
    <w:multiLevelType w:val="hybridMultilevel"/>
    <w:tmpl w:val="683A04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1BE732C0"/>
    <w:multiLevelType w:val="hybridMultilevel"/>
    <w:tmpl w:val="6BE475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E4F7568"/>
    <w:multiLevelType w:val="hybridMultilevel"/>
    <w:tmpl w:val="C95C5682"/>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5">
    <w:nsid w:val="1FCE483B"/>
    <w:multiLevelType w:val="hybridMultilevel"/>
    <w:tmpl w:val="8C9E00C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E0065C4"/>
    <w:multiLevelType w:val="hybridMultilevel"/>
    <w:tmpl w:val="98DCBF8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F3E175F"/>
    <w:multiLevelType w:val="hybridMultilevel"/>
    <w:tmpl w:val="7AD83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E92F87"/>
    <w:multiLevelType w:val="hybridMultilevel"/>
    <w:tmpl w:val="28C47278"/>
    <w:lvl w:ilvl="0" w:tplc="45289F02">
      <w:start w:val="1"/>
      <w:numFmt w:val="decimal"/>
      <w:lvlText w:val="%1."/>
      <w:lvlJc w:val="left"/>
      <w:pPr>
        <w:ind w:left="720" w:hanging="360"/>
      </w:pPr>
    </w:lvl>
    <w:lvl w:ilvl="1" w:tplc="0809000F">
      <w:start w:val="1"/>
      <w:numFmt w:val="decimal"/>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40DF71B8"/>
    <w:multiLevelType w:val="hybridMultilevel"/>
    <w:tmpl w:val="F4924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16E3D4C"/>
    <w:multiLevelType w:val="hybridMultilevel"/>
    <w:tmpl w:val="BEAA203E"/>
    <w:lvl w:ilvl="0" w:tplc="5EB495E0">
      <w:start w:val="1"/>
      <w:numFmt w:val="decimal"/>
      <w:lvlText w:val="%1."/>
      <w:lvlJc w:val="left"/>
      <w:pPr>
        <w:ind w:left="360" w:hanging="360"/>
      </w:pPr>
      <w:rPr>
        <w:rFonts w:ascii="Cambria" w:hAnsi="Cambria" w:hint="default"/>
        <w:sz w:val="20"/>
        <w:szCs w:val="20"/>
      </w:rPr>
    </w:lvl>
    <w:lvl w:ilvl="1" w:tplc="04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549063FD"/>
    <w:multiLevelType w:val="hybridMultilevel"/>
    <w:tmpl w:val="A1329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7122278"/>
    <w:multiLevelType w:val="hybridMultilevel"/>
    <w:tmpl w:val="F70644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B714479"/>
    <w:multiLevelType w:val="hybridMultilevel"/>
    <w:tmpl w:val="22AA3E38"/>
    <w:lvl w:ilvl="0" w:tplc="0807000F">
      <w:start w:val="1"/>
      <w:numFmt w:val="decimal"/>
      <w:lvlText w:val="%1."/>
      <w:lvlJc w:val="left"/>
      <w:pPr>
        <w:tabs>
          <w:tab w:val="num" w:pos="720"/>
        </w:tabs>
        <w:ind w:left="720" w:hanging="360"/>
      </w:pPr>
      <w:rPr>
        <w:rFonts w:cs="Times New Roman"/>
      </w:rPr>
    </w:lvl>
    <w:lvl w:ilvl="1" w:tplc="08070019">
      <w:start w:val="1"/>
      <w:numFmt w:val="lowerLetter"/>
      <w:lvlText w:val="%2."/>
      <w:lvlJc w:val="left"/>
      <w:pPr>
        <w:tabs>
          <w:tab w:val="num" w:pos="1440"/>
        </w:tabs>
        <w:ind w:left="1440" w:hanging="360"/>
      </w:pPr>
      <w:rPr>
        <w:rFonts w:cs="Times New Roman"/>
      </w:rPr>
    </w:lvl>
    <w:lvl w:ilvl="2" w:tplc="0807001B" w:tentative="1">
      <w:start w:val="1"/>
      <w:numFmt w:val="lowerRoman"/>
      <w:lvlText w:val="%3."/>
      <w:lvlJc w:val="right"/>
      <w:pPr>
        <w:tabs>
          <w:tab w:val="num" w:pos="2160"/>
        </w:tabs>
        <w:ind w:left="2160" w:hanging="180"/>
      </w:pPr>
      <w:rPr>
        <w:rFonts w:cs="Times New Roman"/>
      </w:rPr>
    </w:lvl>
    <w:lvl w:ilvl="3" w:tplc="0807000F" w:tentative="1">
      <w:start w:val="1"/>
      <w:numFmt w:val="decimal"/>
      <w:lvlText w:val="%4."/>
      <w:lvlJc w:val="left"/>
      <w:pPr>
        <w:tabs>
          <w:tab w:val="num" w:pos="2880"/>
        </w:tabs>
        <w:ind w:left="2880" w:hanging="360"/>
      </w:pPr>
      <w:rPr>
        <w:rFonts w:cs="Times New Roman"/>
      </w:rPr>
    </w:lvl>
    <w:lvl w:ilvl="4" w:tplc="08070019" w:tentative="1">
      <w:start w:val="1"/>
      <w:numFmt w:val="lowerLetter"/>
      <w:lvlText w:val="%5."/>
      <w:lvlJc w:val="left"/>
      <w:pPr>
        <w:tabs>
          <w:tab w:val="num" w:pos="3600"/>
        </w:tabs>
        <w:ind w:left="3600" w:hanging="360"/>
      </w:pPr>
      <w:rPr>
        <w:rFonts w:cs="Times New Roman"/>
      </w:rPr>
    </w:lvl>
    <w:lvl w:ilvl="5" w:tplc="0807001B" w:tentative="1">
      <w:start w:val="1"/>
      <w:numFmt w:val="lowerRoman"/>
      <w:lvlText w:val="%6."/>
      <w:lvlJc w:val="right"/>
      <w:pPr>
        <w:tabs>
          <w:tab w:val="num" w:pos="4320"/>
        </w:tabs>
        <w:ind w:left="4320" w:hanging="180"/>
      </w:pPr>
      <w:rPr>
        <w:rFonts w:cs="Times New Roman"/>
      </w:rPr>
    </w:lvl>
    <w:lvl w:ilvl="6" w:tplc="0807000F" w:tentative="1">
      <w:start w:val="1"/>
      <w:numFmt w:val="decimal"/>
      <w:lvlText w:val="%7."/>
      <w:lvlJc w:val="left"/>
      <w:pPr>
        <w:tabs>
          <w:tab w:val="num" w:pos="5040"/>
        </w:tabs>
        <w:ind w:left="5040" w:hanging="360"/>
      </w:pPr>
      <w:rPr>
        <w:rFonts w:cs="Times New Roman"/>
      </w:rPr>
    </w:lvl>
    <w:lvl w:ilvl="7" w:tplc="08070019" w:tentative="1">
      <w:start w:val="1"/>
      <w:numFmt w:val="lowerLetter"/>
      <w:lvlText w:val="%8."/>
      <w:lvlJc w:val="left"/>
      <w:pPr>
        <w:tabs>
          <w:tab w:val="num" w:pos="5760"/>
        </w:tabs>
        <w:ind w:left="5760" w:hanging="360"/>
      </w:pPr>
      <w:rPr>
        <w:rFonts w:cs="Times New Roman"/>
      </w:rPr>
    </w:lvl>
    <w:lvl w:ilvl="8" w:tplc="0807001B" w:tentative="1">
      <w:start w:val="1"/>
      <w:numFmt w:val="lowerRoman"/>
      <w:lvlText w:val="%9."/>
      <w:lvlJc w:val="right"/>
      <w:pPr>
        <w:tabs>
          <w:tab w:val="num" w:pos="6480"/>
        </w:tabs>
        <w:ind w:left="6480" w:hanging="180"/>
      </w:pPr>
      <w:rPr>
        <w:rFonts w:cs="Times New Roman"/>
      </w:rPr>
    </w:lvl>
  </w:abstractNum>
  <w:abstractNum w:abstractNumId="24">
    <w:nsid w:val="66EA5E03"/>
    <w:multiLevelType w:val="hybridMultilevel"/>
    <w:tmpl w:val="BD5C2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4142AE"/>
    <w:multiLevelType w:val="hybridMultilevel"/>
    <w:tmpl w:val="88187B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DEC4ACE"/>
    <w:multiLevelType w:val="hybridMultilevel"/>
    <w:tmpl w:val="2228B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0523C64"/>
    <w:multiLevelType w:val="hybridMultilevel"/>
    <w:tmpl w:val="FB4670C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3CB0114"/>
    <w:multiLevelType w:val="hybridMultilevel"/>
    <w:tmpl w:val="2C924A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6A60403"/>
    <w:multiLevelType w:val="hybridMultilevel"/>
    <w:tmpl w:val="368E4ABC"/>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0">
    <w:nsid w:val="781B763F"/>
    <w:multiLevelType w:val="hybridMultilevel"/>
    <w:tmpl w:val="67547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D282FA1"/>
    <w:multiLevelType w:val="hybridMultilevel"/>
    <w:tmpl w:val="F09E8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23"/>
  </w:num>
  <w:num w:numId="14">
    <w:abstractNumId w:val="13"/>
  </w:num>
  <w:num w:numId="15">
    <w:abstractNumId w:val="26"/>
  </w:num>
  <w:num w:numId="16">
    <w:abstractNumId w:val="22"/>
  </w:num>
  <w:num w:numId="17">
    <w:abstractNumId w:val="15"/>
  </w:num>
  <w:num w:numId="18">
    <w:abstractNumId w:val="27"/>
  </w:num>
  <w:num w:numId="19">
    <w:abstractNumId w:val="24"/>
  </w:num>
  <w:num w:numId="20">
    <w:abstractNumId w:val="20"/>
  </w:num>
  <w:num w:numId="21">
    <w:abstractNumId w:val="18"/>
  </w:num>
  <w:num w:numId="22">
    <w:abstractNumId w:val="19"/>
  </w:num>
  <w:num w:numId="23">
    <w:abstractNumId w:val="28"/>
  </w:num>
  <w:num w:numId="24">
    <w:abstractNumId w:val="10"/>
    <w:lvlOverride w:ilvl="0">
      <w:lvl w:ilvl="0">
        <w:numFmt w:val="bullet"/>
        <w:lvlText w:val=""/>
        <w:legacy w:legacy="1" w:legacySpace="0" w:legacyIndent="0"/>
        <w:lvlJc w:val="left"/>
        <w:rPr>
          <w:rFonts w:ascii="Symbol" w:hAnsi="Symbol" w:hint="default"/>
          <w:sz w:val="22"/>
        </w:rPr>
      </w:lvl>
    </w:lvlOverride>
  </w:num>
  <w:num w:numId="25">
    <w:abstractNumId w:val="30"/>
  </w:num>
  <w:num w:numId="26">
    <w:abstractNumId w:val="21"/>
  </w:num>
  <w:num w:numId="27">
    <w:abstractNumId w:val="12"/>
  </w:num>
  <w:num w:numId="28">
    <w:abstractNumId w:val="25"/>
  </w:num>
  <w:num w:numId="29">
    <w:abstractNumId w:val="31"/>
  </w:num>
  <w:num w:numId="30">
    <w:abstractNumId w:val="17"/>
  </w:num>
  <w:num w:numId="31">
    <w:abstractNumId w:val="16"/>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attachedTemplate r:id="rId1"/>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1336"/>
    <w:rsid w:val="00006AE5"/>
    <w:rsid w:val="0001193B"/>
    <w:rsid w:val="00017ED5"/>
    <w:rsid w:val="00021346"/>
    <w:rsid w:val="00024FE0"/>
    <w:rsid w:val="0002648E"/>
    <w:rsid w:val="000376A0"/>
    <w:rsid w:val="0004136B"/>
    <w:rsid w:val="00044346"/>
    <w:rsid w:val="00046B4E"/>
    <w:rsid w:val="00052E2C"/>
    <w:rsid w:val="00052E41"/>
    <w:rsid w:val="0005778C"/>
    <w:rsid w:val="000610EB"/>
    <w:rsid w:val="00073F6A"/>
    <w:rsid w:val="00083687"/>
    <w:rsid w:val="000E26AB"/>
    <w:rsid w:val="000E4BCB"/>
    <w:rsid w:val="000F196C"/>
    <w:rsid w:val="000F529D"/>
    <w:rsid w:val="001027EA"/>
    <w:rsid w:val="00103223"/>
    <w:rsid w:val="00103B9C"/>
    <w:rsid w:val="00104713"/>
    <w:rsid w:val="00127BEF"/>
    <w:rsid w:val="00135784"/>
    <w:rsid w:val="00135CC6"/>
    <w:rsid w:val="00136F21"/>
    <w:rsid w:val="0014604F"/>
    <w:rsid w:val="0015067D"/>
    <w:rsid w:val="00152644"/>
    <w:rsid w:val="001528E0"/>
    <w:rsid w:val="00156A70"/>
    <w:rsid w:val="00160C0A"/>
    <w:rsid w:val="001752F9"/>
    <w:rsid w:val="001805A6"/>
    <w:rsid w:val="00194555"/>
    <w:rsid w:val="001A0527"/>
    <w:rsid w:val="001A166B"/>
    <w:rsid w:val="001A6BCA"/>
    <w:rsid w:val="001B0FDB"/>
    <w:rsid w:val="001B1A1E"/>
    <w:rsid w:val="001B5934"/>
    <w:rsid w:val="001B75F2"/>
    <w:rsid w:val="001C3307"/>
    <w:rsid w:val="001D252A"/>
    <w:rsid w:val="001D2778"/>
    <w:rsid w:val="001E6BE9"/>
    <w:rsid w:val="001E7D34"/>
    <w:rsid w:val="001F1955"/>
    <w:rsid w:val="001F3C00"/>
    <w:rsid w:val="00204F9E"/>
    <w:rsid w:val="00207B40"/>
    <w:rsid w:val="00221B2F"/>
    <w:rsid w:val="002265FB"/>
    <w:rsid w:val="0023011B"/>
    <w:rsid w:val="002304B7"/>
    <w:rsid w:val="00230F6C"/>
    <w:rsid w:val="00234BFB"/>
    <w:rsid w:val="00236BB8"/>
    <w:rsid w:val="0024075B"/>
    <w:rsid w:val="00242BFE"/>
    <w:rsid w:val="00251125"/>
    <w:rsid w:val="00255C91"/>
    <w:rsid w:val="00267E0F"/>
    <w:rsid w:val="00270672"/>
    <w:rsid w:val="00280364"/>
    <w:rsid w:val="00290936"/>
    <w:rsid w:val="002C4C7F"/>
    <w:rsid w:val="002D0A99"/>
    <w:rsid w:val="002D542C"/>
    <w:rsid w:val="002D6E1A"/>
    <w:rsid w:val="002E55E0"/>
    <w:rsid w:val="003017F6"/>
    <w:rsid w:val="003065F5"/>
    <w:rsid w:val="00321D79"/>
    <w:rsid w:val="00337793"/>
    <w:rsid w:val="00356366"/>
    <w:rsid w:val="00362E6A"/>
    <w:rsid w:val="00370039"/>
    <w:rsid w:val="00373606"/>
    <w:rsid w:val="00390080"/>
    <w:rsid w:val="00393683"/>
    <w:rsid w:val="003C62E9"/>
    <w:rsid w:val="003C723B"/>
    <w:rsid w:val="003D6A4B"/>
    <w:rsid w:val="003E1A4A"/>
    <w:rsid w:val="003E3A1F"/>
    <w:rsid w:val="003E3DE3"/>
    <w:rsid w:val="003E6143"/>
    <w:rsid w:val="003E7169"/>
    <w:rsid w:val="003E78E5"/>
    <w:rsid w:val="003F21FD"/>
    <w:rsid w:val="00403015"/>
    <w:rsid w:val="0041669D"/>
    <w:rsid w:val="00423A70"/>
    <w:rsid w:val="0042478E"/>
    <w:rsid w:val="00425C8B"/>
    <w:rsid w:val="00437EBF"/>
    <w:rsid w:val="0044270F"/>
    <w:rsid w:val="00443378"/>
    <w:rsid w:val="00453AB1"/>
    <w:rsid w:val="00464D97"/>
    <w:rsid w:val="0048163B"/>
    <w:rsid w:val="00492DB3"/>
    <w:rsid w:val="004A2FD3"/>
    <w:rsid w:val="004A4CF4"/>
    <w:rsid w:val="004B06DF"/>
    <w:rsid w:val="004B6C9C"/>
    <w:rsid w:val="004B740C"/>
    <w:rsid w:val="004C5739"/>
    <w:rsid w:val="004C70EC"/>
    <w:rsid w:val="004D4208"/>
    <w:rsid w:val="004D5CE4"/>
    <w:rsid w:val="004E3913"/>
    <w:rsid w:val="004F5679"/>
    <w:rsid w:val="00503C92"/>
    <w:rsid w:val="00512820"/>
    <w:rsid w:val="00515795"/>
    <w:rsid w:val="00517155"/>
    <w:rsid w:val="0057309F"/>
    <w:rsid w:val="00577FB3"/>
    <w:rsid w:val="0059621F"/>
    <w:rsid w:val="005A05B8"/>
    <w:rsid w:val="005D365B"/>
    <w:rsid w:val="005D6FF0"/>
    <w:rsid w:val="00612D47"/>
    <w:rsid w:val="00614A1D"/>
    <w:rsid w:val="0062072C"/>
    <w:rsid w:val="00622A9D"/>
    <w:rsid w:val="00633631"/>
    <w:rsid w:val="0064300E"/>
    <w:rsid w:val="00671D62"/>
    <w:rsid w:val="00672373"/>
    <w:rsid w:val="00680895"/>
    <w:rsid w:val="00693471"/>
    <w:rsid w:val="006A0DB1"/>
    <w:rsid w:val="006B12A3"/>
    <w:rsid w:val="006C634F"/>
    <w:rsid w:val="006C72BE"/>
    <w:rsid w:val="006C7AC4"/>
    <w:rsid w:val="006D6A11"/>
    <w:rsid w:val="006E181F"/>
    <w:rsid w:val="006E1F0F"/>
    <w:rsid w:val="006F1868"/>
    <w:rsid w:val="00702378"/>
    <w:rsid w:val="00711B16"/>
    <w:rsid w:val="00717145"/>
    <w:rsid w:val="00724D5C"/>
    <w:rsid w:val="00737A54"/>
    <w:rsid w:val="0074049A"/>
    <w:rsid w:val="00747D76"/>
    <w:rsid w:val="00753EBA"/>
    <w:rsid w:val="0075590D"/>
    <w:rsid w:val="0077103E"/>
    <w:rsid w:val="00780E52"/>
    <w:rsid w:val="007A485E"/>
    <w:rsid w:val="007A77F3"/>
    <w:rsid w:val="007B041F"/>
    <w:rsid w:val="007B0511"/>
    <w:rsid w:val="007B69E1"/>
    <w:rsid w:val="007C43B5"/>
    <w:rsid w:val="007E4726"/>
    <w:rsid w:val="00814070"/>
    <w:rsid w:val="00820FC7"/>
    <w:rsid w:val="00822375"/>
    <w:rsid w:val="00826DF8"/>
    <w:rsid w:val="0083373C"/>
    <w:rsid w:val="00834DE3"/>
    <w:rsid w:val="00842EDD"/>
    <w:rsid w:val="00844CD6"/>
    <w:rsid w:val="00851149"/>
    <w:rsid w:val="00862440"/>
    <w:rsid w:val="00862E83"/>
    <w:rsid w:val="0086545B"/>
    <w:rsid w:val="00883C95"/>
    <w:rsid w:val="00890345"/>
    <w:rsid w:val="008954FC"/>
    <w:rsid w:val="008B4F10"/>
    <w:rsid w:val="008B6A67"/>
    <w:rsid w:val="008C2B85"/>
    <w:rsid w:val="008C4A7C"/>
    <w:rsid w:val="008C6A29"/>
    <w:rsid w:val="008D3565"/>
    <w:rsid w:val="008E67AC"/>
    <w:rsid w:val="008F39D9"/>
    <w:rsid w:val="0092384B"/>
    <w:rsid w:val="009238D1"/>
    <w:rsid w:val="00923D6B"/>
    <w:rsid w:val="00953237"/>
    <w:rsid w:val="00970878"/>
    <w:rsid w:val="00971626"/>
    <w:rsid w:val="009804DC"/>
    <w:rsid w:val="00993039"/>
    <w:rsid w:val="00996943"/>
    <w:rsid w:val="00996A98"/>
    <w:rsid w:val="009A690A"/>
    <w:rsid w:val="009A764D"/>
    <w:rsid w:val="009C6C6F"/>
    <w:rsid w:val="009D17CC"/>
    <w:rsid w:val="009D7AB6"/>
    <w:rsid w:val="009F01CA"/>
    <w:rsid w:val="009F20C9"/>
    <w:rsid w:val="00A10215"/>
    <w:rsid w:val="00A20CBA"/>
    <w:rsid w:val="00A252FA"/>
    <w:rsid w:val="00A4193A"/>
    <w:rsid w:val="00A466DA"/>
    <w:rsid w:val="00A50A3B"/>
    <w:rsid w:val="00A51DA6"/>
    <w:rsid w:val="00A5260A"/>
    <w:rsid w:val="00A53B34"/>
    <w:rsid w:val="00A54360"/>
    <w:rsid w:val="00A55A9F"/>
    <w:rsid w:val="00A71808"/>
    <w:rsid w:val="00A74875"/>
    <w:rsid w:val="00A77FF6"/>
    <w:rsid w:val="00A963BD"/>
    <w:rsid w:val="00AB1A5B"/>
    <w:rsid w:val="00AB7D21"/>
    <w:rsid w:val="00AE0B7C"/>
    <w:rsid w:val="00AE4CE9"/>
    <w:rsid w:val="00AF6C13"/>
    <w:rsid w:val="00B215E9"/>
    <w:rsid w:val="00B26E60"/>
    <w:rsid w:val="00B90864"/>
    <w:rsid w:val="00BB47ED"/>
    <w:rsid w:val="00BB6758"/>
    <w:rsid w:val="00BC069C"/>
    <w:rsid w:val="00BC7FAB"/>
    <w:rsid w:val="00BD07A4"/>
    <w:rsid w:val="00BD6496"/>
    <w:rsid w:val="00BE2F72"/>
    <w:rsid w:val="00BF3135"/>
    <w:rsid w:val="00C00F38"/>
    <w:rsid w:val="00C024AD"/>
    <w:rsid w:val="00C0274A"/>
    <w:rsid w:val="00C056AB"/>
    <w:rsid w:val="00C075C6"/>
    <w:rsid w:val="00C25269"/>
    <w:rsid w:val="00C271C3"/>
    <w:rsid w:val="00C3685C"/>
    <w:rsid w:val="00C374E3"/>
    <w:rsid w:val="00C64510"/>
    <w:rsid w:val="00C70A5E"/>
    <w:rsid w:val="00C721FC"/>
    <w:rsid w:val="00C7234F"/>
    <w:rsid w:val="00C935AD"/>
    <w:rsid w:val="00C94E81"/>
    <w:rsid w:val="00CB2D0E"/>
    <w:rsid w:val="00CC12CF"/>
    <w:rsid w:val="00CC283B"/>
    <w:rsid w:val="00CE123D"/>
    <w:rsid w:val="00CE5EB5"/>
    <w:rsid w:val="00D1599F"/>
    <w:rsid w:val="00D207B0"/>
    <w:rsid w:val="00D23C5B"/>
    <w:rsid w:val="00D370F5"/>
    <w:rsid w:val="00D47125"/>
    <w:rsid w:val="00D6710C"/>
    <w:rsid w:val="00D70544"/>
    <w:rsid w:val="00D728CE"/>
    <w:rsid w:val="00D73503"/>
    <w:rsid w:val="00D73871"/>
    <w:rsid w:val="00D74C26"/>
    <w:rsid w:val="00D754A8"/>
    <w:rsid w:val="00D75651"/>
    <w:rsid w:val="00D802A3"/>
    <w:rsid w:val="00D81336"/>
    <w:rsid w:val="00D95099"/>
    <w:rsid w:val="00DA612B"/>
    <w:rsid w:val="00DE0F17"/>
    <w:rsid w:val="00DE67CF"/>
    <w:rsid w:val="00DE6B0F"/>
    <w:rsid w:val="00DF26EF"/>
    <w:rsid w:val="00DF77D0"/>
    <w:rsid w:val="00E0140E"/>
    <w:rsid w:val="00E01B58"/>
    <w:rsid w:val="00E11F82"/>
    <w:rsid w:val="00E12F3D"/>
    <w:rsid w:val="00E24742"/>
    <w:rsid w:val="00E27959"/>
    <w:rsid w:val="00E454B4"/>
    <w:rsid w:val="00E52F69"/>
    <w:rsid w:val="00E62574"/>
    <w:rsid w:val="00E674AC"/>
    <w:rsid w:val="00EB5502"/>
    <w:rsid w:val="00EC00DB"/>
    <w:rsid w:val="00EC11C9"/>
    <w:rsid w:val="00EC30C1"/>
    <w:rsid w:val="00EC4195"/>
    <w:rsid w:val="00EC71C6"/>
    <w:rsid w:val="00EC7646"/>
    <w:rsid w:val="00ED1AC6"/>
    <w:rsid w:val="00ED4301"/>
    <w:rsid w:val="00ED48F7"/>
    <w:rsid w:val="00ED717D"/>
    <w:rsid w:val="00EE1E32"/>
    <w:rsid w:val="00EF0BDB"/>
    <w:rsid w:val="00F00122"/>
    <w:rsid w:val="00F17ADF"/>
    <w:rsid w:val="00F22648"/>
    <w:rsid w:val="00F27911"/>
    <w:rsid w:val="00F3168E"/>
    <w:rsid w:val="00F346E8"/>
    <w:rsid w:val="00F35E2F"/>
    <w:rsid w:val="00F36BB7"/>
    <w:rsid w:val="00F36BD4"/>
    <w:rsid w:val="00F37E8D"/>
    <w:rsid w:val="00F501F7"/>
    <w:rsid w:val="00F5146C"/>
    <w:rsid w:val="00F54525"/>
    <w:rsid w:val="00F63E3D"/>
    <w:rsid w:val="00F65C7E"/>
    <w:rsid w:val="00F76B1C"/>
    <w:rsid w:val="00F76F4D"/>
    <w:rsid w:val="00F77CD2"/>
    <w:rsid w:val="00F90CE6"/>
    <w:rsid w:val="00FA07EF"/>
    <w:rsid w:val="00FB1E6E"/>
    <w:rsid w:val="00FB782E"/>
    <w:rsid w:val="00FB788A"/>
    <w:rsid w:val="00FC338F"/>
    <w:rsid w:val="00FD5BE9"/>
    <w:rsid w:val="00FD6344"/>
    <w:rsid w:val="00FE2520"/>
    <w:rsid w:val="00FE25AB"/>
    <w:rsid w:val="00FE6A5F"/>
    <w:rsid w:val="00FF413D"/>
    <w:rsid w:val="00FF4B04"/>
    <w:rsid w:val="00FF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36"/>
    <w:pPr>
      <w:spacing w:line="240" w:lineRule="atLeast"/>
    </w:pPr>
    <w:rPr>
      <w:rFonts w:ascii="Georgia" w:hAnsi="Georgia"/>
      <w:szCs w:val="22"/>
      <w:lang w:val="en-GB"/>
    </w:rPr>
  </w:style>
  <w:style w:type="paragraph" w:styleId="Heading1">
    <w:name w:val="heading 1"/>
    <w:basedOn w:val="Normal"/>
    <w:next w:val="Normal"/>
    <w:link w:val="Heading1Char"/>
    <w:uiPriority w:val="99"/>
    <w:qFormat/>
    <w:rsid w:val="00D81336"/>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336"/>
    <w:rPr>
      <w:rFonts w:ascii="Cambria" w:hAnsi="Cambria" w:cs="Times New Roman"/>
      <w:b/>
      <w:bCs/>
      <w:kern w:val="32"/>
      <w:sz w:val="32"/>
      <w:szCs w:val="32"/>
    </w:rPr>
  </w:style>
  <w:style w:type="paragraph" w:styleId="Header">
    <w:name w:val="header"/>
    <w:basedOn w:val="Normal"/>
    <w:link w:val="HeaderChar"/>
    <w:uiPriority w:val="99"/>
    <w:semiHidden/>
    <w:rsid w:val="00D81336"/>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D81336"/>
    <w:rPr>
      <w:rFonts w:cs="Times New Roman"/>
    </w:rPr>
  </w:style>
  <w:style w:type="paragraph" w:styleId="Footer">
    <w:name w:val="footer"/>
    <w:basedOn w:val="Normal"/>
    <w:link w:val="FooterChar"/>
    <w:uiPriority w:val="99"/>
    <w:semiHidden/>
    <w:rsid w:val="00D81336"/>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D81336"/>
    <w:rPr>
      <w:rFonts w:cs="Times New Roman"/>
    </w:rPr>
  </w:style>
  <w:style w:type="paragraph" w:styleId="BodyText">
    <w:name w:val="Body Text"/>
    <w:basedOn w:val="Normal"/>
    <w:link w:val="BodyTextChar"/>
    <w:uiPriority w:val="99"/>
    <w:semiHidden/>
    <w:rsid w:val="00D81336"/>
    <w:pPr>
      <w:spacing w:after="240"/>
    </w:pPr>
  </w:style>
  <w:style w:type="character" w:customStyle="1" w:styleId="BodyTextChar">
    <w:name w:val="Body Text Char"/>
    <w:basedOn w:val="DefaultParagraphFont"/>
    <w:link w:val="BodyText"/>
    <w:uiPriority w:val="99"/>
    <w:semiHidden/>
    <w:locked/>
    <w:rsid w:val="00D81336"/>
    <w:rPr>
      <w:rFonts w:ascii="Georgia" w:hAnsi="Georgia" w:cs="Times New Roman"/>
      <w:sz w:val="20"/>
    </w:rPr>
  </w:style>
  <w:style w:type="paragraph" w:styleId="Title">
    <w:name w:val="Title"/>
    <w:basedOn w:val="Normal"/>
    <w:next w:val="Normal"/>
    <w:link w:val="TitleChar"/>
    <w:uiPriority w:val="99"/>
    <w:qFormat/>
    <w:rsid w:val="00D81336"/>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D81336"/>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D81336"/>
    <w:pPr>
      <w:spacing w:line="200" w:lineRule="atLeast"/>
    </w:pPr>
    <w:rPr>
      <w:i/>
      <w:sz w:val="18"/>
    </w:rPr>
  </w:style>
  <w:style w:type="character" w:customStyle="1" w:styleId="AddressChar">
    <w:name w:val="Address Char"/>
    <w:basedOn w:val="DefaultParagraphFont"/>
    <w:link w:val="Address"/>
    <w:uiPriority w:val="99"/>
    <w:locked/>
    <w:rsid w:val="00D81336"/>
    <w:rPr>
      <w:rFonts w:ascii="Georgia" w:hAnsi="Georgia" w:cs="Times New Roman"/>
      <w:i/>
      <w:sz w:val="18"/>
    </w:rPr>
  </w:style>
  <w:style w:type="paragraph" w:customStyle="1" w:styleId="Disclaimer">
    <w:name w:val="Disclaimer"/>
    <w:basedOn w:val="Normal"/>
    <w:link w:val="DisclaimerChar"/>
    <w:uiPriority w:val="99"/>
    <w:rsid w:val="00D81336"/>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D81336"/>
    <w:rPr>
      <w:rFonts w:ascii="Arial" w:hAnsi="Arial" w:cs="Arial"/>
      <w:sz w:val="12"/>
    </w:rPr>
  </w:style>
  <w:style w:type="paragraph" w:styleId="ListParagraph">
    <w:name w:val="List Paragraph"/>
    <w:basedOn w:val="Normal"/>
    <w:uiPriority w:val="34"/>
    <w:qFormat/>
    <w:rsid w:val="00D81336"/>
    <w:pPr>
      <w:ind w:left="720"/>
      <w:contextualSpacing/>
    </w:pPr>
  </w:style>
  <w:style w:type="character" w:styleId="Hyperlink">
    <w:name w:val="Hyperlink"/>
    <w:basedOn w:val="DefaultParagraphFont"/>
    <w:uiPriority w:val="99"/>
    <w:unhideWhenUsed/>
    <w:rsid w:val="00D81336"/>
    <w:rPr>
      <w:color w:val="0000FF"/>
      <w:u w:val="single"/>
    </w:rPr>
  </w:style>
  <w:style w:type="paragraph" w:styleId="NormalWeb">
    <w:name w:val="Normal (Web)"/>
    <w:basedOn w:val="Normal"/>
    <w:rsid w:val="00D81336"/>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D813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36"/>
    <w:rPr>
      <w:rFonts w:ascii="Tahoma" w:hAnsi="Tahoma" w:cs="Tahoma"/>
      <w:sz w:val="16"/>
      <w:szCs w:val="16"/>
      <w:lang w:val="en-GB" w:eastAsia="en-US"/>
    </w:rPr>
  </w:style>
  <w:style w:type="paragraph" w:styleId="FootnoteText">
    <w:name w:val="footnote text"/>
    <w:basedOn w:val="Normal"/>
    <w:link w:val="FootnoteTextChar"/>
    <w:uiPriority w:val="99"/>
    <w:semiHidden/>
    <w:unhideWhenUsed/>
    <w:rsid w:val="0042478E"/>
    <w:pPr>
      <w:spacing w:line="240" w:lineRule="auto"/>
    </w:pPr>
    <w:rPr>
      <w:szCs w:val="20"/>
    </w:rPr>
  </w:style>
  <w:style w:type="character" w:customStyle="1" w:styleId="FootnoteTextChar">
    <w:name w:val="Footnote Text Char"/>
    <w:basedOn w:val="DefaultParagraphFont"/>
    <w:link w:val="FootnoteText"/>
    <w:uiPriority w:val="99"/>
    <w:semiHidden/>
    <w:rsid w:val="0042478E"/>
    <w:rPr>
      <w:rFonts w:ascii="Georgia" w:eastAsia="Calibri" w:hAnsi="Georgia" w:cs="Times New Roman"/>
      <w:sz w:val="20"/>
      <w:szCs w:val="20"/>
      <w:lang w:val="en-GB" w:eastAsia="en-US"/>
    </w:rPr>
  </w:style>
  <w:style w:type="character" w:styleId="FootnoteReference">
    <w:name w:val="footnote reference"/>
    <w:basedOn w:val="DefaultParagraphFont"/>
    <w:uiPriority w:val="99"/>
    <w:semiHidden/>
    <w:unhideWhenUsed/>
    <w:rsid w:val="0042478E"/>
    <w:rPr>
      <w:vertAlign w:val="superscript"/>
    </w:rPr>
  </w:style>
  <w:style w:type="paragraph" w:styleId="NoSpacing">
    <w:name w:val="No Spacing"/>
    <w:uiPriority w:val="1"/>
    <w:qFormat/>
    <w:rsid w:val="00EC30C1"/>
    <w:rPr>
      <w:rFonts w:ascii="Georgia" w:hAnsi="Georgia"/>
      <w:szCs w:val="22"/>
      <w:lang w:val="en-GB"/>
    </w:rPr>
  </w:style>
  <w:style w:type="character" w:styleId="CommentReference">
    <w:name w:val="annotation reference"/>
    <w:basedOn w:val="DefaultParagraphFont"/>
    <w:uiPriority w:val="99"/>
    <w:semiHidden/>
    <w:unhideWhenUsed/>
    <w:rsid w:val="007B69E1"/>
    <w:rPr>
      <w:sz w:val="16"/>
      <w:szCs w:val="16"/>
    </w:rPr>
  </w:style>
  <w:style w:type="paragraph" w:styleId="CommentText">
    <w:name w:val="annotation text"/>
    <w:basedOn w:val="Normal"/>
    <w:link w:val="CommentTextChar"/>
    <w:uiPriority w:val="99"/>
    <w:semiHidden/>
    <w:unhideWhenUsed/>
    <w:rsid w:val="007B69E1"/>
    <w:pPr>
      <w:spacing w:line="240" w:lineRule="auto"/>
    </w:pPr>
    <w:rPr>
      <w:szCs w:val="20"/>
    </w:rPr>
  </w:style>
  <w:style w:type="character" w:customStyle="1" w:styleId="CommentTextChar">
    <w:name w:val="Comment Text Char"/>
    <w:basedOn w:val="DefaultParagraphFont"/>
    <w:link w:val="CommentText"/>
    <w:uiPriority w:val="99"/>
    <w:semiHidden/>
    <w:rsid w:val="007B69E1"/>
    <w:rPr>
      <w:rFonts w:ascii="Georgia" w:hAnsi="Georgia"/>
      <w:sz w:val="20"/>
      <w:szCs w:val="20"/>
      <w:lang w:val="en-GB" w:eastAsia="en-US"/>
    </w:rPr>
  </w:style>
  <w:style w:type="paragraph" w:styleId="CommentSubject">
    <w:name w:val="annotation subject"/>
    <w:basedOn w:val="CommentText"/>
    <w:next w:val="CommentText"/>
    <w:link w:val="CommentSubjectChar"/>
    <w:uiPriority w:val="99"/>
    <w:semiHidden/>
    <w:unhideWhenUsed/>
    <w:rsid w:val="007B69E1"/>
    <w:rPr>
      <w:b/>
      <w:bCs/>
    </w:rPr>
  </w:style>
  <w:style w:type="character" w:customStyle="1" w:styleId="CommentSubjectChar">
    <w:name w:val="Comment Subject Char"/>
    <w:basedOn w:val="CommentTextChar"/>
    <w:link w:val="CommentSubject"/>
    <w:uiPriority w:val="99"/>
    <w:semiHidden/>
    <w:rsid w:val="007B69E1"/>
    <w:rPr>
      <w:rFonts w:ascii="Georgia" w:hAnsi="Georgia"/>
      <w:b/>
      <w:bCs/>
      <w:sz w:val="20"/>
      <w:szCs w:val="20"/>
      <w:lang w:val="en-GB" w:eastAsia="en-US"/>
    </w:rPr>
  </w:style>
  <w:style w:type="character" w:styleId="FollowedHyperlink">
    <w:name w:val="FollowedHyperlink"/>
    <w:basedOn w:val="DefaultParagraphFont"/>
    <w:uiPriority w:val="99"/>
    <w:semiHidden/>
    <w:unhideWhenUsed/>
    <w:rsid w:val="00614A1D"/>
    <w:rPr>
      <w:color w:val="800080" w:themeColor="followedHyperlink"/>
      <w:u w:val="single"/>
    </w:rPr>
  </w:style>
  <w:style w:type="character" w:customStyle="1" w:styleId="Hyperlink2">
    <w:name w:val="Hyperlink2"/>
    <w:rsid w:val="001B75F2"/>
    <w:rPr>
      <w:color w:val="0000FE"/>
      <w:sz w:val="22"/>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1336"/>
    <w:pPr>
      <w:spacing w:line="240" w:lineRule="atLeast"/>
    </w:pPr>
    <w:rPr>
      <w:rFonts w:ascii="Georgia" w:hAnsi="Georgia"/>
      <w:szCs w:val="22"/>
      <w:lang w:val="en-GB"/>
    </w:rPr>
  </w:style>
  <w:style w:type="paragraph" w:styleId="Heading1">
    <w:name w:val="heading 1"/>
    <w:basedOn w:val="Normal"/>
    <w:next w:val="Normal"/>
    <w:link w:val="Heading1Char"/>
    <w:uiPriority w:val="99"/>
    <w:qFormat/>
    <w:rsid w:val="00D81336"/>
    <w:pPr>
      <w:keepNext/>
      <w:spacing w:before="240" w:after="60" w:line="240" w:lineRule="auto"/>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81336"/>
    <w:rPr>
      <w:rFonts w:ascii="Cambria" w:hAnsi="Cambria" w:cs="Times New Roman"/>
      <w:b/>
      <w:bCs/>
      <w:kern w:val="32"/>
      <w:sz w:val="32"/>
      <w:szCs w:val="32"/>
    </w:rPr>
  </w:style>
  <w:style w:type="paragraph" w:styleId="Header">
    <w:name w:val="header"/>
    <w:basedOn w:val="Normal"/>
    <w:link w:val="HeaderChar"/>
    <w:uiPriority w:val="99"/>
    <w:semiHidden/>
    <w:rsid w:val="00D81336"/>
    <w:pPr>
      <w:tabs>
        <w:tab w:val="center" w:pos="4513"/>
        <w:tab w:val="right" w:pos="9026"/>
      </w:tabs>
      <w:spacing w:line="240" w:lineRule="auto"/>
    </w:pPr>
  </w:style>
  <w:style w:type="character" w:customStyle="1" w:styleId="HeaderChar">
    <w:name w:val="Header Char"/>
    <w:basedOn w:val="DefaultParagraphFont"/>
    <w:link w:val="Header"/>
    <w:uiPriority w:val="99"/>
    <w:semiHidden/>
    <w:locked/>
    <w:rsid w:val="00D81336"/>
    <w:rPr>
      <w:rFonts w:cs="Times New Roman"/>
    </w:rPr>
  </w:style>
  <w:style w:type="paragraph" w:styleId="Footer">
    <w:name w:val="footer"/>
    <w:basedOn w:val="Normal"/>
    <w:link w:val="FooterChar"/>
    <w:uiPriority w:val="99"/>
    <w:semiHidden/>
    <w:rsid w:val="00D81336"/>
    <w:pPr>
      <w:tabs>
        <w:tab w:val="center" w:pos="4513"/>
        <w:tab w:val="right" w:pos="9026"/>
      </w:tabs>
      <w:spacing w:line="240" w:lineRule="auto"/>
    </w:pPr>
  </w:style>
  <w:style w:type="character" w:customStyle="1" w:styleId="FooterChar">
    <w:name w:val="Footer Char"/>
    <w:basedOn w:val="DefaultParagraphFont"/>
    <w:link w:val="Footer"/>
    <w:uiPriority w:val="99"/>
    <w:semiHidden/>
    <w:locked/>
    <w:rsid w:val="00D81336"/>
    <w:rPr>
      <w:rFonts w:cs="Times New Roman"/>
    </w:rPr>
  </w:style>
  <w:style w:type="paragraph" w:styleId="BodyText">
    <w:name w:val="Body Text"/>
    <w:basedOn w:val="Normal"/>
    <w:link w:val="BodyTextChar"/>
    <w:uiPriority w:val="99"/>
    <w:semiHidden/>
    <w:rsid w:val="00D81336"/>
    <w:pPr>
      <w:spacing w:after="240"/>
    </w:pPr>
  </w:style>
  <w:style w:type="character" w:customStyle="1" w:styleId="BodyTextChar">
    <w:name w:val="Body Text Char"/>
    <w:basedOn w:val="DefaultParagraphFont"/>
    <w:link w:val="BodyText"/>
    <w:uiPriority w:val="99"/>
    <w:semiHidden/>
    <w:locked/>
    <w:rsid w:val="00D81336"/>
    <w:rPr>
      <w:rFonts w:ascii="Georgia" w:hAnsi="Georgia" w:cs="Times New Roman"/>
      <w:sz w:val="20"/>
    </w:rPr>
  </w:style>
  <w:style w:type="paragraph" w:styleId="Title">
    <w:name w:val="Title"/>
    <w:basedOn w:val="Normal"/>
    <w:next w:val="Normal"/>
    <w:link w:val="TitleChar"/>
    <w:uiPriority w:val="99"/>
    <w:qFormat/>
    <w:rsid w:val="00D81336"/>
    <w:pPr>
      <w:pBdr>
        <w:top w:val="single" w:sz="8" w:space="1" w:color="DC6900"/>
      </w:pBdr>
      <w:spacing w:after="240" w:line="240" w:lineRule="auto"/>
      <w:contextualSpacing/>
    </w:pPr>
    <w:rPr>
      <w:rFonts w:ascii="Cambria" w:eastAsia="Times New Roman" w:hAnsi="Cambria"/>
      <w:b/>
      <w:i/>
      <w:color w:val="000000"/>
      <w:spacing w:val="5"/>
      <w:kern w:val="28"/>
      <w:sz w:val="24"/>
      <w:szCs w:val="52"/>
    </w:rPr>
  </w:style>
  <w:style w:type="character" w:customStyle="1" w:styleId="TitleChar">
    <w:name w:val="Title Char"/>
    <w:basedOn w:val="DefaultParagraphFont"/>
    <w:link w:val="Title"/>
    <w:uiPriority w:val="99"/>
    <w:locked/>
    <w:rsid w:val="00D81336"/>
    <w:rPr>
      <w:rFonts w:ascii="Cambria" w:hAnsi="Cambria" w:cs="Times New Roman"/>
      <w:b/>
      <w:i/>
      <w:color w:val="000000"/>
      <w:spacing w:val="5"/>
      <w:kern w:val="28"/>
      <w:sz w:val="52"/>
      <w:szCs w:val="52"/>
    </w:rPr>
  </w:style>
  <w:style w:type="paragraph" w:customStyle="1" w:styleId="Address">
    <w:name w:val="Address"/>
    <w:basedOn w:val="Normal"/>
    <w:link w:val="AddressChar"/>
    <w:uiPriority w:val="99"/>
    <w:rsid w:val="00D81336"/>
    <w:pPr>
      <w:spacing w:line="200" w:lineRule="atLeast"/>
    </w:pPr>
    <w:rPr>
      <w:i/>
      <w:sz w:val="18"/>
    </w:rPr>
  </w:style>
  <w:style w:type="character" w:customStyle="1" w:styleId="AddressChar">
    <w:name w:val="Address Char"/>
    <w:basedOn w:val="DefaultParagraphFont"/>
    <w:link w:val="Address"/>
    <w:uiPriority w:val="99"/>
    <w:locked/>
    <w:rsid w:val="00D81336"/>
    <w:rPr>
      <w:rFonts w:ascii="Georgia" w:hAnsi="Georgia" w:cs="Times New Roman"/>
      <w:i/>
      <w:sz w:val="18"/>
    </w:rPr>
  </w:style>
  <w:style w:type="paragraph" w:customStyle="1" w:styleId="Disclaimer">
    <w:name w:val="Disclaimer"/>
    <w:basedOn w:val="Normal"/>
    <w:link w:val="DisclaimerChar"/>
    <w:uiPriority w:val="99"/>
    <w:rsid w:val="00D81336"/>
    <w:pPr>
      <w:spacing w:line="140" w:lineRule="atLeast"/>
    </w:pPr>
    <w:rPr>
      <w:rFonts w:ascii="Arial" w:hAnsi="Arial" w:cs="Arial"/>
      <w:sz w:val="12"/>
    </w:rPr>
  </w:style>
  <w:style w:type="character" w:customStyle="1" w:styleId="DisclaimerChar">
    <w:name w:val="Disclaimer Char"/>
    <w:basedOn w:val="DefaultParagraphFont"/>
    <w:link w:val="Disclaimer"/>
    <w:uiPriority w:val="99"/>
    <w:locked/>
    <w:rsid w:val="00D81336"/>
    <w:rPr>
      <w:rFonts w:ascii="Arial" w:hAnsi="Arial" w:cs="Arial"/>
      <w:sz w:val="12"/>
    </w:rPr>
  </w:style>
  <w:style w:type="paragraph" w:styleId="ListParagraph">
    <w:name w:val="List Paragraph"/>
    <w:basedOn w:val="Normal"/>
    <w:uiPriority w:val="34"/>
    <w:qFormat/>
    <w:rsid w:val="00D81336"/>
    <w:pPr>
      <w:ind w:left="720"/>
      <w:contextualSpacing/>
    </w:pPr>
  </w:style>
  <w:style w:type="character" w:styleId="Hyperlink">
    <w:name w:val="Hyperlink"/>
    <w:basedOn w:val="DefaultParagraphFont"/>
    <w:uiPriority w:val="99"/>
    <w:unhideWhenUsed/>
    <w:rsid w:val="00D81336"/>
    <w:rPr>
      <w:color w:val="0000FF"/>
      <w:u w:val="single"/>
    </w:rPr>
  </w:style>
  <w:style w:type="paragraph" w:styleId="NormalWeb">
    <w:name w:val="Normal (Web)"/>
    <w:basedOn w:val="Normal"/>
    <w:rsid w:val="00D81336"/>
    <w:pPr>
      <w:spacing w:before="100" w:beforeAutospacing="1" w:after="100" w:afterAutospacing="1" w:line="240" w:lineRule="auto"/>
    </w:pPr>
    <w:rPr>
      <w:rFonts w:ascii="Times New Roman" w:eastAsia="Times New Roman" w:hAnsi="Times New Roman"/>
      <w:sz w:val="24"/>
      <w:szCs w:val="24"/>
      <w:lang w:val="en-US"/>
    </w:rPr>
  </w:style>
  <w:style w:type="paragraph" w:styleId="BalloonText">
    <w:name w:val="Balloon Text"/>
    <w:basedOn w:val="Normal"/>
    <w:link w:val="BalloonTextChar"/>
    <w:uiPriority w:val="99"/>
    <w:semiHidden/>
    <w:unhideWhenUsed/>
    <w:rsid w:val="00D8133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336"/>
    <w:rPr>
      <w:rFonts w:ascii="Tahoma" w:hAnsi="Tahoma" w:cs="Tahoma"/>
      <w:sz w:val="16"/>
      <w:szCs w:val="16"/>
      <w:lang w:val="en-GB" w:eastAsia="en-US"/>
    </w:rPr>
  </w:style>
  <w:style w:type="paragraph" w:styleId="FootnoteText">
    <w:name w:val="footnote text"/>
    <w:basedOn w:val="Normal"/>
    <w:link w:val="FootnoteTextChar"/>
    <w:uiPriority w:val="99"/>
    <w:semiHidden/>
    <w:unhideWhenUsed/>
    <w:rsid w:val="0042478E"/>
    <w:pPr>
      <w:spacing w:line="240" w:lineRule="auto"/>
    </w:pPr>
    <w:rPr>
      <w:szCs w:val="20"/>
    </w:rPr>
  </w:style>
  <w:style w:type="character" w:customStyle="1" w:styleId="FootnoteTextChar">
    <w:name w:val="Footnote Text Char"/>
    <w:basedOn w:val="DefaultParagraphFont"/>
    <w:link w:val="FootnoteText"/>
    <w:uiPriority w:val="99"/>
    <w:semiHidden/>
    <w:rsid w:val="0042478E"/>
    <w:rPr>
      <w:rFonts w:ascii="Georgia" w:eastAsia="Calibri" w:hAnsi="Georgia" w:cs="Times New Roman"/>
      <w:sz w:val="20"/>
      <w:szCs w:val="20"/>
      <w:lang w:val="en-GB" w:eastAsia="en-US"/>
    </w:rPr>
  </w:style>
  <w:style w:type="character" w:styleId="FootnoteReference">
    <w:name w:val="footnote reference"/>
    <w:basedOn w:val="DefaultParagraphFont"/>
    <w:uiPriority w:val="99"/>
    <w:semiHidden/>
    <w:unhideWhenUsed/>
    <w:rsid w:val="0042478E"/>
    <w:rPr>
      <w:vertAlign w:val="superscript"/>
    </w:rPr>
  </w:style>
  <w:style w:type="paragraph" w:styleId="NoSpacing">
    <w:name w:val="No Spacing"/>
    <w:uiPriority w:val="1"/>
    <w:qFormat/>
    <w:rsid w:val="00EC30C1"/>
    <w:rPr>
      <w:rFonts w:ascii="Georgia" w:hAnsi="Georgia"/>
      <w:szCs w:val="22"/>
      <w:lang w:val="en-GB"/>
    </w:rPr>
  </w:style>
  <w:style w:type="character" w:styleId="CommentReference">
    <w:name w:val="annotation reference"/>
    <w:basedOn w:val="DefaultParagraphFont"/>
    <w:uiPriority w:val="99"/>
    <w:semiHidden/>
    <w:unhideWhenUsed/>
    <w:rsid w:val="007B69E1"/>
    <w:rPr>
      <w:sz w:val="16"/>
      <w:szCs w:val="16"/>
    </w:rPr>
  </w:style>
  <w:style w:type="paragraph" w:styleId="CommentText">
    <w:name w:val="annotation text"/>
    <w:basedOn w:val="Normal"/>
    <w:link w:val="CommentTextChar"/>
    <w:uiPriority w:val="99"/>
    <w:semiHidden/>
    <w:unhideWhenUsed/>
    <w:rsid w:val="007B69E1"/>
    <w:pPr>
      <w:spacing w:line="240" w:lineRule="auto"/>
    </w:pPr>
    <w:rPr>
      <w:szCs w:val="20"/>
    </w:rPr>
  </w:style>
  <w:style w:type="character" w:customStyle="1" w:styleId="CommentTextChar">
    <w:name w:val="Comment Text Char"/>
    <w:basedOn w:val="DefaultParagraphFont"/>
    <w:link w:val="CommentText"/>
    <w:uiPriority w:val="99"/>
    <w:semiHidden/>
    <w:rsid w:val="007B69E1"/>
    <w:rPr>
      <w:rFonts w:ascii="Georgia" w:hAnsi="Georgia"/>
      <w:sz w:val="20"/>
      <w:szCs w:val="20"/>
      <w:lang w:val="en-GB" w:eastAsia="en-US"/>
    </w:rPr>
  </w:style>
  <w:style w:type="paragraph" w:styleId="CommentSubject">
    <w:name w:val="annotation subject"/>
    <w:basedOn w:val="CommentText"/>
    <w:next w:val="CommentText"/>
    <w:link w:val="CommentSubjectChar"/>
    <w:uiPriority w:val="99"/>
    <w:semiHidden/>
    <w:unhideWhenUsed/>
    <w:rsid w:val="007B69E1"/>
    <w:rPr>
      <w:b/>
      <w:bCs/>
    </w:rPr>
  </w:style>
  <w:style w:type="character" w:customStyle="1" w:styleId="CommentSubjectChar">
    <w:name w:val="Comment Subject Char"/>
    <w:basedOn w:val="CommentTextChar"/>
    <w:link w:val="CommentSubject"/>
    <w:uiPriority w:val="99"/>
    <w:semiHidden/>
    <w:rsid w:val="007B69E1"/>
    <w:rPr>
      <w:rFonts w:ascii="Georgia" w:hAnsi="Georgia"/>
      <w:b/>
      <w:bCs/>
      <w:sz w:val="20"/>
      <w:szCs w:val="20"/>
      <w:lang w:val="en-GB" w:eastAsia="en-US"/>
    </w:rPr>
  </w:style>
  <w:style w:type="character" w:styleId="FollowedHyperlink">
    <w:name w:val="FollowedHyperlink"/>
    <w:basedOn w:val="DefaultParagraphFont"/>
    <w:uiPriority w:val="99"/>
    <w:semiHidden/>
    <w:unhideWhenUsed/>
    <w:rsid w:val="00614A1D"/>
    <w:rPr>
      <w:color w:val="800080" w:themeColor="followedHyperlink"/>
      <w:u w:val="single"/>
    </w:rPr>
  </w:style>
  <w:style w:type="character" w:customStyle="1" w:styleId="Hyperlink2">
    <w:name w:val="Hyperlink2"/>
    <w:rsid w:val="001B75F2"/>
    <w:rPr>
      <w:color w:val="0000FE"/>
      <w:sz w:val="2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wc.com/gx"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wc.com/citi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pwc.com/us/en/about-us/leadership/bob-moritz.jhtml"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pwc.com/cities"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pwc.com/us/en/"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hollingdale\AppData\Local\Microsoft\Windows\Temporary%20Internet%20Files\Content.Outlook\QVFKR2U3\News%20release%20a4%20no%20disclaimer%20colo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C07069-1CCB-44DA-B032-954687592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News release a4 no disclaimer colour.dotx</Template>
  <TotalTime>0</TotalTime>
  <Pages>2</Pages>
  <Words>951</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News release</vt:lpstr>
    </vt:vector>
  </TitlesOfParts>
  <Company>PwC</Company>
  <LinksUpToDate>false</LinksUpToDate>
  <CharactersWithSpaces>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alayna.francis@us.pwc.com</dc:creator>
  <cp:keywords>TMT, Innovation, Innovators, Technology, Entertainment &amp; Media, Telecommunications</cp:keywords>
  <cp:lastModifiedBy>Shelly Ko Van Pelt</cp:lastModifiedBy>
  <cp:revision>2</cp:revision>
  <cp:lastPrinted>2014-01-27T20:17:00Z</cp:lastPrinted>
  <dcterms:created xsi:type="dcterms:W3CDTF">2014-05-16T13:54:00Z</dcterms:created>
  <dcterms:modified xsi:type="dcterms:W3CDTF">2014-05-16T13:54:00Z</dcterms:modified>
</cp:coreProperties>
</file>