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bookmarkStart w:id="0" w:name="_GoBack"/>
      <w:bookmarkEnd w:id="0"/>
    </w:p>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5840AD">
            <w:r>
              <w:t>2 May</w:t>
            </w:r>
            <w:r w:rsidR="00F32932">
              <w:t xml:space="preserve"> 2014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Pr="00FC338F" w:rsidRDefault="00E11F82">
            <w:r w:rsidRPr="00FC338F">
              <w:t>2</w:t>
            </w:r>
            <w:r w:rsidR="001E7D34" w:rsidRPr="00FC338F">
              <w:t xml:space="preserve"> pages</w:t>
            </w:r>
          </w:p>
        </w:tc>
      </w:tr>
    </w:tbl>
    <w:p w:rsidR="00D81336" w:rsidRPr="00FC338F" w:rsidRDefault="00D81336">
      <w:pPr>
        <w:pStyle w:val="Title"/>
        <w:rPr>
          <w:i w:val="0"/>
          <w:sz w:val="16"/>
          <w:szCs w:val="16"/>
        </w:rPr>
      </w:pPr>
    </w:p>
    <w:p w:rsidR="003E78E5" w:rsidRDefault="0007219C" w:rsidP="00503C92">
      <w:pPr>
        <w:jc w:val="center"/>
        <w:rPr>
          <w:rFonts w:cs="Georgia"/>
          <w:b/>
          <w:bCs/>
          <w:color w:val="000000"/>
          <w:sz w:val="28"/>
          <w:szCs w:val="28"/>
          <w:lang w:val="en-US"/>
        </w:rPr>
      </w:pPr>
      <w:r>
        <w:rPr>
          <w:rFonts w:cs="Georgia"/>
          <w:b/>
          <w:bCs/>
          <w:color w:val="000000"/>
          <w:sz w:val="28"/>
          <w:szCs w:val="28"/>
          <w:lang w:val="en-US"/>
        </w:rPr>
        <w:t>Tech IPOs increase 160% during Q1 2014</w:t>
      </w:r>
      <w:r w:rsidR="00111ACA">
        <w:rPr>
          <w:rFonts w:cs="Georgia"/>
          <w:b/>
          <w:bCs/>
          <w:color w:val="000000"/>
          <w:sz w:val="28"/>
          <w:szCs w:val="28"/>
          <w:lang w:val="en-US"/>
        </w:rPr>
        <w:t>*</w:t>
      </w:r>
    </w:p>
    <w:p w:rsidR="00D73A73" w:rsidRDefault="00D73A73" w:rsidP="00503C92">
      <w:pPr>
        <w:jc w:val="center"/>
        <w:rPr>
          <w:b/>
          <w:sz w:val="28"/>
          <w:szCs w:val="28"/>
        </w:rPr>
      </w:pPr>
    </w:p>
    <w:p w:rsidR="00503C92" w:rsidRDefault="0007219C" w:rsidP="0007219C">
      <w:pPr>
        <w:jc w:val="center"/>
        <w:rPr>
          <w:b/>
          <w:i/>
          <w:szCs w:val="20"/>
        </w:rPr>
      </w:pPr>
      <w:r>
        <w:rPr>
          <w:b/>
          <w:i/>
          <w:szCs w:val="20"/>
        </w:rPr>
        <w:t>Rising equity markets, stable volatility index (VIX) and investor interest in high</w:t>
      </w:r>
      <w:r w:rsidR="00F16FF5">
        <w:rPr>
          <w:b/>
          <w:i/>
          <w:szCs w:val="20"/>
        </w:rPr>
        <w:t>-</w:t>
      </w:r>
      <w:r>
        <w:rPr>
          <w:b/>
          <w:i/>
          <w:szCs w:val="20"/>
        </w:rPr>
        <w:t>growth companies lead to significant increase over Q1 2013</w:t>
      </w:r>
    </w:p>
    <w:p w:rsidR="0007219C" w:rsidRPr="00996943" w:rsidRDefault="0007219C" w:rsidP="003E7169">
      <w:pPr>
        <w:rPr>
          <w:rFonts w:cs="Helv"/>
          <w:i/>
          <w:color w:val="000000"/>
          <w:szCs w:val="20"/>
        </w:rPr>
      </w:pPr>
    </w:p>
    <w:p w:rsidR="00C02D76" w:rsidRDefault="0007219C" w:rsidP="00FB675B">
      <w:pPr>
        <w:rPr>
          <w:rFonts w:cs="ITC Charter Com"/>
          <w:color w:val="000000"/>
          <w:szCs w:val="20"/>
        </w:rPr>
      </w:pPr>
      <w:r>
        <w:rPr>
          <w:szCs w:val="20"/>
        </w:rPr>
        <w:t>The reopening of the Chinese stock exchanges</w:t>
      </w:r>
      <w:r w:rsidR="00F32932">
        <w:rPr>
          <w:szCs w:val="20"/>
        </w:rPr>
        <w:t>,</w:t>
      </w:r>
      <w:r>
        <w:rPr>
          <w:szCs w:val="20"/>
        </w:rPr>
        <w:t xml:space="preserve"> continue</w:t>
      </w:r>
      <w:r w:rsidR="00F16FF5">
        <w:rPr>
          <w:szCs w:val="20"/>
        </w:rPr>
        <w:t>d rising of investor confidence</w:t>
      </w:r>
      <w:r>
        <w:rPr>
          <w:szCs w:val="20"/>
        </w:rPr>
        <w:t xml:space="preserve"> </w:t>
      </w:r>
      <w:r w:rsidR="00F16FF5">
        <w:rPr>
          <w:szCs w:val="20"/>
        </w:rPr>
        <w:t xml:space="preserve">and </w:t>
      </w:r>
      <w:r>
        <w:rPr>
          <w:szCs w:val="20"/>
        </w:rPr>
        <w:t>surging equity markets all contributed to an active first quarter for technology IPOs, according to</w:t>
      </w:r>
      <w:r w:rsidR="00FB675B" w:rsidRPr="00FB675B">
        <w:rPr>
          <w:szCs w:val="20"/>
        </w:rPr>
        <w:t xml:space="preserve"> </w:t>
      </w:r>
      <w:r w:rsidR="00255C91" w:rsidRPr="00FB675B">
        <w:rPr>
          <w:szCs w:val="20"/>
        </w:rPr>
        <w:t xml:space="preserve">PwC’s </w:t>
      </w:r>
      <w:r w:rsidR="00F16FF5">
        <w:rPr>
          <w:szCs w:val="20"/>
        </w:rPr>
        <w:t xml:space="preserve">Q1 2014 </w:t>
      </w:r>
      <w:r w:rsidR="000123A1" w:rsidRPr="00FB675B">
        <w:rPr>
          <w:szCs w:val="20"/>
        </w:rPr>
        <w:t xml:space="preserve">Global Technology </w:t>
      </w:r>
      <w:r w:rsidR="00FB675B" w:rsidRPr="00FB675B">
        <w:rPr>
          <w:szCs w:val="20"/>
        </w:rPr>
        <w:t>IPO Review</w:t>
      </w:r>
      <w:r w:rsidR="00FB675B" w:rsidRPr="00FB675B">
        <w:rPr>
          <w:rFonts w:cs="ITC Charter Com"/>
          <w:color w:val="000000"/>
          <w:szCs w:val="20"/>
        </w:rPr>
        <w:t xml:space="preserve">. </w:t>
      </w:r>
      <w:r>
        <w:rPr>
          <w:rFonts w:cs="ITC Charter Com"/>
          <w:color w:val="000000"/>
          <w:szCs w:val="20"/>
        </w:rPr>
        <w:t xml:space="preserve">Year over year, the number of technology IPOs increased 160% (26 versus 10) and </w:t>
      </w:r>
      <w:proofErr w:type="gramStart"/>
      <w:r>
        <w:rPr>
          <w:rFonts w:cs="ITC Charter Com"/>
          <w:color w:val="000000"/>
          <w:szCs w:val="20"/>
        </w:rPr>
        <w:t>proceeds</w:t>
      </w:r>
      <w:proofErr w:type="gramEnd"/>
      <w:r>
        <w:rPr>
          <w:rFonts w:cs="ITC Charter Com"/>
          <w:color w:val="000000"/>
          <w:szCs w:val="20"/>
        </w:rPr>
        <w:t xml:space="preserve"> increased four</w:t>
      </w:r>
      <w:r w:rsidR="00F16FF5">
        <w:rPr>
          <w:rFonts w:cs="ITC Charter Com"/>
          <w:color w:val="000000"/>
          <w:szCs w:val="20"/>
        </w:rPr>
        <w:t>-</w:t>
      </w:r>
      <w:r>
        <w:rPr>
          <w:rFonts w:cs="ITC Charter Com"/>
          <w:color w:val="000000"/>
          <w:szCs w:val="20"/>
        </w:rPr>
        <w:t>fold to US$6.8</w:t>
      </w:r>
      <w:r w:rsidR="005F13FB">
        <w:rPr>
          <w:rFonts w:cs="ITC Charter Com"/>
          <w:color w:val="000000"/>
          <w:szCs w:val="20"/>
        </w:rPr>
        <w:t xml:space="preserve"> billion</w:t>
      </w:r>
      <w:r>
        <w:rPr>
          <w:rFonts w:cs="ITC Charter Com"/>
          <w:color w:val="000000"/>
          <w:szCs w:val="20"/>
        </w:rPr>
        <w:t>.</w:t>
      </w:r>
    </w:p>
    <w:p w:rsidR="0007219C" w:rsidRPr="00C02D76" w:rsidRDefault="0007219C" w:rsidP="00FB675B">
      <w:pPr>
        <w:rPr>
          <w:rFonts w:cs="ITC Charter Com"/>
          <w:color w:val="000000"/>
          <w:szCs w:val="20"/>
        </w:rPr>
      </w:pPr>
    </w:p>
    <w:p w:rsidR="000123A1" w:rsidRPr="00FB675B" w:rsidRDefault="000123A1" w:rsidP="00FB675B">
      <w:pPr>
        <w:rPr>
          <w:szCs w:val="20"/>
        </w:rPr>
      </w:pPr>
      <w:r w:rsidRPr="00FB675B">
        <w:rPr>
          <w:szCs w:val="20"/>
        </w:rPr>
        <w:t>Raman Chitkara, Global Technology Industry Leader, PwC, said:</w:t>
      </w:r>
    </w:p>
    <w:p w:rsidR="0007219C" w:rsidRDefault="00ED4301" w:rsidP="00FB675B">
      <w:pPr>
        <w:rPr>
          <w:szCs w:val="20"/>
        </w:rPr>
      </w:pPr>
      <w:r w:rsidRPr="00FB675B">
        <w:rPr>
          <w:szCs w:val="20"/>
        </w:rPr>
        <w:t>“</w:t>
      </w:r>
      <w:r w:rsidR="00B81282">
        <w:rPr>
          <w:szCs w:val="20"/>
        </w:rPr>
        <w:t>Momentum</w:t>
      </w:r>
      <w:r w:rsidR="0007219C">
        <w:rPr>
          <w:szCs w:val="20"/>
        </w:rPr>
        <w:t xml:space="preserve"> from Q4 2013 led to a very strong start for</w:t>
      </w:r>
      <w:r w:rsidR="00B81282">
        <w:rPr>
          <w:szCs w:val="20"/>
        </w:rPr>
        <w:t xml:space="preserve"> technology IPOs in</w:t>
      </w:r>
      <w:r w:rsidR="0007219C">
        <w:rPr>
          <w:szCs w:val="20"/>
        </w:rPr>
        <w:t xml:space="preserve"> 2014. </w:t>
      </w:r>
      <w:r w:rsidR="00A12F4C">
        <w:rPr>
          <w:szCs w:val="20"/>
        </w:rPr>
        <w:t xml:space="preserve"> </w:t>
      </w:r>
      <w:r w:rsidR="00B81282">
        <w:rPr>
          <w:szCs w:val="20"/>
        </w:rPr>
        <w:t xml:space="preserve">Investors continue to demonstrate </w:t>
      </w:r>
      <w:r w:rsidR="00944A7D">
        <w:rPr>
          <w:szCs w:val="20"/>
        </w:rPr>
        <w:t xml:space="preserve">a </w:t>
      </w:r>
      <w:r w:rsidR="00B81282">
        <w:rPr>
          <w:szCs w:val="20"/>
        </w:rPr>
        <w:t xml:space="preserve">strong appetite for </w:t>
      </w:r>
      <w:r w:rsidR="00D7269E">
        <w:rPr>
          <w:szCs w:val="20"/>
        </w:rPr>
        <w:t>high</w:t>
      </w:r>
      <w:r w:rsidR="00F16FF5">
        <w:rPr>
          <w:szCs w:val="20"/>
        </w:rPr>
        <w:t>-</w:t>
      </w:r>
      <w:r w:rsidR="00D7269E">
        <w:rPr>
          <w:szCs w:val="20"/>
        </w:rPr>
        <w:t>growth companies with disruptive technologies</w:t>
      </w:r>
      <w:r w:rsidR="005F13FB">
        <w:rPr>
          <w:szCs w:val="20"/>
        </w:rPr>
        <w:t>. This</w:t>
      </w:r>
      <w:r w:rsidR="00B81282">
        <w:rPr>
          <w:szCs w:val="20"/>
        </w:rPr>
        <w:t xml:space="preserve"> should lead to </w:t>
      </w:r>
      <w:r w:rsidR="00944A7D">
        <w:rPr>
          <w:szCs w:val="20"/>
        </w:rPr>
        <w:t>continuation of a positive environment for technology IPOs in 2014</w:t>
      </w:r>
      <w:r w:rsidR="00D7269E">
        <w:rPr>
          <w:szCs w:val="20"/>
        </w:rPr>
        <w:t>.”</w:t>
      </w:r>
    </w:p>
    <w:p w:rsidR="0039440B" w:rsidRDefault="0039440B" w:rsidP="00FB675B">
      <w:pPr>
        <w:rPr>
          <w:szCs w:val="20"/>
        </w:rPr>
      </w:pPr>
    </w:p>
    <w:p w:rsidR="00FB675B" w:rsidRPr="00FB675B" w:rsidRDefault="00FB675B" w:rsidP="00FB675B">
      <w:pPr>
        <w:rPr>
          <w:rFonts w:cs="Helv"/>
          <w:b/>
          <w:szCs w:val="20"/>
        </w:rPr>
      </w:pPr>
      <w:r w:rsidRPr="00FB675B">
        <w:rPr>
          <w:rFonts w:cs="Helv"/>
          <w:b/>
          <w:szCs w:val="20"/>
        </w:rPr>
        <w:t xml:space="preserve">Regional </w:t>
      </w:r>
      <w:r w:rsidR="00FC4A84">
        <w:rPr>
          <w:rFonts w:cs="Helv"/>
          <w:b/>
          <w:szCs w:val="20"/>
        </w:rPr>
        <w:t>a</w:t>
      </w:r>
      <w:r w:rsidRPr="00FB675B">
        <w:rPr>
          <w:rFonts w:cs="Helv"/>
          <w:b/>
          <w:szCs w:val="20"/>
        </w:rPr>
        <w:t>ctivity</w:t>
      </w:r>
    </w:p>
    <w:p w:rsidR="00424A9C" w:rsidRDefault="00424A9C" w:rsidP="00D73A73">
      <w:pPr>
        <w:autoSpaceDE w:val="0"/>
        <w:autoSpaceDN w:val="0"/>
        <w:adjustRightInd w:val="0"/>
        <w:spacing w:line="240" w:lineRule="auto"/>
        <w:rPr>
          <w:rFonts w:cs="ITC Charter Com"/>
          <w:color w:val="000000"/>
          <w:szCs w:val="20"/>
        </w:rPr>
      </w:pPr>
      <w:r>
        <w:rPr>
          <w:rFonts w:cs="ITC Charter Com"/>
          <w:color w:val="000000"/>
          <w:szCs w:val="20"/>
        </w:rPr>
        <w:t xml:space="preserve">Geographic distribution for tech IPOs during Q1 2014 was spread </w:t>
      </w:r>
      <w:r w:rsidR="005F13FB">
        <w:rPr>
          <w:rFonts w:cs="ITC Charter Com"/>
          <w:color w:val="000000"/>
          <w:szCs w:val="20"/>
        </w:rPr>
        <w:t xml:space="preserve">among </w:t>
      </w:r>
      <w:r>
        <w:rPr>
          <w:rFonts w:cs="ITC Charter Com"/>
          <w:color w:val="000000"/>
          <w:szCs w:val="20"/>
        </w:rPr>
        <w:t xml:space="preserve">four nations: China, Japan, Ireland and the US. China and the US had the most activity, with 42% (11) and 46% (12) </w:t>
      </w:r>
      <w:r w:rsidR="00F16FF5">
        <w:rPr>
          <w:rFonts w:cs="ITC Charter Com"/>
          <w:color w:val="000000"/>
          <w:szCs w:val="20"/>
        </w:rPr>
        <w:t xml:space="preserve">of </w:t>
      </w:r>
      <w:r>
        <w:rPr>
          <w:rFonts w:cs="ITC Charter Com"/>
          <w:color w:val="000000"/>
          <w:szCs w:val="20"/>
        </w:rPr>
        <w:t>deals respectively.</w:t>
      </w:r>
    </w:p>
    <w:p w:rsidR="00424A9C" w:rsidRDefault="00424A9C" w:rsidP="00D73A73">
      <w:pPr>
        <w:autoSpaceDE w:val="0"/>
        <w:autoSpaceDN w:val="0"/>
        <w:adjustRightInd w:val="0"/>
        <w:spacing w:line="240" w:lineRule="auto"/>
        <w:rPr>
          <w:rFonts w:cs="ITC Charter Com"/>
          <w:color w:val="000000"/>
          <w:szCs w:val="20"/>
        </w:rPr>
      </w:pPr>
    </w:p>
    <w:p w:rsidR="0007219C" w:rsidRDefault="00BC0C94" w:rsidP="00D73A73">
      <w:pPr>
        <w:autoSpaceDE w:val="0"/>
        <w:autoSpaceDN w:val="0"/>
        <w:adjustRightInd w:val="0"/>
        <w:spacing w:line="240" w:lineRule="auto"/>
        <w:rPr>
          <w:rFonts w:cs="ITC Charter Com"/>
          <w:color w:val="000000"/>
          <w:szCs w:val="20"/>
        </w:rPr>
      </w:pPr>
      <w:r>
        <w:rPr>
          <w:rFonts w:cs="ITC Charter Com"/>
          <w:color w:val="000000"/>
          <w:szCs w:val="20"/>
        </w:rPr>
        <w:t xml:space="preserve">The Chinese exchanges, which had been closed from Q4 2012 through Q4 2013, demonstrated </w:t>
      </w:r>
      <w:r w:rsidR="00570838">
        <w:rPr>
          <w:rFonts w:cs="ITC Charter Com"/>
          <w:color w:val="000000"/>
          <w:szCs w:val="20"/>
        </w:rPr>
        <w:t>a noteworthy re-entry into the global IPO market, with 11 Chinese tech companies completing IPOs on the Shenzhen (10 deals) and Shanghai (1 deal) stock exchanges.</w:t>
      </w:r>
    </w:p>
    <w:p w:rsidR="00570838" w:rsidRDefault="00570838" w:rsidP="00D73A73">
      <w:pPr>
        <w:autoSpaceDE w:val="0"/>
        <w:autoSpaceDN w:val="0"/>
        <w:adjustRightInd w:val="0"/>
        <w:spacing w:line="240" w:lineRule="auto"/>
        <w:rPr>
          <w:rFonts w:cs="ITC Charter Com"/>
          <w:color w:val="000000"/>
          <w:szCs w:val="20"/>
        </w:rPr>
      </w:pPr>
    </w:p>
    <w:p w:rsidR="00570838" w:rsidRDefault="00570838" w:rsidP="00D73A73">
      <w:pPr>
        <w:autoSpaceDE w:val="0"/>
        <w:autoSpaceDN w:val="0"/>
        <w:adjustRightInd w:val="0"/>
        <w:spacing w:line="240" w:lineRule="auto"/>
        <w:rPr>
          <w:rFonts w:cs="ITC Charter Com"/>
          <w:color w:val="000000"/>
          <w:szCs w:val="20"/>
        </w:rPr>
      </w:pPr>
      <w:r>
        <w:rPr>
          <w:rFonts w:cs="ITC Charter Com"/>
          <w:color w:val="000000"/>
          <w:szCs w:val="20"/>
        </w:rPr>
        <w:t>Two of the largest tech IPOs of the quarter came from Japan, with deals raising 5</w:t>
      </w:r>
      <w:r w:rsidR="005F13FB">
        <w:rPr>
          <w:rFonts w:cs="ITC Charter Com"/>
          <w:color w:val="000000"/>
          <w:szCs w:val="20"/>
        </w:rPr>
        <w:t>5</w:t>
      </w:r>
      <w:r>
        <w:rPr>
          <w:rFonts w:cs="ITC Charter Com"/>
          <w:color w:val="000000"/>
          <w:szCs w:val="20"/>
        </w:rPr>
        <w:t>% (US$3.</w:t>
      </w:r>
      <w:r w:rsidR="005F13FB">
        <w:rPr>
          <w:rFonts w:cs="ITC Charter Com"/>
          <w:color w:val="000000"/>
          <w:szCs w:val="20"/>
        </w:rPr>
        <w:t>8 billion</w:t>
      </w:r>
      <w:r>
        <w:rPr>
          <w:rFonts w:cs="ITC Charter Com"/>
          <w:color w:val="000000"/>
          <w:szCs w:val="20"/>
        </w:rPr>
        <w:t>) of total proceeds.</w:t>
      </w:r>
    </w:p>
    <w:p w:rsidR="0007219C" w:rsidRDefault="0007219C" w:rsidP="00D73A73">
      <w:pPr>
        <w:autoSpaceDE w:val="0"/>
        <w:autoSpaceDN w:val="0"/>
        <w:adjustRightInd w:val="0"/>
        <w:spacing w:line="240" w:lineRule="auto"/>
        <w:rPr>
          <w:rFonts w:cs="ITC Charter Com"/>
          <w:color w:val="000000"/>
          <w:szCs w:val="20"/>
        </w:rPr>
      </w:pPr>
    </w:p>
    <w:p w:rsidR="0007219C" w:rsidRDefault="00185FB5" w:rsidP="00D73A73">
      <w:pPr>
        <w:autoSpaceDE w:val="0"/>
        <w:autoSpaceDN w:val="0"/>
        <w:adjustRightInd w:val="0"/>
        <w:spacing w:line="240" w:lineRule="auto"/>
        <w:rPr>
          <w:rFonts w:cs="ITC Charter Com"/>
          <w:color w:val="000000"/>
          <w:szCs w:val="20"/>
        </w:rPr>
      </w:pPr>
      <w:r>
        <w:rPr>
          <w:rFonts w:cs="ITC Charter Com"/>
          <w:color w:val="000000"/>
          <w:szCs w:val="20"/>
        </w:rPr>
        <w:t xml:space="preserve">US companies </w:t>
      </w:r>
      <w:r w:rsidR="000672E1">
        <w:rPr>
          <w:rFonts w:cs="ITC Charter Com"/>
          <w:color w:val="000000"/>
          <w:szCs w:val="20"/>
        </w:rPr>
        <w:t xml:space="preserve">maintained </w:t>
      </w:r>
      <w:r w:rsidR="0007219C">
        <w:rPr>
          <w:rFonts w:cs="ITC Charter Com"/>
          <w:color w:val="000000"/>
          <w:szCs w:val="20"/>
        </w:rPr>
        <w:t xml:space="preserve">their </w:t>
      </w:r>
      <w:r w:rsidR="00BC0C94">
        <w:rPr>
          <w:rFonts w:cs="ITC Charter Com"/>
          <w:color w:val="000000"/>
          <w:szCs w:val="20"/>
        </w:rPr>
        <w:t>growth trajectory</w:t>
      </w:r>
      <w:r w:rsidR="0007219C">
        <w:rPr>
          <w:rFonts w:cs="ITC Charter Com"/>
          <w:color w:val="000000"/>
          <w:szCs w:val="20"/>
        </w:rPr>
        <w:t xml:space="preserve"> from Q4 2013, with 12 IPOs completed in Q1 2014, compared to eight deals in Q4 2013 and six in Q1 2013. </w:t>
      </w:r>
      <w:r w:rsidR="00570838">
        <w:rPr>
          <w:rFonts w:cs="ITC Charter Com"/>
          <w:color w:val="000000"/>
          <w:szCs w:val="20"/>
        </w:rPr>
        <w:t xml:space="preserve"> Overall, US IPO proceeds increased 71% year over year</w:t>
      </w:r>
      <w:r w:rsidR="00F16FF5">
        <w:rPr>
          <w:rFonts w:cs="ITC Charter Com"/>
          <w:color w:val="000000"/>
          <w:szCs w:val="20"/>
        </w:rPr>
        <w:t>,</w:t>
      </w:r>
      <w:r w:rsidR="00570838">
        <w:rPr>
          <w:rFonts w:cs="ITC Charter Com"/>
          <w:color w:val="000000"/>
          <w:szCs w:val="20"/>
        </w:rPr>
        <w:t xml:space="preserve"> to US$1.6</w:t>
      </w:r>
      <w:r w:rsidR="005F13FB">
        <w:rPr>
          <w:rFonts w:cs="ITC Charter Com"/>
          <w:color w:val="000000"/>
          <w:szCs w:val="20"/>
        </w:rPr>
        <w:t xml:space="preserve"> billion</w:t>
      </w:r>
      <w:r w:rsidR="00F16FF5">
        <w:rPr>
          <w:rFonts w:cs="ITC Charter Com"/>
          <w:color w:val="000000"/>
          <w:szCs w:val="20"/>
        </w:rPr>
        <w:t>,</w:t>
      </w:r>
      <w:r w:rsidR="00570838">
        <w:rPr>
          <w:rFonts w:cs="ITC Charter Com"/>
          <w:color w:val="000000"/>
          <w:szCs w:val="20"/>
        </w:rPr>
        <w:t xml:space="preserve"> but declined from Q4 2013. Nine IPOs were listed on the NYSE, a notable showing over </w:t>
      </w:r>
      <w:r w:rsidR="005F13FB">
        <w:rPr>
          <w:rFonts w:cs="ITC Charter Com"/>
          <w:color w:val="000000"/>
          <w:szCs w:val="20"/>
        </w:rPr>
        <w:t xml:space="preserve">the </w:t>
      </w:r>
      <w:r w:rsidR="00570838">
        <w:rPr>
          <w:rFonts w:cs="ITC Charter Com"/>
          <w:color w:val="000000"/>
          <w:szCs w:val="20"/>
        </w:rPr>
        <w:t>NASDAQ, which brought four US tech deals to market.</w:t>
      </w:r>
    </w:p>
    <w:p w:rsidR="0007219C" w:rsidRDefault="0007219C" w:rsidP="00D73A73">
      <w:pPr>
        <w:autoSpaceDE w:val="0"/>
        <w:autoSpaceDN w:val="0"/>
        <w:adjustRightInd w:val="0"/>
        <w:spacing w:line="240" w:lineRule="auto"/>
        <w:rPr>
          <w:rFonts w:cs="ITC Charter Com"/>
          <w:color w:val="000000"/>
          <w:szCs w:val="20"/>
        </w:rPr>
      </w:pPr>
    </w:p>
    <w:p w:rsidR="00570838" w:rsidRDefault="00570838" w:rsidP="00D73A73">
      <w:pPr>
        <w:autoSpaceDE w:val="0"/>
        <w:autoSpaceDN w:val="0"/>
        <w:adjustRightInd w:val="0"/>
        <w:spacing w:line="240" w:lineRule="auto"/>
        <w:rPr>
          <w:rFonts w:cs="ITC Charter Com"/>
          <w:color w:val="000000"/>
          <w:szCs w:val="20"/>
        </w:rPr>
      </w:pPr>
      <w:r>
        <w:rPr>
          <w:rFonts w:cs="ITC Charter Com"/>
          <w:color w:val="000000"/>
          <w:szCs w:val="20"/>
        </w:rPr>
        <w:t>Though Europe ranked second in all funds raised for IPOs, the region’s tech IPOs lagged behind other markets with only one IPO at US$500</w:t>
      </w:r>
      <w:r w:rsidR="005F13FB">
        <w:rPr>
          <w:rFonts w:cs="ITC Charter Com"/>
          <w:color w:val="000000"/>
          <w:szCs w:val="20"/>
        </w:rPr>
        <w:t xml:space="preserve"> million</w:t>
      </w:r>
      <w:r>
        <w:rPr>
          <w:rFonts w:cs="ITC Charter Com"/>
          <w:color w:val="000000"/>
          <w:szCs w:val="20"/>
        </w:rPr>
        <w:t xml:space="preserve"> listing on the NYSE. </w:t>
      </w:r>
      <w:r w:rsidR="001B5BA3">
        <w:rPr>
          <w:rFonts w:cs="ITC Charter Com"/>
          <w:color w:val="000000"/>
          <w:szCs w:val="20"/>
        </w:rPr>
        <w:t>Considering Europe’s strong showing in Q4 2013, it remains to be seen if Q1 is the start of a new pattern or an aberration</w:t>
      </w:r>
      <w:r w:rsidR="005F13FB">
        <w:rPr>
          <w:rFonts w:cs="ITC Charter Com"/>
          <w:color w:val="000000"/>
          <w:szCs w:val="20"/>
        </w:rPr>
        <w:t xml:space="preserve">, </w:t>
      </w:r>
      <w:proofErr w:type="spellStart"/>
      <w:r w:rsidR="005F13FB">
        <w:rPr>
          <w:rFonts w:cs="ITC Charter Com"/>
          <w:color w:val="000000"/>
          <w:szCs w:val="20"/>
        </w:rPr>
        <w:t>Chitkara</w:t>
      </w:r>
      <w:proofErr w:type="spellEnd"/>
      <w:r w:rsidR="005F13FB">
        <w:rPr>
          <w:rFonts w:cs="ITC Charter Com"/>
          <w:color w:val="000000"/>
          <w:szCs w:val="20"/>
        </w:rPr>
        <w:t xml:space="preserve"> noted</w:t>
      </w:r>
      <w:r w:rsidR="001B5BA3">
        <w:rPr>
          <w:rFonts w:cs="ITC Charter Com"/>
          <w:color w:val="000000"/>
          <w:szCs w:val="20"/>
        </w:rPr>
        <w:t>.</w:t>
      </w:r>
    </w:p>
    <w:p w:rsidR="00A6419C" w:rsidRDefault="00A6419C" w:rsidP="00D73A73">
      <w:pPr>
        <w:autoSpaceDE w:val="0"/>
        <w:autoSpaceDN w:val="0"/>
        <w:adjustRightInd w:val="0"/>
        <w:spacing w:line="240" w:lineRule="auto"/>
        <w:rPr>
          <w:rFonts w:cs="ITC Charter Com"/>
          <w:color w:val="000000"/>
          <w:szCs w:val="20"/>
        </w:rPr>
      </w:pPr>
    </w:p>
    <w:p w:rsidR="00A6419C" w:rsidRDefault="00BF45FF" w:rsidP="00D73A73">
      <w:pPr>
        <w:autoSpaceDE w:val="0"/>
        <w:autoSpaceDN w:val="0"/>
        <w:adjustRightInd w:val="0"/>
        <w:spacing w:line="240" w:lineRule="auto"/>
        <w:rPr>
          <w:rFonts w:cs="ITC Charter Com"/>
          <w:color w:val="000000"/>
          <w:szCs w:val="20"/>
        </w:rPr>
      </w:pPr>
      <w:r>
        <w:rPr>
          <w:rFonts w:cs="ITC Charter Com"/>
          <w:color w:val="000000"/>
          <w:szCs w:val="20"/>
        </w:rPr>
        <w:lastRenderedPageBreak/>
        <w:t>Of</w:t>
      </w:r>
      <w:r w:rsidR="00A6419C">
        <w:rPr>
          <w:rFonts w:cs="ITC Charter Com"/>
          <w:color w:val="000000"/>
          <w:szCs w:val="20"/>
        </w:rPr>
        <w:t xml:space="preserve"> the top ten tech deals, only three met or exceeded US$500</w:t>
      </w:r>
      <w:r w:rsidR="005F13FB">
        <w:rPr>
          <w:rFonts w:cs="ITC Charter Com"/>
          <w:color w:val="000000"/>
          <w:szCs w:val="20"/>
        </w:rPr>
        <w:t>million</w:t>
      </w:r>
      <w:r w:rsidR="00A6419C">
        <w:rPr>
          <w:rFonts w:cs="ITC Charter Com"/>
          <w:color w:val="000000"/>
          <w:szCs w:val="20"/>
        </w:rPr>
        <w:t xml:space="preserve"> and all three were </w:t>
      </w:r>
      <w:r w:rsidR="00F16FF5">
        <w:rPr>
          <w:rFonts w:cs="ITC Charter Com"/>
          <w:color w:val="000000"/>
          <w:szCs w:val="20"/>
        </w:rPr>
        <w:t>non-</w:t>
      </w:r>
      <w:r w:rsidR="00A6419C">
        <w:rPr>
          <w:rFonts w:cs="ITC Charter Com"/>
          <w:color w:val="000000"/>
          <w:szCs w:val="20"/>
        </w:rPr>
        <w:t>US companies. The top two companies raising the highest proceeds were from Japan and the third highest was a</w:t>
      </w:r>
      <w:r w:rsidR="00944A7D">
        <w:rPr>
          <w:rFonts w:cs="ITC Charter Com"/>
          <w:color w:val="000000"/>
          <w:szCs w:val="20"/>
        </w:rPr>
        <w:t xml:space="preserve">n </w:t>
      </w:r>
      <w:r w:rsidR="00A6419C">
        <w:rPr>
          <w:rFonts w:cs="ITC Charter Com"/>
          <w:color w:val="000000"/>
          <w:szCs w:val="20"/>
        </w:rPr>
        <w:t xml:space="preserve"> </w:t>
      </w:r>
      <w:r>
        <w:rPr>
          <w:rFonts w:cs="ITC Charter Com"/>
          <w:color w:val="000000"/>
          <w:szCs w:val="20"/>
        </w:rPr>
        <w:t xml:space="preserve"> </w:t>
      </w:r>
      <w:r w:rsidR="00944A7D">
        <w:rPr>
          <w:rFonts w:cs="ITC Charter Com"/>
          <w:color w:val="000000"/>
          <w:szCs w:val="20"/>
        </w:rPr>
        <w:t xml:space="preserve">Irish </w:t>
      </w:r>
      <w:r>
        <w:rPr>
          <w:rFonts w:cs="ITC Charter Com"/>
          <w:color w:val="000000"/>
          <w:szCs w:val="20"/>
        </w:rPr>
        <w:t xml:space="preserve">gaming </w:t>
      </w:r>
      <w:r w:rsidR="00A6419C">
        <w:rPr>
          <w:rFonts w:cs="ITC Charter Com"/>
          <w:color w:val="000000"/>
          <w:szCs w:val="20"/>
        </w:rPr>
        <w:t xml:space="preserve">company </w:t>
      </w:r>
      <w:r w:rsidR="00944A7D">
        <w:rPr>
          <w:rFonts w:cs="ITC Charter Com"/>
          <w:color w:val="000000"/>
          <w:szCs w:val="20"/>
        </w:rPr>
        <w:t xml:space="preserve">which </w:t>
      </w:r>
      <w:r w:rsidR="00A6419C">
        <w:rPr>
          <w:rFonts w:cs="ITC Charter Com"/>
          <w:color w:val="000000"/>
          <w:szCs w:val="20"/>
        </w:rPr>
        <w:t>completed its offering on the NYSE, raising US$500</w:t>
      </w:r>
      <w:r w:rsidR="005F13FB">
        <w:rPr>
          <w:rFonts w:cs="ITC Charter Com"/>
          <w:color w:val="000000"/>
          <w:szCs w:val="20"/>
        </w:rPr>
        <w:t xml:space="preserve"> million</w:t>
      </w:r>
      <w:r w:rsidR="00A6419C">
        <w:rPr>
          <w:rFonts w:cs="ITC Charter Com"/>
          <w:color w:val="000000"/>
          <w:szCs w:val="20"/>
        </w:rPr>
        <w:t>.</w:t>
      </w:r>
    </w:p>
    <w:p w:rsidR="00185FB5" w:rsidRDefault="00185FB5" w:rsidP="00FB675B">
      <w:pPr>
        <w:rPr>
          <w:rFonts w:cs="ITC Charter Com"/>
          <w:color w:val="000000"/>
          <w:szCs w:val="20"/>
        </w:rPr>
      </w:pPr>
    </w:p>
    <w:p w:rsidR="00FB675B" w:rsidRPr="0028794F" w:rsidRDefault="00FB675B" w:rsidP="00FB675B">
      <w:pPr>
        <w:rPr>
          <w:rFonts w:cs="ITC Charter Com"/>
          <w:b/>
          <w:color w:val="000000"/>
          <w:szCs w:val="20"/>
        </w:rPr>
      </w:pPr>
      <w:r w:rsidRPr="0028794F">
        <w:rPr>
          <w:rFonts w:cs="ITC Charter Com"/>
          <w:b/>
          <w:color w:val="000000"/>
          <w:szCs w:val="20"/>
        </w:rPr>
        <w:t xml:space="preserve">Subsector </w:t>
      </w:r>
      <w:r w:rsidR="00FC4A84">
        <w:rPr>
          <w:rFonts w:cs="ITC Charter Com"/>
          <w:b/>
          <w:color w:val="000000"/>
          <w:szCs w:val="20"/>
        </w:rPr>
        <w:t>m</w:t>
      </w:r>
      <w:r w:rsidR="00BF45FF">
        <w:rPr>
          <w:rFonts w:cs="ITC Charter Com"/>
          <w:b/>
          <w:color w:val="000000"/>
          <w:szCs w:val="20"/>
        </w:rPr>
        <w:t>ovement</w:t>
      </w:r>
    </w:p>
    <w:p w:rsidR="001B5BA3" w:rsidRDefault="00A6419C" w:rsidP="00FB675B">
      <w:pPr>
        <w:rPr>
          <w:rFonts w:cs="ITC Charter Com"/>
          <w:color w:val="000000"/>
          <w:szCs w:val="20"/>
        </w:rPr>
      </w:pPr>
      <w:r>
        <w:rPr>
          <w:rFonts w:cs="ITC Charter Com"/>
          <w:color w:val="000000"/>
          <w:szCs w:val="20"/>
        </w:rPr>
        <w:t xml:space="preserve">Internet Software &amp; Services led with the </w:t>
      </w:r>
      <w:r w:rsidR="005F13FB">
        <w:rPr>
          <w:rFonts w:cs="ITC Charter Com"/>
          <w:color w:val="000000"/>
          <w:szCs w:val="20"/>
        </w:rPr>
        <w:t>most</w:t>
      </w:r>
      <w:r>
        <w:rPr>
          <w:rFonts w:cs="ITC Charter Com"/>
          <w:color w:val="000000"/>
          <w:szCs w:val="20"/>
        </w:rPr>
        <w:t xml:space="preserve"> deals, with 11 or 42% of deals, and raised the second highest proceeds with US$1.</w:t>
      </w:r>
      <w:r w:rsidR="005F13FB">
        <w:rPr>
          <w:rFonts w:cs="ITC Charter Com"/>
          <w:color w:val="000000"/>
          <w:szCs w:val="20"/>
        </w:rPr>
        <w:t>8 billion</w:t>
      </w:r>
      <w:r>
        <w:rPr>
          <w:rFonts w:cs="ITC Charter Com"/>
          <w:color w:val="000000"/>
          <w:szCs w:val="20"/>
        </w:rPr>
        <w:t xml:space="preserve">.  As boundaries between technology and other sectors converge, it is expected </w:t>
      </w:r>
      <w:r w:rsidR="00F16FF5">
        <w:rPr>
          <w:rFonts w:cs="ITC Charter Com"/>
          <w:color w:val="000000"/>
          <w:szCs w:val="20"/>
        </w:rPr>
        <w:t xml:space="preserve">that </w:t>
      </w:r>
      <w:r>
        <w:rPr>
          <w:rFonts w:cs="ITC Charter Com"/>
          <w:color w:val="000000"/>
          <w:szCs w:val="20"/>
        </w:rPr>
        <w:t xml:space="preserve">Internet Software &amp; Services </w:t>
      </w:r>
      <w:r w:rsidR="00F16FF5">
        <w:rPr>
          <w:rFonts w:cs="ITC Charter Com"/>
          <w:color w:val="000000"/>
          <w:szCs w:val="20"/>
        </w:rPr>
        <w:t xml:space="preserve">will </w:t>
      </w:r>
      <w:r>
        <w:rPr>
          <w:rFonts w:cs="ITC Charter Com"/>
          <w:color w:val="000000"/>
          <w:szCs w:val="20"/>
        </w:rPr>
        <w:t xml:space="preserve">continue its current growth patterns for IPO activity. </w:t>
      </w:r>
    </w:p>
    <w:p w:rsidR="00A6419C" w:rsidRDefault="00A6419C" w:rsidP="00FB675B">
      <w:pPr>
        <w:rPr>
          <w:rFonts w:cs="ITC Charter Com"/>
          <w:color w:val="000000"/>
          <w:szCs w:val="20"/>
        </w:rPr>
      </w:pPr>
    </w:p>
    <w:p w:rsidR="00A6419C" w:rsidRDefault="00A6419C" w:rsidP="00FB675B">
      <w:pPr>
        <w:rPr>
          <w:rFonts w:cs="ITC Charter Com"/>
          <w:color w:val="000000"/>
          <w:szCs w:val="20"/>
        </w:rPr>
      </w:pPr>
      <w:r>
        <w:rPr>
          <w:rFonts w:cs="ITC Charter Com"/>
          <w:color w:val="000000"/>
          <w:szCs w:val="20"/>
        </w:rPr>
        <w:t>Computer Storage &amp; Peripherals completed the two largest deals, raising US$3.</w:t>
      </w:r>
      <w:r w:rsidR="005F13FB">
        <w:rPr>
          <w:rFonts w:cs="ITC Charter Com"/>
          <w:color w:val="000000"/>
          <w:szCs w:val="20"/>
        </w:rPr>
        <w:t>8 billion</w:t>
      </w:r>
      <w:r>
        <w:rPr>
          <w:rFonts w:cs="ITC Charter Com"/>
          <w:color w:val="000000"/>
          <w:szCs w:val="20"/>
        </w:rPr>
        <w:t>. Semiconductor activity returned with US$246</w:t>
      </w:r>
      <w:r w:rsidR="005F13FB">
        <w:rPr>
          <w:rFonts w:cs="ITC Charter Com"/>
          <w:color w:val="000000"/>
          <w:szCs w:val="20"/>
        </w:rPr>
        <w:t xml:space="preserve"> million</w:t>
      </w:r>
      <w:r>
        <w:rPr>
          <w:rFonts w:cs="ITC Charter Com"/>
          <w:color w:val="000000"/>
          <w:szCs w:val="20"/>
        </w:rPr>
        <w:t xml:space="preserve">, a result of the Chinese market reopening. </w:t>
      </w:r>
    </w:p>
    <w:p w:rsidR="00A6419C" w:rsidRDefault="00A6419C" w:rsidP="00FB675B">
      <w:pPr>
        <w:rPr>
          <w:rFonts w:cs="ITC Charter Com"/>
          <w:color w:val="000000"/>
          <w:szCs w:val="20"/>
        </w:rPr>
      </w:pPr>
    </w:p>
    <w:p w:rsidR="00A6419C" w:rsidRDefault="00A6419C" w:rsidP="00FB675B">
      <w:pPr>
        <w:rPr>
          <w:rFonts w:cs="ITC Charter Com"/>
          <w:color w:val="000000"/>
          <w:szCs w:val="20"/>
        </w:rPr>
      </w:pPr>
      <w:r>
        <w:rPr>
          <w:rFonts w:cs="ITC Charter Com"/>
          <w:color w:val="000000"/>
          <w:szCs w:val="20"/>
        </w:rPr>
        <w:t>Overall, Internet Software &amp; Services and Computer Storage &amp; Peripherals combined dominated the top ten tech deals, comprising 88% of total proceeds and 71% of the total number of tech IPOs in Q1 2014.</w:t>
      </w:r>
    </w:p>
    <w:p w:rsidR="00DE280F" w:rsidRDefault="00DE280F" w:rsidP="00FB675B">
      <w:pPr>
        <w:rPr>
          <w:rFonts w:cs="ITC Charter Com"/>
          <w:color w:val="000000"/>
          <w:szCs w:val="20"/>
        </w:rPr>
      </w:pPr>
    </w:p>
    <w:p w:rsidR="00D81336" w:rsidRDefault="00A77FF6">
      <w:pPr>
        <w:rPr>
          <w:rFonts w:cs="Arial"/>
          <w:b/>
          <w:color w:val="000000"/>
          <w:szCs w:val="20"/>
        </w:rPr>
      </w:pPr>
      <w:r w:rsidRPr="00993039">
        <w:rPr>
          <w:rFonts w:cs="Arial"/>
          <w:b/>
          <w:color w:val="000000"/>
          <w:szCs w:val="20"/>
        </w:rPr>
        <w:t>Notes:</w:t>
      </w:r>
    </w:p>
    <w:p w:rsidR="005F13FB" w:rsidRDefault="005F13FB" w:rsidP="005F13FB">
      <w:pPr>
        <w:autoSpaceDE w:val="0"/>
        <w:autoSpaceDN w:val="0"/>
        <w:adjustRightInd w:val="0"/>
        <w:spacing w:line="240" w:lineRule="auto"/>
        <w:rPr>
          <w:rFonts w:cs="ITC Charter Com"/>
          <w:color w:val="000000"/>
          <w:szCs w:val="20"/>
        </w:rPr>
      </w:pPr>
      <w:r>
        <w:rPr>
          <w:rFonts w:cs="ITC Charter Com"/>
          <w:color w:val="000000"/>
          <w:szCs w:val="20"/>
        </w:rPr>
        <w:t>*Only deals greater than US$40 million are included.</w:t>
      </w:r>
    </w:p>
    <w:p w:rsidR="005F13FB" w:rsidRDefault="005F13FB"/>
    <w:p w:rsidR="00B4723E" w:rsidRDefault="00992659">
      <w:pPr>
        <w:rPr>
          <w:rStyle w:val="Hyperlink"/>
        </w:rPr>
      </w:pPr>
      <w:r>
        <w:t>F</w:t>
      </w:r>
      <w:r w:rsidR="00E15108">
        <w:t xml:space="preserve">urther information is available for viewing and downloading from our Web site at </w:t>
      </w:r>
      <w:hyperlink r:id="rId9" w:history="1">
        <w:r w:rsidR="00E15108" w:rsidRPr="006919FC">
          <w:rPr>
            <w:rStyle w:val="Hyperlink"/>
          </w:rPr>
          <w:t>pwc.com/globaltechipo</w:t>
        </w:r>
      </w:hyperlink>
    </w:p>
    <w:p w:rsidR="00E15108" w:rsidRDefault="00E15108">
      <w:pPr>
        <w:rPr>
          <w:rFonts w:cs="Arial"/>
          <w:b/>
          <w:color w:val="000000"/>
          <w:szCs w:val="20"/>
        </w:rPr>
      </w:pPr>
    </w:p>
    <w:p w:rsidR="00F672AB" w:rsidRDefault="00F672AB" w:rsidP="00F672AB">
      <w:pPr>
        <w:pStyle w:val="ListParagraph"/>
        <w:spacing w:line="240" w:lineRule="auto"/>
        <w:ind w:left="0"/>
        <w:rPr>
          <w:rFonts w:cstheme="minorHAnsi"/>
          <w:szCs w:val="20"/>
        </w:rPr>
      </w:pPr>
      <w:r>
        <w:rPr>
          <w:rFonts w:cstheme="minorHAnsi"/>
          <w:szCs w:val="20"/>
          <w:lang w:val="en-US"/>
        </w:rPr>
        <w:t>Follow Raman Chitkara, Global Technology L</w:t>
      </w:r>
      <w:r w:rsidRPr="00861B32">
        <w:rPr>
          <w:rFonts w:cstheme="minorHAnsi"/>
          <w:szCs w:val="20"/>
          <w:lang w:val="en-US"/>
        </w:rPr>
        <w:t>eader, PwC</w:t>
      </w:r>
      <w:r>
        <w:rPr>
          <w:rFonts w:cstheme="minorHAnsi"/>
          <w:szCs w:val="20"/>
          <w:lang w:val="en-US"/>
        </w:rPr>
        <w:t>, on Twitter: @</w:t>
      </w:r>
      <w:proofErr w:type="spellStart"/>
      <w:r>
        <w:rPr>
          <w:rFonts w:cstheme="minorHAnsi"/>
          <w:szCs w:val="20"/>
          <w:lang w:val="en-US"/>
        </w:rPr>
        <w:t>Raman_Chitkara</w:t>
      </w:r>
      <w:proofErr w:type="spellEnd"/>
    </w:p>
    <w:p w:rsidR="00F672AB" w:rsidRPr="004A3052" w:rsidRDefault="00F672AB">
      <w:pPr>
        <w:rPr>
          <w:rFonts w:cs="Arial"/>
          <w:b/>
          <w:color w:val="000000"/>
          <w:szCs w:val="20"/>
        </w:rPr>
      </w:pP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Pr>
          <w:rFonts w:cs="Arial"/>
          <w:i/>
          <w:iCs/>
          <w:color w:val="000000"/>
          <w:sz w:val="18"/>
          <w:szCs w:val="18"/>
        </w:rPr>
        <w:t xml:space="preserve"> </w:t>
      </w:r>
      <w:r w:rsidRPr="00BB47ED">
        <w:rPr>
          <w:rFonts w:cs="Arial"/>
          <w:i/>
          <w:iCs/>
          <w:color w:val="000000"/>
          <w:sz w:val="18"/>
          <w:szCs w:val="18"/>
        </w:rPr>
        <w:t>www.pwc.com.</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BB47ED" w:rsidRPr="00BB47ED" w:rsidRDefault="00BB47ED" w:rsidP="00BB47ED">
      <w:pPr>
        <w:rPr>
          <w:sz w:val="18"/>
          <w:szCs w:val="18"/>
        </w:rPr>
      </w:pPr>
      <w:r w:rsidRPr="00BB47ED">
        <w:rPr>
          <w:rFonts w:cs="Arial"/>
          <w:i/>
          <w:iCs/>
          <w:color w:val="000000"/>
          <w:sz w:val="18"/>
          <w:szCs w:val="18"/>
        </w:rPr>
        <w:t>PwC refers to the PwC network and/or one or more of its member firms, each of which is a separate legal entity. Please see www.pwc.com/structure for further details.</w:t>
      </w:r>
    </w:p>
    <w:p w:rsidR="00D81336" w:rsidRPr="00C7234F" w:rsidRDefault="00D81336"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18"/>
          <w:szCs w:val="18"/>
        </w:rPr>
      </w:pPr>
    </w:p>
    <w:sectPr w:rsidR="00D81336" w:rsidRPr="00C7234F"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DB" w:rsidRDefault="008873DB">
      <w:pPr>
        <w:spacing w:line="240" w:lineRule="auto"/>
      </w:pPr>
      <w:r>
        <w:separator/>
      </w:r>
    </w:p>
  </w:endnote>
  <w:endnote w:type="continuationSeparator" w:id="0">
    <w:p w:rsidR="008873DB" w:rsidRDefault="00887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Charter Com">
    <w:altName w:val="ITC Charter Com"/>
    <w:panose1 w:val="00000000000000000000"/>
    <w:charset w:val="4D"/>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3B0A16">
      <w:rPr>
        <w:noProof/>
      </w:rPr>
      <w:t>2</w:t>
    </w:r>
    <w:r>
      <w:rPr>
        <w:noProof/>
      </w:rPr>
      <w:fldChar w:fldCharType="end"/>
    </w:r>
    <w:r w:rsidR="00A77FF6">
      <w:t xml:space="preserve"> of </w:t>
    </w:r>
    <w:r w:rsidR="008873DB">
      <w:fldChar w:fldCharType="begin"/>
    </w:r>
    <w:r w:rsidR="008873DB">
      <w:instrText xml:space="preserve"> NUMPAGES  \* MERGEFORMAT </w:instrText>
    </w:r>
    <w:r w:rsidR="008873DB">
      <w:fldChar w:fldCharType="separate"/>
    </w:r>
    <w:r w:rsidR="003B0A16">
      <w:rPr>
        <w:noProof/>
      </w:rPr>
      <w:t>2</w:t>
    </w:r>
    <w:r w:rsidR="008873D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3E78E5">
      <w:rPr>
        <w:noProof/>
      </w:rPr>
      <w:t>3</w:t>
    </w:r>
    <w:r>
      <w:rPr>
        <w:noProof/>
      </w:rPr>
      <w:fldChar w:fldCharType="end"/>
    </w:r>
    <w:r w:rsidR="00A77FF6">
      <w:t xml:space="preserve"> of </w:t>
    </w:r>
    <w:r w:rsidR="008873DB">
      <w:fldChar w:fldCharType="begin"/>
    </w:r>
    <w:r w:rsidR="008873DB">
      <w:instrText xml:space="preserve"> NUMPAGES  \* MERGEFORMAT </w:instrText>
    </w:r>
    <w:r w:rsidR="008873DB">
      <w:fldChar w:fldCharType="separate"/>
    </w:r>
    <w:r w:rsidR="00295373">
      <w:rPr>
        <w:noProof/>
      </w:rPr>
      <w:t>2</w:t>
    </w:r>
    <w:r w:rsidR="008873D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DB" w:rsidRDefault="008873DB">
      <w:pPr>
        <w:spacing w:line="240" w:lineRule="auto"/>
      </w:pPr>
      <w:r>
        <w:separator/>
      </w:r>
    </w:p>
  </w:footnote>
  <w:footnote w:type="continuationSeparator" w:id="0">
    <w:p w:rsidR="008873DB" w:rsidRDefault="008873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2"/>
  </w:num>
  <w:num w:numId="15">
    <w:abstractNumId w:val="23"/>
  </w:num>
  <w:num w:numId="16">
    <w:abstractNumId w:val="19"/>
  </w:num>
  <w:num w:numId="17">
    <w:abstractNumId w:val="14"/>
  </w:num>
  <w:num w:numId="18">
    <w:abstractNumId w:val="24"/>
  </w:num>
  <w:num w:numId="19">
    <w:abstractNumId w:val="21"/>
  </w:num>
  <w:num w:numId="20">
    <w:abstractNumId w:val="17"/>
  </w:num>
  <w:num w:numId="21">
    <w:abstractNumId w:val="15"/>
  </w:num>
  <w:num w:numId="22">
    <w:abstractNumId w:val="16"/>
  </w:num>
  <w:num w:numId="23">
    <w:abstractNumId w:val="25"/>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7"/>
  </w:num>
  <w:num w:numId="26">
    <w:abstractNumId w:val="18"/>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1456"/>
    <w:rsid w:val="00002EBB"/>
    <w:rsid w:val="00006AE5"/>
    <w:rsid w:val="0001193B"/>
    <w:rsid w:val="000123A1"/>
    <w:rsid w:val="00012F4F"/>
    <w:rsid w:val="00017ED5"/>
    <w:rsid w:val="00021346"/>
    <w:rsid w:val="00024FE0"/>
    <w:rsid w:val="0002648E"/>
    <w:rsid w:val="00044346"/>
    <w:rsid w:val="00046B4E"/>
    <w:rsid w:val="00052E2C"/>
    <w:rsid w:val="00052E41"/>
    <w:rsid w:val="00054023"/>
    <w:rsid w:val="0005778C"/>
    <w:rsid w:val="000610EB"/>
    <w:rsid w:val="000672E1"/>
    <w:rsid w:val="0007219C"/>
    <w:rsid w:val="00073F6A"/>
    <w:rsid w:val="000A151F"/>
    <w:rsid w:val="000A518D"/>
    <w:rsid w:val="000E26AB"/>
    <w:rsid w:val="000E4BCB"/>
    <w:rsid w:val="000F529D"/>
    <w:rsid w:val="00104713"/>
    <w:rsid w:val="00111ACA"/>
    <w:rsid w:val="00127BEF"/>
    <w:rsid w:val="00135784"/>
    <w:rsid w:val="00135CC6"/>
    <w:rsid w:val="00136F21"/>
    <w:rsid w:val="0014604F"/>
    <w:rsid w:val="00152644"/>
    <w:rsid w:val="00156A70"/>
    <w:rsid w:val="00165588"/>
    <w:rsid w:val="001752F9"/>
    <w:rsid w:val="00180441"/>
    <w:rsid w:val="001805A6"/>
    <w:rsid w:val="00185FB5"/>
    <w:rsid w:val="00194555"/>
    <w:rsid w:val="00197B8B"/>
    <w:rsid w:val="001A166B"/>
    <w:rsid w:val="001A6BCA"/>
    <w:rsid w:val="001B0FDB"/>
    <w:rsid w:val="001B5BA3"/>
    <w:rsid w:val="001D732A"/>
    <w:rsid w:val="001E238B"/>
    <w:rsid w:val="001E7D34"/>
    <w:rsid w:val="001F1955"/>
    <w:rsid w:val="00204F9E"/>
    <w:rsid w:val="00207B40"/>
    <w:rsid w:val="002108F3"/>
    <w:rsid w:val="00221B2F"/>
    <w:rsid w:val="002304B7"/>
    <w:rsid w:val="00230F6C"/>
    <w:rsid w:val="00234BFB"/>
    <w:rsid w:val="00235E9C"/>
    <w:rsid w:val="00242BFE"/>
    <w:rsid w:val="00244C87"/>
    <w:rsid w:val="002555BE"/>
    <w:rsid w:val="00255C91"/>
    <w:rsid w:val="0028794F"/>
    <w:rsid w:val="00290936"/>
    <w:rsid w:val="00295373"/>
    <w:rsid w:val="002A4E6D"/>
    <w:rsid w:val="002C7292"/>
    <w:rsid w:val="002D0A99"/>
    <w:rsid w:val="002D542C"/>
    <w:rsid w:val="002E55E0"/>
    <w:rsid w:val="002F53B9"/>
    <w:rsid w:val="003017F6"/>
    <w:rsid w:val="00356366"/>
    <w:rsid w:val="003662E1"/>
    <w:rsid w:val="00370039"/>
    <w:rsid w:val="00373606"/>
    <w:rsid w:val="00386F3E"/>
    <w:rsid w:val="00390080"/>
    <w:rsid w:val="00392989"/>
    <w:rsid w:val="00393683"/>
    <w:rsid w:val="0039440B"/>
    <w:rsid w:val="00397194"/>
    <w:rsid w:val="003B0A16"/>
    <w:rsid w:val="003C62E9"/>
    <w:rsid w:val="003C723B"/>
    <w:rsid w:val="003D6A4B"/>
    <w:rsid w:val="003E3A1F"/>
    <w:rsid w:val="003E7169"/>
    <w:rsid w:val="003E78E5"/>
    <w:rsid w:val="003F21FD"/>
    <w:rsid w:val="0042478E"/>
    <w:rsid w:val="00424A9C"/>
    <w:rsid w:val="00425C8B"/>
    <w:rsid w:val="00435BEF"/>
    <w:rsid w:val="00437EBF"/>
    <w:rsid w:val="00441507"/>
    <w:rsid w:val="0044270F"/>
    <w:rsid w:val="00443378"/>
    <w:rsid w:val="00443BE8"/>
    <w:rsid w:val="00457B74"/>
    <w:rsid w:val="0048163B"/>
    <w:rsid w:val="004825C0"/>
    <w:rsid w:val="004A2FD3"/>
    <w:rsid w:val="004A3052"/>
    <w:rsid w:val="004A4CF4"/>
    <w:rsid w:val="004B06DF"/>
    <w:rsid w:val="004B740C"/>
    <w:rsid w:val="004C70EC"/>
    <w:rsid w:val="004D4632"/>
    <w:rsid w:val="004D5CE4"/>
    <w:rsid w:val="00503C92"/>
    <w:rsid w:val="00512820"/>
    <w:rsid w:val="005277E9"/>
    <w:rsid w:val="005445D4"/>
    <w:rsid w:val="00566BA8"/>
    <w:rsid w:val="00570838"/>
    <w:rsid w:val="005804DE"/>
    <w:rsid w:val="00580C22"/>
    <w:rsid w:val="005840AD"/>
    <w:rsid w:val="005A05B8"/>
    <w:rsid w:val="005B28B6"/>
    <w:rsid w:val="005C4401"/>
    <w:rsid w:val="005D46BE"/>
    <w:rsid w:val="005D6FF0"/>
    <w:rsid w:val="005F13FB"/>
    <w:rsid w:val="00614A1D"/>
    <w:rsid w:val="00617B68"/>
    <w:rsid w:val="0062072C"/>
    <w:rsid w:val="0063553A"/>
    <w:rsid w:val="00671A10"/>
    <w:rsid w:val="00671D62"/>
    <w:rsid w:val="00672373"/>
    <w:rsid w:val="00680895"/>
    <w:rsid w:val="006919FC"/>
    <w:rsid w:val="006A0DB1"/>
    <w:rsid w:val="006B12A3"/>
    <w:rsid w:val="006C5E3D"/>
    <w:rsid w:val="006C7AC4"/>
    <w:rsid w:val="006D1D90"/>
    <w:rsid w:val="006E1F0F"/>
    <w:rsid w:val="00711B16"/>
    <w:rsid w:val="00717145"/>
    <w:rsid w:val="00724D5C"/>
    <w:rsid w:val="00737A54"/>
    <w:rsid w:val="0074049A"/>
    <w:rsid w:val="0075164B"/>
    <w:rsid w:val="007630CB"/>
    <w:rsid w:val="00767CBB"/>
    <w:rsid w:val="0077103E"/>
    <w:rsid w:val="007727EF"/>
    <w:rsid w:val="00774D21"/>
    <w:rsid w:val="007A485E"/>
    <w:rsid w:val="007B59A1"/>
    <w:rsid w:val="007B69E1"/>
    <w:rsid w:val="007C077B"/>
    <w:rsid w:val="007D4D15"/>
    <w:rsid w:val="0080159C"/>
    <w:rsid w:val="00804275"/>
    <w:rsid w:val="00806032"/>
    <w:rsid w:val="00814070"/>
    <w:rsid w:val="00826DF8"/>
    <w:rsid w:val="0083373C"/>
    <w:rsid w:val="00834DE3"/>
    <w:rsid w:val="00862E83"/>
    <w:rsid w:val="00883C95"/>
    <w:rsid w:val="008873DB"/>
    <w:rsid w:val="00890345"/>
    <w:rsid w:val="008B4F10"/>
    <w:rsid w:val="008B6A67"/>
    <w:rsid w:val="008C4A7C"/>
    <w:rsid w:val="008D3565"/>
    <w:rsid w:val="008F39D9"/>
    <w:rsid w:val="008F6560"/>
    <w:rsid w:val="009050EF"/>
    <w:rsid w:val="00914E3B"/>
    <w:rsid w:val="00922509"/>
    <w:rsid w:val="009238D1"/>
    <w:rsid w:val="00923D6B"/>
    <w:rsid w:val="00944A7D"/>
    <w:rsid w:val="00953237"/>
    <w:rsid w:val="0095427A"/>
    <w:rsid w:val="00971626"/>
    <w:rsid w:val="00992659"/>
    <w:rsid w:val="00993039"/>
    <w:rsid w:val="00996943"/>
    <w:rsid w:val="00996A98"/>
    <w:rsid w:val="009A690A"/>
    <w:rsid w:val="009C6C6F"/>
    <w:rsid w:val="009D17CC"/>
    <w:rsid w:val="009E6DD7"/>
    <w:rsid w:val="009F001F"/>
    <w:rsid w:val="009F01CA"/>
    <w:rsid w:val="009F20C9"/>
    <w:rsid w:val="009F2C1D"/>
    <w:rsid w:val="00A05055"/>
    <w:rsid w:val="00A10215"/>
    <w:rsid w:val="00A12F4C"/>
    <w:rsid w:val="00A14BC9"/>
    <w:rsid w:val="00A20CBA"/>
    <w:rsid w:val="00A252FA"/>
    <w:rsid w:val="00A4193A"/>
    <w:rsid w:val="00A44418"/>
    <w:rsid w:val="00A45816"/>
    <w:rsid w:val="00A50A3B"/>
    <w:rsid w:val="00A51DA6"/>
    <w:rsid w:val="00A5260A"/>
    <w:rsid w:val="00A53B34"/>
    <w:rsid w:val="00A55A9F"/>
    <w:rsid w:val="00A6419C"/>
    <w:rsid w:val="00A71808"/>
    <w:rsid w:val="00A77FF6"/>
    <w:rsid w:val="00AA775E"/>
    <w:rsid w:val="00AB1A5B"/>
    <w:rsid w:val="00AE0B7C"/>
    <w:rsid w:val="00AE4A3C"/>
    <w:rsid w:val="00AE4CE9"/>
    <w:rsid w:val="00AE5140"/>
    <w:rsid w:val="00AF6C13"/>
    <w:rsid w:val="00B13E24"/>
    <w:rsid w:val="00B215E9"/>
    <w:rsid w:val="00B26E60"/>
    <w:rsid w:val="00B44270"/>
    <w:rsid w:val="00B4723E"/>
    <w:rsid w:val="00B81282"/>
    <w:rsid w:val="00B83E43"/>
    <w:rsid w:val="00B91931"/>
    <w:rsid w:val="00BB144D"/>
    <w:rsid w:val="00BB47ED"/>
    <w:rsid w:val="00BC0C94"/>
    <w:rsid w:val="00BC3FE6"/>
    <w:rsid w:val="00BC7FAB"/>
    <w:rsid w:val="00BD07A4"/>
    <w:rsid w:val="00BD6496"/>
    <w:rsid w:val="00BE061C"/>
    <w:rsid w:val="00BE2F72"/>
    <w:rsid w:val="00BF45FF"/>
    <w:rsid w:val="00BF4B0A"/>
    <w:rsid w:val="00C00F38"/>
    <w:rsid w:val="00C024AD"/>
    <w:rsid w:val="00C02D76"/>
    <w:rsid w:val="00C159B6"/>
    <w:rsid w:val="00C25269"/>
    <w:rsid w:val="00C271C3"/>
    <w:rsid w:val="00C3685C"/>
    <w:rsid w:val="00C440FF"/>
    <w:rsid w:val="00C70A5E"/>
    <w:rsid w:val="00C721FC"/>
    <w:rsid w:val="00C7234F"/>
    <w:rsid w:val="00C94E81"/>
    <w:rsid w:val="00CB2D0E"/>
    <w:rsid w:val="00CD20B5"/>
    <w:rsid w:val="00CD46E7"/>
    <w:rsid w:val="00CE123D"/>
    <w:rsid w:val="00CE5EB5"/>
    <w:rsid w:val="00D04275"/>
    <w:rsid w:val="00D05592"/>
    <w:rsid w:val="00D1599F"/>
    <w:rsid w:val="00D207B0"/>
    <w:rsid w:val="00D23C5B"/>
    <w:rsid w:val="00D3122F"/>
    <w:rsid w:val="00D370F5"/>
    <w:rsid w:val="00D66FF0"/>
    <w:rsid w:val="00D6710C"/>
    <w:rsid w:val="00D70544"/>
    <w:rsid w:val="00D71A67"/>
    <w:rsid w:val="00D7269E"/>
    <w:rsid w:val="00D73503"/>
    <w:rsid w:val="00D73A73"/>
    <w:rsid w:val="00D754A8"/>
    <w:rsid w:val="00D75651"/>
    <w:rsid w:val="00D81336"/>
    <w:rsid w:val="00D95099"/>
    <w:rsid w:val="00DA612B"/>
    <w:rsid w:val="00DB30D6"/>
    <w:rsid w:val="00DB6A89"/>
    <w:rsid w:val="00DC3C8A"/>
    <w:rsid w:val="00DE280F"/>
    <w:rsid w:val="00DE4CAD"/>
    <w:rsid w:val="00DE6B0F"/>
    <w:rsid w:val="00DF77D0"/>
    <w:rsid w:val="00E01B58"/>
    <w:rsid w:val="00E07696"/>
    <w:rsid w:val="00E11F82"/>
    <w:rsid w:val="00E12F3D"/>
    <w:rsid w:val="00E15108"/>
    <w:rsid w:val="00E27959"/>
    <w:rsid w:val="00E52F69"/>
    <w:rsid w:val="00E54FEC"/>
    <w:rsid w:val="00E62574"/>
    <w:rsid w:val="00E674AC"/>
    <w:rsid w:val="00E92282"/>
    <w:rsid w:val="00EB5502"/>
    <w:rsid w:val="00EC30C1"/>
    <w:rsid w:val="00EC4195"/>
    <w:rsid w:val="00EC71C6"/>
    <w:rsid w:val="00EC7646"/>
    <w:rsid w:val="00ED1AC6"/>
    <w:rsid w:val="00ED322B"/>
    <w:rsid w:val="00ED4301"/>
    <w:rsid w:val="00EF0BDB"/>
    <w:rsid w:val="00EF30B2"/>
    <w:rsid w:val="00F00122"/>
    <w:rsid w:val="00F16FF5"/>
    <w:rsid w:val="00F17001"/>
    <w:rsid w:val="00F17ADF"/>
    <w:rsid w:val="00F2169E"/>
    <w:rsid w:val="00F22648"/>
    <w:rsid w:val="00F3168E"/>
    <w:rsid w:val="00F32932"/>
    <w:rsid w:val="00F36BB7"/>
    <w:rsid w:val="00F5146C"/>
    <w:rsid w:val="00F63E3D"/>
    <w:rsid w:val="00F65C7E"/>
    <w:rsid w:val="00F672AB"/>
    <w:rsid w:val="00F76B1C"/>
    <w:rsid w:val="00F76F4D"/>
    <w:rsid w:val="00F862DC"/>
    <w:rsid w:val="00F90CE6"/>
    <w:rsid w:val="00F97875"/>
    <w:rsid w:val="00FB3BBC"/>
    <w:rsid w:val="00FB675B"/>
    <w:rsid w:val="00FC338F"/>
    <w:rsid w:val="00FC497A"/>
    <w:rsid w:val="00FC4A84"/>
    <w:rsid w:val="00FD1295"/>
    <w:rsid w:val="00FE2520"/>
    <w:rsid w:val="00FE4989"/>
    <w:rsid w:val="00FF1356"/>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globaltechip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8D7F-A2A3-40B6-9266-86597280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afrancis025</cp:lastModifiedBy>
  <cp:revision>3</cp:revision>
  <cp:lastPrinted>2014-04-25T00:12:00Z</cp:lastPrinted>
  <dcterms:created xsi:type="dcterms:W3CDTF">2014-05-01T16:16:00Z</dcterms:created>
  <dcterms:modified xsi:type="dcterms:W3CDTF">2014-05-01T19:51:00Z</dcterms:modified>
</cp:coreProperties>
</file>