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36" w:rsidRPr="00993039" w:rsidRDefault="00D81336"/>
    <w:p w:rsidR="00D81336" w:rsidRPr="00993039" w:rsidRDefault="00A77FF6">
      <w:pPr>
        <w:pStyle w:val="Title"/>
        <w:rPr>
          <w:rFonts w:ascii="Georgia" w:hAnsi="Georgia"/>
        </w:rPr>
      </w:pPr>
      <w:r w:rsidRPr="00993039">
        <w:rPr>
          <w:rFonts w:ascii="Georgia" w:hAnsi="Georgia"/>
        </w:rPr>
        <w:t>News release</w:t>
      </w:r>
    </w:p>
    <w:tbl>
      <w:tblPr>
        <w:tblW w:w="0" w:type="auto"/>
        <w:tblLayout w:type="fixed"/>
        <w:tblLook w:val="0000" w:firstRow="0" w:lastRow="0" w:firstColumn="0" w:lastColumn="0" w:noHBand="0" w:noVBand="0"/>
      </w:tblPr>
      <w:tblGrid>
        <w:gridCol w:w="2268"/>
        <w:gridCol w:w="4645"/>
      </w:tblGrid>
      <w:tr w:rsidR="00D81336" w:rsidRPr="00993039">
        <w:tc>
          <w:tcPr>
            <w:tcW w:w="2268" w:type="dxa"/>
          </w:tcPr>
          <w:p w:rsidR="00D81336" w:rsidRPr="00993039" w:rsidRDefault="00A77FF6">
            <w:pPr>
              <w:rPr>
                <w:i/>
              </w:rPr>
            </w:pPr>
            <w:r w:rsidRPr="00993039">
              <w:rPr>
                <w:i/>
              </w:rPr>
              <w:t>Date</w:t>
            </w:r>
          </w:p>
        </w:tc>
        <w:tc>
          <w:tcPr>
            <w:tcW w:w="4645" w:type="dxa"/>
          </w:tcPr>
          <w:p w:rsidR="00D81336" w:rsidRPr="00993039" w:rsidRDefault="00FB3CE6">
            <w:r>
              <w:t xml:space="preserve">23 </w:t>
            </w:r>
            <w:r w:rsidR="004B3276">
              <w:t>April</w:t>
            </w:r>
            <w:r w:rsidR="004B3276" w:rsidRPr="00993039">
              <w:t xml:space="preserve"> </w:t>
            </w:r>
            <w:r w:rsidR="00D207B0" w:rsidRPr="00993039">
              <w:t>201</w:t>
            </w:r>
            <w:r w:rsidR="005D365B">
              <w:t>4</w:t>
            </w:r>
          </w:p>
          <w:p w:rsidR="00D81336" w:rsidRPr="00993039" w:rsidRDefault="00D81336"/>
        </w:tc>
      </w:tr>
      <w:tr w:rsidR="00D81336" w:rsidRPr="00FC338F">
        <w:tc>
          <w:tcPr>
            <w:tcW w:w="2268" w:type="dxa"/>
          </w:tcPr>
          <w:p w:rsidR="00D81336" w:rsidRPr="00993039" w:rsidRDefault="00A77FF6">
            <w:pPr>
              <w:rPr>
                <w:i/>
              </w:rPr>
            </w:pPr>
            <w:r w:rsidRPr="00993039">
              <w:rPr>
                <w:i/>
              </w:rPr>
              <w:t>Contact</w:t>
            </w:r>
          </w:p>
        </w:tc>
        <w:tc>
          <w:tcPr>
            <w:tcW w:w="4645" w:type="dxa"/>
          </w:tcPr>
          <w:p w:rsidR="00D81336" w:rsidRPr="00FC338F" w:rsidRDefault="00104713">
            <w:pPr>
              <w:tabs>
                <w:tab w:val="left" w:pos="1440"/>
              </w:tabs>
              <w:ind w:left="1440" w:hanging="1440"/>
              <w:rPr>
                <w:rFonts w:cs="Arial"/>
                <w:color w:val="000000"/>
              </w:rPr>
            </w:pPr>
            <w:r w:rsidRPr="00FC338F">
              <w:rPr>
                <w:rFonts w:cs="Arial"/>
                <w:b/>
                <w:bCs/>
                <w:color w:val="000000"/>
              </w:rPr>
              <w:t>Alayna Francis</w:t>
            </w:r>
          </w:p>
          <w:p w:rsidR="00D81336" w:rsidRPr="00FC338F" w:rsidRDefault="00A77FF6">
            <w:pPr>
              <w:tabs>
                <w:tab w:val="left" w:pos="1440"/>
              </w:tabs>
              <w:ind w:left="1440" w:hanging="1440"/>
              <w:rPr>
                <w:rFonts w:cs="Arial"/>
                <w:color w:val="000000"/>
              </w:rPr>
            </w:pPr>
            <w:r w:rsidRPr="00FC338F">
              <w:rPr>
                <w:rFonts w:cs="Arial"/>
                <w:color w:val="000000"/>
              </w:rPr>
              <w:t xml:space="preserve">Tel: </w:t>
            </w:r>
            <w:r w:rsidR="00104713" w:rsidRPr="00FC338F">
              <w:rPr>
                <w:rFonts w:cs="Arial"/>
                <w:color w:val="000000"/>
              </w:rPr>
              <w:t>+1 646-471-4039</w:t>
            </w:r>
          </w:p>
          <w:p w:rsidR="00D81336" w:rsidRPr="00FC338F" w:rsidRDefault="001E7D34" w:rsidP="001E7D34">
            <w:pPr>
              <w:tabs>
                <w:tab w:val="left" w:pos="1440"/>
              </w:tabs>
              <w:ind w:left="1440" w:hanging="1440"/>
              <w:rPr>
                <w:rFonts w:cs="Arial"/>
                <w:color w:val="000000"/>
              </w:rPr>
            </w:pPr>
            <w:r w:rsidRPr="00FC338F">
              <w:rPr>
                <w:rFonts w:cs="Arial"/>
                <w:color w:val="000000"/>
              </w:rPr>
              <w:t>E</w:t>
            </w:r>
            <w:r w:rsidR="00A77FF6" w:rsidRPr="00FC338F">
              <w:rPr>
                <w:rFonts w:cs="Arial"/>
                <w:color w:val="000000"/>
              </w:rPr>
              <w:t xml:space="preserve">-mail: </w:t>
            </w:r>
            <w:r w:rsidR="00104713" w:rsidRPr="00FC338F">
              <w:rPr>
                <w:rFonts w:cs="Arial"/>
                <w:color w:val="000000"/>
              </w:rPr>
              <w:t>alayna.francis@us.pwc.com</w:t>
            </w:r>
          </w:p>
        </w:tc>
      </w:tr>
      <w:tr w:rsidR="00D81336" w:rsidRPr="00FC338F">
        <w:tc>
          <w:tcPr>
            <w:tcW w:w="2268" w:type="dxa"/>
          </w:tcPr>
          <w:p w:rsidR="00D81336" w:rsidRPr="00FC338F" w:rsidRDefault="00D81336">
            <w:pPr>
              <w:rPr>
                <w:i/>
              </w:rPr>
            </w:pPr>
          </w:p>
          <w:p w:rsidR="00D81336" w:rsidRPr="00993039" w:rsidRDefault="00A77FF6">
            <w:pPr>
              <w:rPr>
                <w:i/>
              </w:rPr>
            </w:pPr>
            <w:r w:rsidRPr="00993039">
              <w:rPr>
                <w:i/>
              </w:rPr>
              <w:t xml:space="preserve">Pages </w:t>
            </w:r>
          </w:p>
        </w:tc>
        <w:tc>
          <w:tcPr>
            <w:tcW w:w="4645" w:type="dxa"/>
          </w:tcPr>
          <w:p w:rsidR="00D81336" w:rsidRPr="00FC338F" w:rsidRDefault="00D81336"/>
          <w:p w:rsidR="00D81336" w:rsidRDefault="00E11F82">
            <w:r w:rsidRPr="00FC338F">
              <w:t>2</w:t>
            </w:r>
            <w:r w:rsidR="001E7D34" w:rsidRPr="00FC338F">
              <w:t xml:space="preserve"> pages</w:t>
            </w:r>
          </w:p>
          <w:p w:rsidR="00C86C19" w:rsidRPr="00FC338F" w:rsidRDefault="00C86C19"/>
        </w:tc>
      </w:tr>
    </w:tbl>
    <w:p w:rsidR="00D81336" w:rsidRPr="00FC338F" w:rsidRDefault="00D81336">
      <w:pPr>
        <w:pStyle w:val="Title"/>
        <w:rPr>
          <w:i w:val="0"/>
          <w:sz w:val="16"/>
          <w:szCs w:val="16"/>
        </w:rPr>
      </w:pPr>
    </w:p>
    <w:p w:rsidR="003E78E5" w:rsidRDefault="00453464" w:rsidP="00503C92">
      <w:pPr>
        <w:jc w:val="center"/>
        <w:rPr>
          <w:b/>
          <w:sz w:val="28"/>
          <w:szCs w:val="28"/>
        </w:rPr>
      </w:pPr>
      <w:r>
        <w:rPr>
          <w:b/>
          <w:sz w:val="28"/>
          <w:szCs w:val="28"/>
        </w:rPr>
        <w:t xml:space="preserve">TMT </w:t>
      </w:r>
      <w:r w:rsidR="00F92E8A">
        <w:rPr>
          <w:b/>
          <w:sz w:val="28"/>
          <w:szCs w:val="28"/>
        </w:rPr>
        <w:t xml:space="preserve">Innovation </w:t>
      </w:r>
      <w:r>
        <w:rPr>
          <w:b/>
          <w:sz w:val="28"/>
          <w:szCs w:val="28"/>
        </w:rPr>
        <w:t>Leaders Focus on Key Areas to Ensure Innovation Delivers Consistent, Tangible Results</w:t>
      </w:r>
    </w:p>
    <w:p w:rsidR="00503C92" w:rsidRPr="00C86C19" w:rsidRDefault="00503C92" w:rsidP="003E7169">
      <w:pPr>
        <w:rPr>
          <w:rFonts w:cs="Helv"/>
          <w:color w:val="000000"/>
          <w:szCs w:val="20"/>
        </w:rPr>
      </w:pPr>
    </w:p>
    <w:p w:rsidR="00550EC7" w:rsidRDefault="00550EC7" w:rsidP="001A166B">
      <w:pPr>
        <w:rPr>
          <w:szCs w:val="20"/>
        </w:rPr>
      </w:pPr>
    </w:p>
    <w:p w:rsidR="005B2207" w:rsidRDefault="00C86C19" w:rsidP="007329F1">
      <w:pPr>
        <w:autoSpaceDE w:val="0"/>
        <w:autoSpaceDN w:val="0"/>
        <w:adjustRightInd w:val="0"/>
        <w:spacing w:line="240" w:lineRule="auto"/>
        <w:rPr>
          <w:szCs w:val="20"/>
        </w:rPr>
      </w:pPr>
      <w:r w:rsidRPr="00C86C19">
        <w:rPr>
          <w:b/>
          <w:szCs w:val="20"/>
        </w:rPr>
        <w:t>New York, 23 April 2014</w:t>
      </w:r>
      <w:r>
        <w:rPr>
          <w:szCs w:val="20"/>
        </w:rPr>
        <w:t xml:space="preserve"> </w:t>
      </w:r>
      <w:r>
        <w:rPr>
          <w:szCs w:val="20"/>
        </w:rPr>
        <w:noBreakHyphen/>
      </w:r>
      <w:r>
        <w:rPr>
          <w:szCs w:val="20"/>
        </w:rPr>
        <w:noBreakHyphen/>
        <w:t xml:space="preserve"> </w:t>
      </w:r>
      <w:r w:rsidR="00616758">
        <w:rPr>
          <w:szCs w:val="20"/>
        </w:rPr>
        <w:t xml:space="preserve">Leading innovators in the </w:t>
      </w:r>
      <w:r w:rsidR="00301333">
        <w:rPr>
          <w:szCs w:val="20"/>
        </w:rPr>
        <w:t>Technology, Media and Telecoms (</w:t>
      </w:r>
      <w:r w:rsidR="00453464">
        <w:rPr>
          <w:szCs w:val="20"/>
        </w:rPr>
        <w:t>TMT</w:t>
      </w:r>
      <w:r w:rsidR="00301333">
        <w:rPr>
          <w:szCs w:val="20"/>
        </w:rPr>
        <w:t>)</w:t>
      </w:r>
      <w:r w:rsidR="00453464">
        <w:rPr>
          <w:szCs w:val="20"/>
        </w:rPr>
        <w:t xml:space="preserve"> </w:t>
      </w:r>
      <w:r w:rsidR="00616758">
        <w:rPr>
          <w:szCs w:val="20"/>
        </w:rPr>
        <w:t xml:space="preserve">industries succeed by identifying and taking action on </w:t>
      </w:r>
      <w:r w:rsidR="00F43990">
        <w:rPr>
          <w:szCs w:val="20"/>
        </w:rPr>
        <w:t xml:space="preserve">six key </w:t>
      </w:r>
      <w:r w:rsidR="00616758">
        <w:rPr>
          <w:szCs w:val="20"/>
        </w:rPr>
        <w:t xml:space="preserve">areas that can set their companies apart from </w:t>
      </w:r>
      <w:r w:rsidR="00EA0CD8">
        <w:rPr>
          <w:szCs w:val="20"/>
        </w:rPr>
        <w:t>the</w:t>
      </w:r>
      <w:r w:rsidR="00616758">
        <w:rPr>
          <w:szCs w:val="20"/>
        </w:rPr>
        <w:t xml:space="preserve"> competition</w:t>
      </w:r>
      <w:r w:rsidR="007270E8">
        <w:rPr>
          <w:szCs w:val="20"/>
        </w:rPr>
        <w:t xml:space="preserve">, </w:t>
      </w:r>
      <w:r w:rsidR="003C0B29">
        <w:rPr>
          <w:szCs w:val="20"/>
        </w:rPr>
        <w:t xml:space="preserve">according to </w:t>
      </w:r>
      <w:r w:rsidR="007329F1">
        <w:rPr>
          <w:rFonts w:cs="Helv"/>
          <w:bCs/>
          <w:i/>
          <w:color w:val="000000"/>
          <w:szCs w:val="20"/>
          <w:lang w:val="en-US"/>
        </w:rPr>
        <w:t>Clearing the innovation hurdles: How leading TMT businesses overcome barriers to make innovation happen</w:t>
      </w:r>
      <w:r w:rsidR="007329F1" w:rsidRPr="00041031">
        <w:rPr>
          <w:rFonts w:cs="Helv"/>
          <w:bCs/>
          <w:color w:val="000000"/>
          <w:szCs w:val="20"/>
          <w:lang w:val="en-US"/>
        </w:rPr>
        <w:t xml:space="preserve">. </w:t>
      </w:r>
      <w:r w:rsidR="007329F1">
        <w:rPr>
          <w:rFonts w:cs="Helv"/>
          <w:bCs/>
          <w:color w:val="000000"/>
          <w:szCs w:val="20"/>
          <w:lang w:val="en-US"/>
        </w:rPr>
        <w:t xml:space="preserve"> </w:t>
      </w:r>
    </w:p>
    <w:p w:rsidR="005B2207" w:rsidRDefault="005B2207" w:rsidP="007329F1">
      <w:pPr>
        <w:autoSpaceDE w:val="0"/>
        <w:autoSpaceDN w:val="0"/>
        <w:adjustRightInd w:val="0"/>
        <w:spacing w:line="240" w:lineRule="auto"/>
        <w:rPr>
          <w:szCs w:val="20"/>
        </w:rPr>
      </w:pPr>
    </w:p>
    <w:p w:rsidR="001B4B11" w:rsidRDefault="007329F1" w:rsidP="007329F1">
      <w:pPr>
        <w:autoSpaceDE w:val="0"/>
        <w:autoSpaceDN w:val="0"/>
        <w:adjustRightInd w:val="0"/>
        <w:spacing w:line="240" w:lineRule="auto"/>
        <w:rPr>
          <w:szCs w:val="20"/>
        </w:rPr>
      </w:pPr>
      <w:r>
        <w:rPr>
          <w:szCs w:val="20"/>
        </w:rPr>
        <w:t xml:space="preserve">This latest report </w:t>
      </w:r>
      <w:r w:rsidR="005B2207">
        <w:rPr>
          <w:szCs w:val="20"/>
        </w:rPr>
        <w:t xml:space="preserve">in PwC’s TMT global innovation series </w:t>
      </w:r>
      <w:r>
        <w:rPr>
          <w:szCs w:val="20"/>
        </w:rPr>
        <w:t xml:space="preserve">focuses on how companies address innovation hurdles as they arise, and how these hurdles have unique challenges for TMT industries. </w:t>
      </w:r>
      <w:r w:rsidR="001B4B11">
        <w:rPr>
          <w:szCs w:val="20"/>
        </w:rPr>
        <w:t xml:space="preserve">The </w:t>
      </w:r>
      <w:r>
        <w:rPr>
          <w:szCs w:val="20"/>
        </w:rPr>
        <w:t xml:space="preserve">survey findings, which include feedback from 374 c-suite executives from TMT companies across 20 countries, reflect that the </w:t>
      </w:r>
      <w:r w:rsidR="001B4B11">
        <w:rPr>
          <w:szCs w:val="20"/>
        </w:rPr>
        <w:t xml:space="preserve">most innovative </w:t>
      </w:r>
      <w:r w:rsidR="007E0027">
        <w:rPr>
          <w:szCs w:val="20"/>
        </w:rPr>
        <w:t xml:space="preserve">20% of </w:t>
      </w:r>
      <w:r w:rsidR="001B4B11">
        <w:rPr>
          <w:szCs w:val="20"/>
        </w:rPr>
        <w:t xml:space="preserve">TMT companies anticipate hurdles to </w:t>
      </w:r>
      <w:r w:rsidR="001B4B11" w:rsidRPr="00B50264">
        <w:rPr>
          <w:szCs w:val="20"/>
        </w:rPr>
        <w:t xml:space="preserve">innovation </w:t>
      </w:r>
      <w:r w:rsidR="001B4B11">
        <w:rPr>
          <w:szCs w:val="20"/>
        </w:rPr>
        <w:t xml:space="preserve">by focusing on such areas of differentiation as visionary leadership, </w:t>
      </w:r>
      <w:r w:rsidR="007E0027">
        <w:rPr>
          <w:szCs w:val="20"/>
        </w:rPr>
        <w:t xml:space="preserve">an </w:t>
      </w:r>
      <w:r w:rsidR="001B4B11">
        <w:rPr>
          <w:szCs w:val="20"/>
        </w:rPr>
        <w:t xml:space="preserve">open culture, attracting talent, collaboration and partnerships, the right metrics, and </w:t>
      </w:r>
      <w:r w:rsidR="007E0027">
        <w:rPr>
          <w:szCs w:val="20"/>
        </w:rPr>
        <w:t xml:space="preserve">higher investment and </w:t>
      </w:r>
      <w:r w:rsidR="001B4B11">
        <w:rPr>
          <w:szCs w:val="20"/>
        </w:rPr>
        <w:t>use of innovation subsidies and tax incentives.</w:t>
      </w:r>
      <w:r>
        <w:rPr>
          <w:szCs w:val="20"/>
        </w:rPr>
        <w:t xml:space="preserve"> </w:t>
      </w:r>
    </w:p>
    <w:p w:rsidR="001B4B11" w:rsidRDefault="001B4B11" w:rsidP="001B4B11">
      <w:pPr>
        <w:autoSpaceDE w:val="0"/>
        <w:autoSpaceDN w:val="0"/>
        <w:adjustRightInd w:val="0"/>
        <w:spacing w:line="240" w:lineRule="auto"/>
        <w:rPr>
          <w:szCs w:val="20"/>
        </w:rPr>
      </w:pPr>
    </w:p>
    <w:p w:rsidR="003E7169" w:rsidRDefault="00073F6A" w:rsidP="004C70EC">
      <w:pPr>
        <w:rPr>
          <w:szCs w:val="20"/>
        </w:rPr>
      </w:pPr>
      <w:r w:rsidRPr="002265FB">
        <w:rPr>
          <w:szCs w:val="20"/>
        </w:rPr>
        <w:t>Dan DiFilippo</w:t>
      </w:r>
      <w:r w:rsidR="00672373" w:rsidRPr="002265FB">
        <w:rPr>
          <w:szCs w:val="20"/>
        </w:rPr>
        <w:t>, PwC,</w:t>
      </w:r>
      <w:r w:rsidR="00BB6758">
        <w:rPr>
          <w:szCs w:val="20"/>
        </w:rPr>
        <w:t xml:space="preserve"> </w:t>
      </w:r>
      <w:r w:rsidR="00B50264" w:rsidRPr="002265FB">
        <w:rPr>
          <w:szCs w:val="20"/>
        </w:rPr>
        <w:t xml:space="preserve">Global TMT Leader, </w:t>
      </w:r>
      <w:r w:rsidR="00672373" w:rsidRPr="002265FB">
        <w:rPr>
          <w:szCs w:val="20"/>
        </w:rPr>
        <w:t>said:</w:t>
      </w:r>
    </w:p>
    <w:p w:rsidR="00C86C19" w:rsidRPr="002265FB" w:rsidRDefault="00C86C19" w:rsidP="004C70EC">
      <w:pPr>
        <w:rPr>
          <w:szCs w:val="20"/>
        </w:rPr>
      </w:pPr>
    </w:p>
    <w:p w:rsidR="00041031" w:rsidRDefault="00ED4301" w:rsidP="001B4B11">
      <w:pPr>
        <w:autoSpaceDE w:val="0"/>
        <w:autoSpaceDN w:val="0"/>
        <w:adjustRightInd w:val="0"/>
        <w:spacing w:line="240" w:lineRule="auto"/>
        <w:rPr>
          <w:szCs w:val="20"/>
        </w:rPr>
      </w:pPr>
      <w:r w:rsidRPr="002265FB">
        <w:rPr>
          <w:szCs w:val="20"/>
        </w:rPr>
        <w:t>“</w:t>
      </w:r>
      <w:r w:rsidR="00B12B9E">
        <w:rPr>
          <w:szCs w:val="20"/>
        </w:rPr>
        <w:t xml:space="preserve">Product lifecycles are relentlessly shorter for </w:t>
      </w:r>
      <w:r w:rsidR="00B50264">
        <w:rPr>
          <w:szCs w:val="20"/>
        </w:rPr>
        <w:t>TMT companies, while the speed of technological change is only increasing</w:t>
      </w:r>
      <w:r w:rsidR="00B12B9E">
        <w:rPr>
          <w:szCs w:val="20"/>
        </w:rPr>
        <w:t>. The pressure to innovate is fierce – TMT companies h</w:t>
      </w:r>
      <w:r w:rsidR="00B274DB">
        <w:rPr>
          <w:szCs w:val="20"/>
        </w:rPr>
        <w:t xml:space="preserve">ave to be committed to creating an environment </w:t>
      </w:r>
      <w:r w:rsidR="00B12B9E">
        <w:rPr>
          <w:szCs w:val="20"/>
        </w:rPr>
        <w:t>that can anticipate and eradicate innovation hurdles.</w:t>
      </w:r>
      <w:r w:rsidR="00041031">
        <w:rPr>
          <w:szCs w:val="20"/>
        </w:rPr>
        <w:t>”</w:t>
      </w:r>
    </w:p>
    <w:p w:rsidR="00041031" w:rsidRDefault="00041031" w:rsidP="004B740C">
      <w:pPr>
        <w:autoSpaceDE w:val="0"/>
        <w:autoSpaceDN w:val="0"/>
        <w:adjustRightInd w:val="0"/>
        <w:spacing w:line="240" w:lineRule="auto"/>
        <w:rPr>
          <w:szCs w:val="20"/>
        </w:rPr>
      </w:pPr>
    </w:p>
    <w:p w:rsidR="00D74C26" w:rsidRPr="00B93E97" w:rsidRDefault="00041031" w:rsidP="004B740C">
      <w:pPr>
        <w:autoSpaceDE w:val="0"/>
        <w:autoSpaceDN w:val="0"/>
        <w:adjustRightInd w:val="0"/>
        <w:spacing w:line="240" w:lineRule="auto"/>
        <w:rPr>
          <w:b/>
          <w:szCs w:val="20"/>
        </w:rPr>
      </w:pPr>
      <w:r w:rsidRPr="00B93E97">
        <w:rPr>
          <w:b/>
          <w:szCs w:val="20"/>
        </w:rPr>
        <w:t>Finding and overcoming the hurdles</w:t>
      </w:r>
    </w:p>
    <w:p w:rsidR="00301333" w:rsidRDefault="007329F1" w:rsidP="004B740C">
      <w:pPr>
        <w:autoSpaceDE w:val="0"/>
        <w:autoSpaceDN w:val="0"/>
        <w:adjustRightInd w:val="0"/>
        <w:spacing w:line="240" w:lineRule="auto"/>
        <w:rPr>
          <w:szCs w:val="20"/>
        </w:rPr>
      </w:pPr>
      <w:r w:rsidRPr="003C0B29">
        <w:rPr>
          <w:i/>
          <w:szCs w:val="20"/>
        </w:rPr>
        <w:t>Clearing the Innovation Hurdles</w:t>
      </w:r>
      <w:r w:rsidR="007270E8">
        <w:rPr>
          <w:szCs w:val="20"/>
        </w:rPr>
        <w:t xml:space="preserve"> </w:t>
      </w:r>
      <w:r w:rsidR="00B50264">
        <w:rPr>
          <w:szCs w:val="20"/>
        </w:rPr>
        <w:t xml:space="preserve">provides practical insights on </w:t>
      </w:r>
      <w:r w:rsidR="000C091B">
        <w:rPr>
          <w:szCs w:val="20"/>
        </w:rPr>
        <w:t>attributes</w:t>
      </w:r>
      <w:r w:rsidR="00B50264">
        <w:rPr>
          <w:szCs w:val="20"/>
        </w:rPr>
        <w:t xml:space="preserve"> TMT innovation leaders use to</w:t>
      </w:r>
      <w:r w:rsidR="000C091B">
        <w:rPr>
          <w:szCs w:val="20"/>
        </w:rPr>
        <w:t xml:space="preserve"> achieve higher returns on their innovation investments</w:t>
      </w:r>
      <w:r w:rsidR="00B50264">
        <w:rPr>
          <w:szCs w:val="20"/>
        </w:rPr>
        <w:t>.</w:t>
      </w:r>
      <w:r w:rsidR="000C091B">
        <w:rPr>
          <w:szCs w:val="20"/>
        </w:rPr>
        <w:t xml:space="preserve"> </w:t>
      </w:r>
      <w:r w:rsidR="000C091B">
        <w:rPr>
          <w:szCs w:val="20"/>
        </w:rPr>
        <w:br/>
      </w:r>
    </w:p>
    <w:p w:rsidR="00B50264" w:rsidRDefault="00B50264" w:rsidP="00C86C19">
      <w:pPr>
        <w:pStyle w:val="ListParagraph"/>
        <w:numPr>
          <w:ilvl w:val="0"/>
          <w:numId w:val="30"/>
        </w:numPr>
        <w:autoSpaceDE w:val="0"/>
        <w:autoSpaceDN w:val="0"/>
        <w:adjustRightInd w:val="0"/>
        <w:spacing w:line="240" w:lineRule="auto"/>
        <w:ind w:left="720" w:right="433"/>
        <w:rPr>
          <w:szCs w:val="20"/>
        </w:rPr>
      </w:pPr>
      <w:r>
        <w:rPr>
          <w:b/>
          <w:szCs w:val="20"/>
        </w:rPr>
        <w:t>Leadership:</w:t>
      </w:r>
      <w:r>
        <w:rPr>
          <w:szCs w:val="20"/>
        </w:rPr>
        <w:t xml:space="preserve"> Innovation cannot be relegated to the R&amp;D department.  Innovation must remain a corporate priority that is inseparable from the company’s overall growth strategy,</w:t>
      </w:r>
      <w:r w:rsidR="003C0B29">
        <w:rPr>
          <w:szCs w:val="20"/>
        </w:rPr>
        <w:t xml:space="preserve"> </w:t>
      </w:r>
      <w:r>
        <w:rPr>
          <w:szCs w:val="20"/>
        </w:rPr>
        <w:t>which needs to be owned by the company’s top leadership.</w:t>
      </w:r>
    </w:p>
    <w:p w:rsidR="00B7774F" w:rsidRDefault="00B7774F" w:rsidP="00C86C19">
      <w:pPr>
        <w:pStyle w:val="ListParagraph"/>
        <w:numPr>
          <w:ilvl w:val="0"/>
          <w:numId w:val="30"/>
        </w:numPr>
        <w:autoSpaceDE w:val="0"/>
        <w:autoSpaceDN w:val="0"/>
        <w:adjustRightInd w:val="0"/>
        <w:spacing w:line="240" w:lineRule="auto"/>
        <w:ind w:left="720" w:right="433"/>
        <w:rPr>
          <w:szCs w:val="20"/>
        </w:rPr>
      </w:pPr>
      <w:r w:rsidRPr="00D64774">
        <w:rPr>
          <w:b/>
          <w:szCs w:val="20"/>
        </w:rPr>
        <w:t>Culture:</w:t>
      </w:r>
      <w:r>
        <w:rPr>
          <w:szCs w:val="20"/>
        </w:rPr>
        <w:t xml:space="preserve"> Having a culture that promotes innovation is a vital step in the process towards shaping an ‘innovation ecosystem</w:t>
      </w:r>
      <w:r w:rsidR="00B50264">
        <w:rPr>
          <w:szCs w:val="20"/>
        </w:rPr>
        <w:t>.’</w:t>
      </w:r>
      <w:r>
        <w:rPr>
          <w:szCs w:val="20"/>
        </w:rPr>
        <w:t xml:space="preserve"> </w:t>
      </w:r>
      <w:r w:rsidR="007963E2">
        <w:rPr>
          <w:szCs w:val="20"/>
        </w:rPr>
        <w:t xml:space="preserve"> Other ways to create a culture of innovation include ‘innovation project rooms’ and tolerance for ‘fast failure</w:t>
      </w:r>
      <w:r w:rsidR="00B50264">
        <w:rPr>
          <w:szCs w:val="20"/>
        </w:rPr>
        <w:t>.’</w:t>
      </w:r>
    </w:p>
    <w:p w:rsidR="00B50264" w:rsidRDefault="00B50264" w:rsidP="00C86C19">
      <w:pPr>
        <w:pStyle w:val="ListParagraph"/>
        <w:numPr>
          <w:ilvl w:val="0"/>
          <w:numId w:val="30"/>
        </w:numPr>
        <w:autoSpaceDE w:val="0"/>
        <w:autoSpaceDN w:val="0"/>
        <w:adjustRightInd w:val="0"/>
        <w:spacing w:line="240" w:lineRule="auto"/>
        <w:ind w:left="720" w:right="433"/>
        <w:rPr>
          <w:szCs w:val="20"/>
        </w:rPr>
      </w:pPr>
      <w:r w:rsidRPr="00B50264">
        <w:rPr>
          <w:b/>
          <w:szCs w:val="20"/>
        </w:rPr>
        <w:t>Talent:</w:t>
      </w:r>
      <w:r w:rsidRPr="00B50264">
        <w:rPr>
          <w:szCs w:val="20"/>
        </w:rPr>
        <w:t xml:space="preserve"> Leaders </w:t>
      </w:r>
      <w:r>
        <w:rPr>
          <w:szCs w:val="20"/>
        </w:rPr>
        <w:t xml:space="preserve">embed innovation traits into their talent strategy, from training and performance reviews, to attracting </w:t>
      </w:r>
      <w:r w:rsidRPr="00B50264">
        <w:rPr>
          <w:szCs w:val="20"/>
        </w:rPr>
        <w:t>new recruits</w:t>
      </w:r>
      <w:r>
        <w:rPr>
          <w:szCs w:val="20"/>
        </w:rPr>
        <w:t xml:space="preserve">. Alignment is also supported by </w:t>
      </w:r>
      <w:r w:rsidR="007270E8">
        <w:rPr>
          <w:szCs w:val="20"/>
        </w:rPr>
        <w:t xml:space="preserve">rewarding </w:t>
      </w:r>
      <w:r>
        <w:rPr>
          <w:szCs w:val="20"/>
        </w:rPr>
        <w:t xml:space="preserve">and recognising </w:t>
      </w:r>
      <w:r w:rsidRPr="00B50264">
        <w:rPr>
          <w:szCs w:val="20"/>
        </w:rPr>
        <w:t>behaviours</w:t>
      </w:r>
      <w:r>
        <w:rPr>
          <w:szCs w:val="20"/>
        </w:rPr>
        <w:t xml:space="preserve"> that encourage innovation.</w:t>
      </w:r>
    </w:p>
    <w:p w:rsidR="00C86C19" w:rsidRPr="00C86C19" w:rsidRDefault="00C86C19" w:rsidP="00C86C19">
      <w:pPr>
        <w:autoSpaceDE w:val="0"/>
        <w:autoSpaceDN w:val="0"/>
        <w:adjustRightInd w:val="0"/>
        <w:spacing w:line="240" w:lineRule="auto"/>
        <w:ind w:left="360" w:right="433"/>
        <w:rPr>
          <w:szCs w:val="20"/>
        </w:rPr>
      </w:pPr>
      <w:bookmarkStart w:id="0" w:name="_GoBack"/>
      <w:bookmarkEnd w:id="0"/>
    </w:p>
    <w:p w:rsidR="007963E2" w:rsidRDefault="007963E2" w:rsidP="00C86C19">
      <w:pPr>
        <w:pStyle w:val="ListParagraph"/>
        <w:numPr>
          <w:ilvl w:val="0"/>
          <w:numId w:val="30"/>
        </w:numPr>
        <w:autoSpaceDE w:val="0"/>
        <w:autoSpaceDN w:val="0"/>
        <w:adjustRightInd w:val="0"/>
        <w:spacing w:line="240" w:lineRule="auto"/>
        <w:ind w:left="720" w:right="433"/>
        <w:rPr>
          <w:szCs w:val="20"/>
        </w:rPr>
      </w:pPr>
      <w:r>
        <w:rPr>
          <w:b/>
          <w:szCs w:val="20"/>
        </w:rPr>
        <w:lastRenderedPageBreak/>
        <w:t>Collaboration:</w:t>
      </w:r>
      <w:r w:rsidR="00B50264">
        <w:rPr>
          <w:szCs w:val="20"/>
        </w:rPr>
        <w:t xml:space="preserve">  L</w:t>
      </w:r>
      <w:r>
        <w:rPr>
          <w:szCs w:val="20"/>
        </w:rPr>
        <w:t xml:space="preserve">eading TMT innovators collaborate more frequently and with a wider spectrum of partners. The most innovative </w:t>
      </w:r>
      <w:r w:rsidR="007270E8">
        <w:rPr>
          <w:szCs w:val="20"/>
        </w:rPr>
        <w:t xml:space="preserve">20% of </w:t>
      </w:r>
      <w:r>
        <w:rPr>
          <w:szCs w:val="20"/>
        </w:rPr>
        <w:t>TMT companies co-create, on average, over 36% of their products and services with external partners. The least innovative TMT companies only co-create about 8%.</w:t>
      </w:r>
    </w:p>
    <w:p w:rsidR="00D64774" w:rsidRDefault="00D64774" w:rsidP="00C86C19">
      <w:pPr>
        <w:pStyle w:val="ListParagraph"/>
        <w:numPr>
          <w:ilvl w:val="0"/>
          <w:numId w:val="30"/>
        </w:numPr>
        <w:autoSpaceDE w:val="0"/>
        <w:autoSpaceDN w:val="0"/>
        <w:adjustRightInd w:val="0"/>
        <w:spacing w:line="240" w:lineRule="auto"/>
        <w:ind w:left="720" w:right="433"/>
        <w:rPr>
          <w:szCs w:val="20"/>
        </w:rPr>
      </w:pPr>
      <w:r>
        <w:rPr>
          <w:b/>
          <w:szCs w:val="20"/>
        </w:rPr>
        <w:t>Metrics:</w:t>
      </w:r>
      <w:r>
        <w:rPr>
          <w:szCs w:val="20"/>
        </w:rPr>
        <w:t xml:space="preserve"> The most innovative TMT companies have installed metrics to track and asses</w:t>
      </w:r>
      <w:r w:rsidR="00B50264">
        <w:rPr>
          <w:szCs w:val="20"/>
        </w:rPr>
        <w:t xml:space="preserve">s their innovation performance, and seek opportunities to use </w:t>
      </w:r>
      <w:r w:rsidR="00B50264" w:rsidRPr="009604D5">
        <w:rPr>
          <w:sz w:val="21"/>
          <w:szCs w:val="21"/>
        </w:rPr>
        <w:t>data more effectively to inform decisions abo</w:t>
      </w:r>
      <w:r w:rsidR="00B50264">
        <w:rPr>
          <w:sz w:val="21"/>
          <w:szCs w:val="21"/>
        </w:rPr>
        <w:t>ut future innovation investment.</w:t>
      </w:r>
    </w:p>
    <w:p w:rsidR="007963E2" w:rsidRPr="00D64774" w:rsidRDefault="00D64774" w:rsidP="00C86C19">
      <w:pPr>
        <w:pStyle w:val="ListParagraph"/>
        <w:numPr>
          <w:ilvl w:val="0"/>
          <w:numId w:val="30"/>
        </w:numPr>
        <w:autoSpaceDE w:val="0"/>
        <w:autoSpaceDN w:val="0"/>
        <w:adjustRightInd w:val="0"/>
        <w:spacing w:line="240" w:lineRule="auto"/>
        <w:ind w:left="720" w:right="433"/>
        <w:rPr>
          <w:szCs w:val="20"/>
        </w:rPr>
      </w:pPr>
      <w:r>
        <w:rPr>
          <w:b/>
          <w:szCs w:val="20"/>
        </w:rPr>
        <w:t xml:space="preserve">Funding: </w:t>
      </w:r>
      <w:r>
        <w:rPr>
          <w:szCs w:val="20"/>
        </w:rPr>
        <w:t>PwC’s survey found that t</w:t>
      </w:r>
      <w:r w:rsidRPr="00D64774">
        <w:rPr>
          <w:szCs w:val="20"/>
        </w:rPr>
        <w:t xml:space="preserve">he most innovative 20% of TMT companies </w:t>
      </w:r>
      <w:r>
        <w:rPr>
          <w:szCs w:val="20"/>
        </w:rPr>
        <w:t xml:space="preserve">invest over 1.5 times more in innovation than others. Investment is only one part of the process, however, as efficient use of funding is a crucial next step. </w:t>
      </w:r>
      <w:r w:rsidR="00EA0CD8">
        <w:rPr>
          <w:szCs w:val="20"/>
        </w:rPr>
        <w:t xml:space="preserve">Further, locating and using financial innovation incentives such as tax holidays and R&amp;D tax relief, can also help achieve greater innovation. </w:t>
      </w:r>
    </w:p>
    <w:p w:rsidR="00D74C26" w:rsidRDefault="00D74C26" w:rsidP="004B740C">
      <w:pPr>
        <w:autoSpaceDE w:val="0"/>
        <w:autoSpaceDN w:val="0"/>
        <w:adjustRightInd w:val="0"/>
        <w:spacing w:line="240" w:lineRule="auto"/>
        <w:rPr>
          <w:szCs w:val="20"/>
        </w:rPr>
      </w:pPr>
    </w:p>
    <w:p w:rsidR="00C86C19" w:rsidRDefault="00B50264" w:rsidP="004B740C">
      <w:pPr>
        <w:autoSpaceDE w:val="0"/>
        <w:autoSpaceDN w:val="0"/>
        <w:adjustRightInd w:val="0"/>
        <w:spacing w:line="240" w:lineRule="auto"/>
        <w:rPr>
          <w:szCs w:val="20"/>
        </w:rPr>
      </w:pPr>
      <w:r>
        <w:rPr>
          <w:szCs w:val="20"/>
        </w:rPr>
        <w:t xml:space="preserve">Roman Friedrich, Strategy&amp;, </w:t>
      </w:r>
      <w:r w:rsidRPr="002265FB">
        <w:rPr>
          <w:szCs w:val="20"/>
        </w:rPr>
        <w:t>Global TMT Leader, said:</w:t>
      </w:r>
      <w:r>
        <w:rPr>
          <w:szCs w:val="20"/>
        </w:rPr>
        <w:t xml:space="preserve"> </w:t>
      </w:r>
    </w:p>
    <w:p w:rsidR="00C86C19" w:rsidRDefault="00C86C19" w:rsidP="004B740C">
      <w:pPr>
        <w:autoSpaceDE w:val="0"/>
        <w:autoSpaceDN w:val="0"/>
        <w:adjustRightInd w:val="0"/>
        <w:spacing w:line="240" w:lineRule="auto"/>
        <w:rPr>
          <w:szCs w:val="20"/>
        </w:rPr>
      </w:pPr>
    </w:p>
    <w:p w:rsidR="007F7C6A" w:rsidRPr="007F7C6A" w:rsidRDefault="00B12B9E" w:rsidP="004B740C">
      <w:pPr>
        <w:autoSpaceDE w:val="0"/>
        <w:autoSpaceDN w:val="0"/>
        <w:adjustRightInd w:val="0"/>
        <w:spacing w:line="240" w:lineRule="auto"/>
        <w:rPr>
          <w:szCs w:val="20"/>
        </w:rPr>
      </w:pPr>
      <w:r>
        <w:rPr>
          <w:szCs w:val="20"/>
        </w:rPr>
        <w:t>“</w:t>
      </w:r>
      <w:r w:rsidR="0065777E" w:rsidRPr="0065777E">
        <w:rPr>
          <w:szCs w:val="20"/>
        </w:rPr>
        <w:t>There’s no one perfect solution to attain innovation. It is much more about having a well-defined strategy accompanied by relevant resources and infr</w:t>
      </w:r>
      <w:r w:rsidR="00C84CBC">
        <w:rPr>
          <w:szCs w:val="20"/>
        </w:rPr>
        <w:t>astructure to eliminate</w:t>
      </w:r>
      <w:r w:rsidR="0065777E" w:rsidRPr="0065777E">
        <w:rPr>
          <w:szCs w:val="20"/>
        </w:rPr>
        <w:t xml:space="preserve"> the hurdles</w:t>
      </w:r>
      <w:r w:rsidR="00C84CBC">
        <w:rPr>
          <w:szCs w:val="20"/>
        </w:rPr>
        <w:t>. By</w:t>
      </w:r>
      <w:r w:rsidR="0065777E" w:rsidRPr="0065777E">
        <w:rPr>
          <w:szCs w:val="20"/>
        </w:rPr>
        <w:t xml:space="preserve"> fostering a culture of innovation, using their resources and budget wisely, TMT companies can become the innovation leaders of tomorrow.”</w:t>
      </w:r>
    </w:p>
    <w:p w:rsidR="00234BFB" w:rsidRPr="002265FB" w:rsidRDefault="00234BFB" w:rsidP="004C70EC">
      <w:pPr>
        <w:rPr>
          <w:rFonts w:cs="Helv"/>
          <w:szCs w:val="20"/>
        </w:rPr>
      </w:pPr>
    </w:p>
    <w:p w:rsidR="00D81336" w:rsidRDefault="00A77FF6">
      <w:pPr>
        <w:rPr>
          <w:rFonts w:cs="Arial"/>
          <w:b/>
          <w:color w:val="000000"/>
          <w:szCs w:val="20"/>
        </w:rPr>
      </w:pPr>
      <w:r w:rsidRPr="002265FB">
        <w:rPr>
          <w:rFonts w:cs="Arial"/>
          <w:b/>
          <w:color w:val="000000"/>
          <w:szCs w:val="20"/>
        </w:rPr>
        <w:t>Notes:</w:t>
      </w:r>
    </w:p>
    <w:p w:rsidR="00C86C19" w:rsidRPr="002265FB" w:rsidRDefault="00C86C19">
      <w:pPr>
        <w:rPr>
          <w:rFonts w:cs="Arial"/>
          <w:b/>
          <w:color w:val="000000"/>
          <w:szCs w:val="20"/>
        </w:rPr>
      </w:pPr>
    </w:p>
    <w:p w:rsidR="00AB7D21" w:rsidRPr="00C86C19" w:rsidRDefault="00AB7D21" w:rsidP="00C86C19">
      <w:pPr>
        <w:pStyle w:val="ListParagraph"/>
        <w:numPr>
          <w:ilvl w:val="0"/>
          <w:numId w:val="32"/>
        </w:numPr>
        <w:rPr>
          <w:rFonts w:cs="Helv"/>
          <w:szCs w:val="20"/>
        </w:rPr>
      </w:pPr>
      <w:r w:rsidRPr="00C86C19">
        <w:rPr>
          <w:rFonts w:cs="Helv"/>
          <w:szCs w:val="20"/>
        </w:rPr>
        <w:t xml:space="preserve">Contact Dan </w:t>
      </w:r>
      <w:r w:rsidR="00BB6758" w:rsidRPr="00C86C19">
        <w:rPr>
          <w:szCs w:val="20"/>
        </w:rPr>
        <w:t>DiFilippo</w:t>
      </w:r>
      <w:r w:rsidR="00BB6758" w:rsidRPr="00C86C19" w:rsidDel="00BB6758">
        <w:rPr>
          <w:rFonts w:cs="Helv"/>
          <w:szCs w:val="20"/>
        </w:rPr>
        <w:t xml:space="preserve"> </w:t>
      </w:r>
      <w:r w:rsidRPr="00C86C19">
        <w:rPr>
          <w:rFonts w:cs="Helv"/>
          <w:szCs w:val="20"/>
        </w:rPr>
        <w:t xml:space="preserve">on </w:t>
      </w:r>
      <w:r w:rsidRPr="00C86C19">
        <w:rPr>
          <w:szCs w:val="20"/>
        </w:rPr>
        <w:t>Twitter: @DanDGlobal</w:t>
      </w:r>
    </w:p>
    <w:p w:rsidR="00C0274A" w:rsidRPr="00C86C19" w:rsidRDefault="00C0274A" w:rsidP="00F5146C">
      <w:pPr>
        <w:rPr>
          <w:rFonts w:cs="Helv"/>
          <w:szCs w:val="20"/>
        </w:rPr>
      </w:pPr>
    </w:p>
    <w:p w:rsidR="00780E52" w:rsidRPr="00C86C19" w:rsidRDefault="00041031" w:rsidP="00C86C19">
      <w:pPr>
        <w:pStyle w:val="ListParagraph"/>
        <w:numPr>
          <w:ilvl w:val="0"/>
          <w:numId w:val="31"/>
        </w:numPr>
        <w:rPr>
          <w:szCs w:val="20"/>
        </w:rPr>
      </w:pPr>
      <w:r w:rsidRPr="00C86C19">
        <w:rPr>
          <w:rFonts w:cs="Helv"/>
          <w:bCs/>
          <w:i/>
          <w:color w:val="000000"/>
          <w:szCs w:val="20"/>
          <w:lang w:val="en-US"/>
        </w:rPr>
        <w:t xml:space="preserve">Clearing the innovation hurdles: How leading TMT businesses overcome barriers to make innovation happen </w:t>
      </w:r>
      <w:r w:rsidRPr="00C86C19">
        <w:rPr>
          <w:rFonts w:cs="Helv"/>
          <w:bCs/>
          <w:color w:val="000000"/>
          <w:szCs w:val="20"/>
          <w:lang w:val="en-US"/>
        </w:rPr>
        <w:t xml:space="preserve">is the third and final report of the PwC TMT Innovation series. This third paper </w:t>
      </w:r>
      <w:r w:rsidRPr="00C86C19">
        <w:rPr>
          <w:szCs w:val="20"/>
        </w:rPr>
        <w:t xml:space="preserve">focuses on common barriers to innovation and how they can be overcome, as well as  best practice innovation approaches occurring across the TMT industries.  </w:t>
      </w:r>
      <w:r w:rsidRPr="00C86C19">
        <w:rPr>
          <w:rFonts w:cs="Helv"/>
          <w:bCs/>
          <w:color w:val="000000"/>
          <w:szCs w:val="20"/>
          <w:lang w:val="en-US"/>
        </w:rPr>
        <w:t>The second report,</w:t>
      </w:r>
      <w:r w:rsidRPr="00C86C19">
        <w:rPr>
          <w:rFonts w:cs="Helv"/>
          <w:bCs/>
          <w:i/>
          <w:color w:val="000000"/>
          <w:szCs w:val="20"/>
          <w:lang w:val="en-US"/>
        </w:rPr>
        <w:t xml:space="preserve"> </w:t>
      </w:r>
      <w:r w:rsidR="003E3DE3" w:rsidRPr="00C86C19">
        <w:rPr>
          <w:rFonts w:cs="Helv"/>
          <w:bCs/>
          <w:i/>
          <w:color w:val="000000"/>
          <w:szCs w:val="20"/>
          <w:lang w:val="en-US"/>
        </w:rPr>
        <w:t>Learning from innovation leaders</w:t>
      </w:r>
      <w:r w:rsidRPr="00C86C19">
        <w:rPr>
          <w:rFonts w:cs="Helv"/>
          <w:bCs/>
          <w:i/>
          <w:color w:val="000000"/>
          <w:szCs w:val="20"/>
          <w:lang w:val="en-US"/>
        </w:rPr>
        <w:t xml:space="preserve">, </w:t>
      </w:r>
      <w:r w:rsidRPr="00C86C19">
        <w:rPr>
          <w:rFonts w:cs="Helv"/>
          <w:bCs/>
          <w:color w:val="000000"/>
          <w:szCs w:val="20"/>
          <w:lang w:val="en-US"/>
        </w:rPr>
        <w:t>focused on characteristics and habits of highly effective TMT innovators.</w:t>
      </w:r>
      <w:r w:rsidR="00F27911" w:rsidRPr="00C86C19">
        <w:rPr>
          <w:rFonts w:cs="Helv"/>
          <w:szCs w:val="20"/>
        </w:rPr>
        <w:t xml:space="preserve"> The first report, </w:t>
      </w:r>
      <w:r w:rsidR="00F27911" w:rsidRPr="00C86C19">
        <w:rPr>
          <w:i/>
          <w:szCs w:val="20"/>
        </w:rPr>
        <w:t>Seizing the Innovation Edge</w:t>
      </w:r>
      <w:r w:rsidR="00F27911" w:rsidRPr="00C86C19">
        <w:rPr>
          <w:szCs w:val="20"/>
        </w:rPr>
        <w:t>, identified steps companies could take to develop a coherent innovation strategy, and h0w this focus on innovation generates faster revenue growth.</w:t>
      </w:r>
    </w:p>
    <w:p w:rsidR="00F5146C" w:rsidRPr="00F37E8D" w:rsidRDefault="00F5146C" w:rsidP="00F37E8D">
      <w:pPr>
        <w:tabs>
          <w:tab w:val="left" w:pos="2010"/>
          <w:tab w:val="left" w:pos="5049"/>
        </w:tabs>
        <w:autoSpaceDE w:val="0"/>
        <w:autoSpaceDN w:val="0"/>
        <w:adjustRightInd w:val="0"/>
        <w:spacing w:line="240" w:lineRule="auto"/>
        <w:rPr>
          <w:rFonts w:cs="ITCCharterCom-Black"/>
          <w:szCs w:val="20"/>
        </w:rPr>
      </w:pPr>
    </w:p>
    <w:p w:rsidR="00D81336" w:rsidRPr="00C86C19" w:rsidRDefault="00BB47ED" w:rsidP="00BB6758">
      <w:pPr>
        <w:pStyle w:val="ListParagraph"/>
        <w:numPr>
          <w:ilvl w:val="0"/>
          <w:numId w:val="31"/>
        </w:num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Arial"/>
          <w:i/>
          <w:iCs/>
          <w:color w:val="000000"/>
          <w:sz w:val="18"/>
          <w:szCs w:val="18"/>
        </w:rPr>
      </w:pPr>
      <w:r w:rsidRPr="00C86C19">
        <w:rPr>
          <w:rFonts w:cs="Arial"/>
          <w:i/>
          <w:iCs/>
          <w:color w:val="000000"/>
          <w:sz w:val="18"/>
          <w:szCs w:val="18"/>
        </w:rPr>
        <w:t>PwC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w:t>
      </w:r>
      <w:r w:rsidR="00052E41" w:rsidRPr="00C86C19">
        <w:rPr>
          <w:rFonts w:cs="Arial"/>
          <w:i/>
          <w:iCs/>
          <w:color w:val="000000"/>
          <w:sz w:val="18"/>
          <w:szCs w:val="18"/>
        </w:rPr>
        <w:t xml:space="preserve"> </w:t>
      </w:r>
      <w:r w:rsidRPr="00C86C19">
        <w:rPr>
          <w:rFonts w:cs="Arial"/>
          <w:i/>
          <w:iCs/>
          <w:color w:val="000000"/>
          <w:sz w:val="18"/>
          <w:szCs w:val="18"/>
        </w:rPr>
        <w:t>www.pwc.com.</w:t>
      </w:r>
      <w:r w:rsidR="00C86C19" w:rsidRPr="00C86C19">
        <w:rPr>
          <w:rFonts w:cs="Arial"/>
          <w:i/>
          <w:iCs/>
          <w:color w:val="000000"/>
          <w:sz w:val="18"/>
          <w:szCs w:val="18"/>
        </w:rPr>
        <w:br/>
      </w:r>
      <w:r w:rsidR="00C86C19">
        <w:rPr>
          <w:rFonts w:cs="Arial"/>
          <w:i/>
          <w:iCs/>
          <w:color w:val="000000"/>
          <w:sz w:val="18"/>
          <w:szCs w:val="18"/>
        </w:rPr>
        <w:br/>
      </w:r>
      <w:r w:rsidRPr="00C86C19">
        <w:rPr>
          <w:rFonts w:cs="Arial"/>
          <w:i/>
          <w:iCs/>
          <w:color w:val="000000"/>
          <w:sz w:val="18"/>
          <w:szCs w:val="18"/>
        </w:rPr>
        <w:t>PwC refers to the PwC network and/or one or more of its member firms, each of which is a separate legal entity. Please see www.pwc.com/structure for further details.</w:t>
      </w:r>
    </w:p>
    <w:p w:rsidR="00616758" w:rsidRPr="00C86C19" w:rsidRDefault="00616758" w:rsidP="00BB6758">
      <w:pPr>
        <w:rPr>
          <w:rFonts w:cs="Arial"/>
          <w:iCs/>
          <w:color w:val="000000"/>
          <w:sz w:val="18"/>
          <w:szCs w:val="18"/>
        </w:rPr>
      </w:pPr>
    </w:p>
    <w:p w:rsidR="00616758" w:rsidRPr="00C86C19" w:rsidRDefault="00616758" w:rsidP="00BB6758">
      <w:pPr>
        <w:rPr>
          <w:rFonts w:cs="Arial"/>
          <w:iCs/>
          <w:color w:val="000000"/>
          <w:sz w:val="18"/>
          <w:szCs w:val="18"/>
        </w:rPr>
      </w:pPr>
    </w:p>
    <w:p w:rsidR="00C86C19" w:rsidRPr="00F724F3" w:rsidRDefault="00C86C19" w:rsidP="00C86C19">
      <w:pPr>
        <w:spacing w:line="240" w:lineRule="auto"/>
        <w:rPr>
          <w:szCs w:val="20"/>
        </w:rPr>
      </w:pPr>
      <w:r w:rsidRPr="00F724F3">
        <w:rPr>
          <w:szCs w:val="20"/>
        </w:rPr>
        <w:t>©2014 PwC. All rights reserved</w:t>
      </w:r>
    </w:p>
    <w:p w:rsidR="00616758" w:rsidRPr="00C86C19" w:rsidRDefault="00616758" w:rsidP="007270E8">
      <w:pPr>
        <w:rPr>
          <w:rFonts w:cs="Arial"/>
          <w:bCs/>
          <w:sz w:val="18"/>
          <w:szCs w:val="18"/>
        </w:rPr>
      </w:pPr>
    </w:p>
    <w:sectPr w:rsidR="00616758" w:rsidRPr="00C86C19" w:rsidSect="00D81336">
      <w:headerReference w:type="even" r:id="rId9"/>
      <w:headerReference w:type="default" r:id="rId10"/>
      <w:footerReference w:type="even" r:id="rId11"/>
      <w:footerReference w:type="default" r:id="rId12"/>
      <w:headerReference w:type="first" r:id="rId13"/>
      <w:pgSz w:w="11907" w:h="16839"/>
      <w:pgMar w:top="3137" w:right="850" w:bottom="1417"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80F" w:rsidRDefault="0054780F">
      <w:pPr>
        <w:spacing w:line="240" w:lineRule="auto"/>
      </w:pPr>
      <w:r>
        <w:separator/>
      </w:r>
    </w:p>
  </w:endnote>
  <w:endnote w:type="continuationSeparator" w:id="0">
    <w:p w:rsidR="0054780F" w:rsidRDefault="00547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ITCCharterCom-Blac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E0140E">
    <w:pPr>
      <w:pStyle w:val="Footer"/>
    </w:pPr>
    <w:r>
      <w:fldChar w:fldCharType="begin"/>
    </w:r>
    <w:r w:rsidR="00393683">
      <w:instrText xml:space="preserve"> PAGE  \* MERGEFORMAT </w:instrText>
    </w:r>
    <w:r>
      <w:fldChar w:fldCharType="separate"/>
    </w:r>
    <w:r w:rsidR="007653BD">
      <w:rPr>
        <w:noProof/>
      </w:rPr>
      <w:t>2</w:t>
    </w:r>
    <w:r>
      <w:rPr>
        <w:noProof/>
      </w:rPr>
      <w:fldChar w:fldCharType="end"/>
    </w:r>
    <w:r w:rsidR="00A77FF6">
      <w:t xml:space="preserve"> of </w:t>
    </w:r>
    <w:fldSimple w:instr=" NUMPAGES  \* MERGEFORMAT ">
      <w:r w:rsidR="007653BD">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E0140E">
    <w:pPr>
      <w:pStyle w:val="Footer"/>
    </w:pPr>
    <w:r>
      <w:fldChar w:fldCharType="begin"/>
    </w:r>
    <w:r w:rsidR="00393683">
      <w:instrText xml:space="preserve"> PAGE  \* MERGEFORMAT </w:instrText>
    </w:r>
    <w:r>
      <w:fldChar w:fldCharType="separate"/>
    </w:r>
    <w:r w:rsidR="00AF5687">
      <w:rPr>
        <w:noProof/>
      </w:rPr>
      <w:t>3</w:t>
    </w:r>
    <w:r>
      <w:rPr>
        <w:noProof/>
      </w:rPr>
      <w:fldChar w:fldCharType="end"/>
    </w:r>
    <w:r w:rsidR="00A77FF6">
      <w:t xml:space="preserve"> of </w:t>
    </w:r>
    <w:fldSimple w:instr=" NUMPAGES  \* MERGEFORMAT ">
      <w:r w:rsidR="00AF5687">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80F" w:rsidRDefault="0054780F">
      <w:pPr>
        <w:spacing w:line="240" w:lineRule="auto"/>
      </w:pPr>
      <w:r>
        <w:separator/>
      </w:r>
    </w:p>
  </w:footnote>
  <w:footnote w:type="continuationSeparator" w:id="0">
    <w:p w:rsidR="0054780F" w:rsidRDefault="005478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D81336" w:rsidRDefault="00D81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D81336" w:rsidRDefault="00D81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B10F114"/>
    <w:lvl w:ilvl="0">
      <w:numFmt w:val="bullet"/>
      <w:lvlText w:val="*"/>
      <w:lvlJc w:val="left"/>
    </w:lvl>
  </w:abstractNum>
  <w:abstractNum w:abstractNumId="11">
    <w:nsid w:val="0D0C3D9F"/>
    <w:multiLevelType w:val="hybridMultilevel"/>
    <w:tmpl w:val="64C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3167E6"/>
    <w:multiLevelType w:val="hybridMultilevel"/>
    <w:tmpl w:val="683A0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5">
    <w:nsid w:val="1FCE483B"/>
    <w:multiLevelType w:val="hybridMultilevel"/>
    <w:tmpl w:val="8C9E00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E92F87"/>
    <w:multiLevelType w:val="hybridMultilevel"/>
    <w:tmpl w:val="28C47278"/>
    <w:lvl w:ilvl="0" w:tplc="45289F02">
      <w:start w:val="1"/>
      <w:numFmt w:val="decimal"/>
      <w:lvlText w:val="%1."/>
      <w:lvlJc w:val="left"/>
      <w:pPr>
        <w:ind w:left="720" w:hanging="360"/>
      </w:pPr>
    </w:lvl>
    <w:lvl w:ilvl="1" w:tplc="0809000F">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05A005B"/>
    <w:multiLevelType w:val="hybridMultilevel"/>
    <w:tmpl w:val="B9488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0DF71B8"/>
    <w:multiLevelType w:val="hybridMultilevel"/>
    <w:tmpl w:val="F492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101227"/>
    <w:multiLevelType w:val="hybridMultilevel"/>
    <w:tmpl w:val="03D0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3D4C"/>
    <w:multiLevelType w:val="hybridMultilevel"/>
    <w:tmpl w:val="BEAA203E"/>
    <w:lvl w:ilvl="0" w:tplc="5EB495E0">
      <w:start w:val="1"/>
      <w:numFmt w:val="decimal"/>
      <w:lvlText w:val="%1."/>
      <w:lvlJc w:val="left"/>
      <w:pPr>
        <w:ind w:left="360" w:hanging="360"/>
      </w:pPr>
      <w:rPr>
        <w:rFonts w:ascii="Cambria" w:hAnsi="Cambria" w:hint="default"/>
        <w:sz w:val="20"/>
        <w:szCs w:val="20"/>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49063FD"/>
    <w:multiLevelType w:val="hybridMultilevel"/>
    <w:tmpl w:val="A132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122278"/>
    <w:multiLevelType w:val="hybridMultilevel"/>
    <w:tmpl w:val="F706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4">
    <w:nsid w:val="66EA5E03"/>
    <w:multiLevelType w:val="hybridMultilevel"/>
    <w:tmpl w:val="BD5C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4142AE"/>
    <w:multiLevelType w:val="hybridMultilevel"/>
    <w:tmpl w:val="8818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EC4ACE"/>
    <w:multiLevelType w:val="hybridMultilevel"/>
    <w:tmpl w:val="22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523C64"/>
    <w:multiLevelType w:val="hybridMultilevel"/>
    <w:tmpl w:val="FB467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CB0114"/>
    <w:multiLevelType w:val="hybridMultilevel"/>
    <w:tmpl w:val="2C924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nsid w:val="781B763F"/>
    <w:multiLevelType w:val="hybridMultilevel"/>
    <w:tmpl w:val="6754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282FA1"/>
    <w:multiLevelType w:val="hybridMultilevel"/>
    <w:tmpl w:val="F09E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3"/>
  </w:num>
  <w:num w:numId="14">
    <w:abstractNumId w:val="13"/>
  </w:num>
  <w:num w:numId="15">
    <w:abstractNumId w:val="26"/>
  </w:num>
  <w:num w:numId="16">
    <w:abstractNumId w:val="22"/>
  </w:num>
  <w:num w:numId="17">
    <w:abstractNumId w:val="15"/>
  </w:num>
  <w:num w:numId="18">
    <w:abstractNumId w:val="27"/>
  </w:num>
  <w:num w:numId="19">
    <w:abstractNumId w:val="24"/>
  </w:num>
  <w:num w:numId="20">
    <w:abstractNumId w:val="20"/>
  </w:num>
  <w:num w:numId="21">
    <w:abstractNumId w:val="16"/>
  </w:num>
  <w:num w:numId="22">
    <w:abstractNumId w:val="18"/>
  </w:num>
  <w:num w:numId="23">
    <w:abstractNumId w:val="28"/>
  </w:num>
  <w:num w:numId="24">
    <w:abstractNumId w:val="10"/>
    <w:lvlOverride w:ilvl="0">
      <w:lvl w:ilvl="0">
        <w:numFmt w:val="bullet"/>
        <w:lvlText w:val=""/>
        <w:legacy w:legacy="1" w:legacySpace="0" w:legacyIndent="0"/>
        <w:lvlJc w:val="left"/>
        <w:rPr>
          <w:rFonts w:ascii="Symbol" w:hAnsi="Symbol" w:hint="default"/>
          <w:sz w:val="22"/>
        </w:rPr>
      </w:lvl>
    </w:lvlOverride>
  </w:num>
  <w:num w:numId="25">
    <w:abstractNumId w:val="30"/>
  </w:num>
  <w:num w:numId="26">
    <w:abstractNumId w:val="21"/>
  </w:num>
  <w:num w:numId="27">
    <w:abstractNumId w:val="12"/>
  </w:num>
  <w:num w:numId="28">
    <w:abstractNumId w:val="25"/>
  </w:num>
  <w:num w:numId="29">
    <w:abstractNumId w:val="31"/>
  </w:num>
  <w:num w:numId="30">
    <w:abstractNumId w:val="17"/>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36"/>
    <w:rsid w:val="00006AE5"/>
    <w:rsid w:val="0001193B"/>
    <w:rsid w:val="00011D3B"/>
    <w:rsid w:val="00017ED5"/>
    <w:rsid w:val="00021346"/>
    <w:rsid w:val="00024FE0"/>
    <w:rsid w:val="0002648E"/>
    <w:rsid w:val="00041031"/>
    <w:rsid w:val="0004136B"/>
    <w:rsid w:val="00044346"/>
    <w:rsid w:val="00046B4E"/>
    <w:rsid w:val="00052E2C"/>
    <w:rsid w:val="00052E41"/>
    <w:rsid w:val="0005778C"/>
    <w:rsid w:val="000610EB"/>
    <w:rsid w:val="000651D9"/>
    <w:rsid w:val="0007225E"/>
    <w:rsid w:val="00073F6A"/>
    <w:rsid w:val="00083687"/>
    <w:rsid w:val="000C091B"/>
    <w:rsid w:val="000D68B8"/>
    <w:rsid w:val="000E26AB"/>
    <w:rsid w:val="000E33CD"/>
    <w:rsid w:val="000E4BCB"/>
    <w:rsid w:val="000E51D2"/>
    <w:rsid w:val="000F529D"/>
    <w:rsid w:val="001027EA"/>
    <w:rsid w:val="00103223"/>
    <w:rsid w:val="00104713"/>
    <w:rsid w:val="00127BEF"/>
    <w:rsid w:val="00135784"/>
    <w:rsid w:val="00135CC6"/>
    <w:rsid w:val="00136F21"/>
    <w:rsid w:val="0014604F"/>
    <w:rsid w:val="0015067D"/>
    <w:rsid w:val="00152644"/>
    <w:rsid w:val="00156A70"/>
    <w:rsid w:val="00160C0A"/>
    <w:rsid w:val="001752F9"/>
    <w:rsid w:val="001805A6"/>
    <w:rsid w:val="00194555"/>
    <w:rsid w:val="001A166B"/>
    <w:rsid w:val="001A6BCA"/>
    <w:rsid w:val="001B0FDB"/>
    <w:rsid w:val="001B4B11"/>
    <w:rsid w:val="001B5934"/>
    <w:rsid w:val="001C3307"/>
    <w:rsid w:val="001E6BE9"/>
    <w:rsid w:val="001E7D34"/>
    <w:rsid w:val="001F1955"/>
    <w:rsid w:val="001F3C00"/>
    <w:rsid w:val="00204F9E"/>
    <w:rsid w:val="00207B40"/>
    <w:rsid w:val="00221B2F"/>
    <w:rsid w:val="002265FB"/>
    <w:rsid w:val="0023011B"/>
    <w:rsid w:val="002304B7"/>
    <w:rsid w:val="00230F6C"/>
    <w:rsid w:val="00234BFB"/>
    <w:rsid w:val="00236BB8"/>
    <w:rsid w:val="00242BFE"/>
    <w:rsid w:val="00251125"/>
    <w:rsid w:val="00255C91"/>
    <w:rsid w:val="00270672"/>
    <w:rsid w:val="00280364"/>
    <w:rsid w:val="00290936"/>
    <w:rsid w:val="002D0A99"/>
    <w:rsid w:val="002D542C"/>
    <w:rsid w:val="002D6E1A"/>
    <w:rsid w:val="002E55E0"/>
    <w:rsid w:val="00301333"/>
    <w:rsid w:val="003017F6"/>
    <w:rsid w:val="00321D79"/>
    <w:rsid w:val="003331CF"/>
    <w:rsid w:val="00337793"/>
    <w:rsid w:val="00356366"/>
    <w:rsid w:val="0036109F"/>
    <w:rsid w:val="00362E6A"/>
    <w:rsid w:val="00370039"/>
    <w:rsid w:val="00373606"/>
    <w:rsid w:val="003747DE"/>
    <w:rsid w:val="00390080"/>
    <w:rsid w:val="00393683"/>
    <w:rsid w:val="003C0B29"/>
    <w:rsid w:val="003C62E9"/>
    <w:rsid w:val="003C723B"/>
    <w:rsid w:val="003D6A4B"/>
    <w:rsid w:val="003E1A4A"/>
    <w:rsid w:val="003E3A1F"/>
    <w:rsid w:val="003E3DE3"/>
    <w:rsid w:val="003E7169"/>
    <w:rsid w:val="003E78E5"/>
    <w:rsid w:val="003F21FD"/>
    <w:rsid w:val="00403015"/>
    <w:rsid w:val="0042478E"/>
    <w:rsid w:val="00425C8B"/>
    <w:rsid w:val="00437EBF"/>
    <w:rsid w:val="0044270F"/>
    <w:rsid w:val="00443378"/>
    <w:rsid w:val="00453464"/>
    <w:rsid w:val="00453AB1"/>
    <w:rsid w:val="0046248A"/>
    <w:rsid w:val="00464D97"/>
    <w:rsid w:val="0048163B"/>
    <w:rsid w:val="004A2FD3"/>
    <w:rsid w:val="004A4CF4"/>
    <w:rsid w:val="004B06DF"/>
    <w:rsid w:val="004B3276"/>
    <w:rsid w:val="004B740C"/>
    <w:rsid w:val="004C70EC"/>
    <w:rsid w:val="004D4208"/>
    <w:rsid w:val="004D5CE4"/>
    <w:rsid w:val="004F5679"/>
    <w:rsid w:val="004F6910"/>
    <w:rsid w:val="00503C92"/>
    <w:rsid w:val="00512820"/>
    <w:rsid w:val="0054780F"/>
    <w:rsid w:val="00550EC7"/>
    <w:rsid w:val="00567599"/>
    <w:rsid w:val="00577FB3"/>
    <w:rsid w:val="005A05B8"/>
    <w:rsid w:val="005B2207"/>
    <w:rsid w:val="005D365B"/>
    <w:rsid w:val="005D6FF0"/>
    <w:rsid w:val="00614A1D"/>
    <w:rsid w:val="00616758"/>
    <w:rsid w:val="0062072C"/>
    <w:rsid w:val="00622A9D"/>
    <w:rsid w:val="00633631"/>
    <w:rsid w:val="0065777E"/>
    <w:rsid w:val="00671D62"/>
    <w:rsid w:val="00672373"/>
    <w:rsid w:val="00680895"/>
    <w:rsid w:val="00687ACF"/>
    <w:rsid w:val="00693471"/>
    <w:rsid w:val="006A0DB1"/>
    <w:rsid w:val="006B12A3"/>
    <w:rsid w:val="006C72BE"/>
    <w:rsid w:val="006C7AC4"/>
    <w:rsid w:val="006E181F"/>
    <w:rsid w:val="006E1F0F"/>
    <w:rsid w:val="00702378"/>
    <w:rsid w:val="00711B16"/>
    <w:rsid w:val="00717145"/>
    <w:rsid w:val="00724D5C"/>
    <w:rsid w:val="007270E8"/>
    <w:rsid w:val="007329F1"/>
    <w:rsid w:val="00737A54"/>
    <w:rsid w:val="0074049A"/>
    <w:rsid w:val="0075590D"/>
    <w:rsid w:val="007653BD"/>
    <w:rsid w:val="0077103E"/>
    <w:rsid w:val="00780E52"/>
    <w:rsid w:val="007963E2"/>
    <w:rsid w:val="007A485E"/>
    <w:rsid w:val="007A77F3"/>
    <w:rsid w:val="007B041F"/>
    <w:rsid w:val="007B0511"/>
    <w:rsid w:val="007B69E1"/>
    <w:rsid w:val="007C43B5"/>
    <w:rsid w:val="007E0027"/>
    <w:rsid w:val="007E4726"/>
    <w:rsid w:val="007F7C6A"/>
    <w:rsid w:val="00814070"/>
    <w:rsid w:val="00820FC7"/>
    <w:rsid w:val="00826DF8"/>
    <w:rsid w:val="0083373C"/>
    <w:rsid w:val="00834DE3"/>
    <w:rsid w:val="00842EDD"/>
    <w:rsid w:val="00844CD6"/>
    <w:rsid w:val="00862E83"/>
    <w:rsid w:val="0086545B"/>
    <w:rsid w:val="00883C95"/>
    <w:rsid w:val="00890345"/>
    <w:rsid w:val="008954FC"/>
    <w:rsid w:val="008B4F10"/>
    <w:rsid w:val="008B6A67"/>
    <w:rsid w:val="008C4A7C"/>
    <w:rsid w:val="008C6A29"/>
    <w:rsid w:val="008C6EDA"/>
    <w:rsid w:val="008D3565"/>
    <w:rsid w:val="008E67AC"/>
    <w:rsid w:val="008F39D9"/>
    <w:rsid w:val="0092384B"/>
    <w:rsid w:val="009238D1"/>
    <w:rsid w:val="00923D6B"/>
    <w:rsid w:val="00933C92"/>
    <w:rsid w:val="00953237"/>
    <w:rsid w:val="00970878"/>
    <w:rsid w:val="00971626"/>
    <w:rsid w:val="00993039"/>
    <w:rsid w:val="00996943"/>
    <w:rsid w:val="00996A98"/>
    <w:rsid w:val="009A2ED6"/>
    <w:rsid w:val="009A690A"/>
    <w:rsid w:val="009A764D"/>
    <w:rsid w:val="009C6C6F"/>
    <w:rsid w:val="009D17CC"/>
    <w:rsid w:val="009D7AB6"/>
    <w:rsid w:val="009F01CA"/>
    <w:rsid w:val="009F20C9"/>
    <w:rsid w:val="00A10215"/>
    <w:rsid w:val="00A20CBA"/>
    <w:rsid w:val="00A252FA"/>
    <w:rsid w:val="00A4193A"/>
    <w:rsid w:val="00A50A3B"/>
    <w:rsid w:val="00A51DA6"/>
    <w:rsid w:val="00A5260A"/>
    <w:rsid w:val="00A53B34"/>
    <w:rsid w:val="00A55A9F"/>
    <w:rsid w:val="00A71808"/>
    <w:rsid w:val="00A7239C"/>
    <w:rsid w:val="00A72F15"/>
    <w:rsid w:val="00A77FF6"/>
    <w:rsid w:val="00AA7504"/>
    <w:rsid w:val="00AB1A5B"/>
    <w:rsid w:val="00AB795C"/>
    <w:rsid w:val="00AB7D21"/>
    <w:rsid w:val="00AE0B7C"/>
    <w:rsid w:val="00AE4CE9"/>
    <w:rsid w:val="00AF5687"/>
    <w:rsid w:val="00AF6C13"/>
    <w:rsid w:val="00B02492"/>
    <w:rsid w:val="00B12B9E"/>
    <w:rsid w:val="00B16945"/>
    <w:rsid w:val="00B215E9"/>
    <w:rsid w:val="00B26E60"/>
    <w:rsid w:val="00B274DB"/>
    <w:rsid w:val="00B473E2"/>
    <w:rsid w:val="00B50264"/>
    <w:rsid w:val="00B7774F"/>
    <w:rsid w:val="00B93E97"/>
    <w:rsid w:val="00BB47ED"/>
    <w:rsid w:val="00BB6758"/>
    <w:rsid w:val="00BC069C"/>
    <w:rsid w:val="00BC7FAB"/>
    <w:rsid w:val="00BD07A4"/>
    <w:rsid w:val="00BD6496"/>
    <w:rsid w:val="00BE2F72"/>
    <w:rsid w:val="00C00F38"/>
    <w:rsid w:val="00C024AD"/>
    <w:rsid w:val="00C0274A"/>
    <w:rsid w:val="00C056AB"/>
    <w:rsid w:val="00C075C6"/>
    <w:rsid w:val="00C25269"/>
    <w:rsid w:val="00C271C3"/>
    <w:rsid w:val="00C3685C"/>
    <w:rsid w:val="00C64510"/>
    <w:rsid w:val="00C70A5E"/>
    <w:rsid w:val="00C721FC"/>
    <w:rsid w:val="00C7234F"/>
    <w:rsid w:val="00C76165"/>
    <w:rsid w:val="00C84CBC"/>
    <w:rsid w:val="00C86C19"/>
    <w:rsid w:val="00C94E81"/>
    <w:rsid w:val="00CB2D0E"/>
    <w:rsid w:val="00CC12CF"/>
    <w:rsid w:val="00CE123D"/>
    <w:rsid w:val="00CE5EB5"/>
    <w:rsid w:val="00D14E72"/>
    <w:rsid w:val="00D1599F"/>
    <w:rsid w:val="00D207B0"/>
    <w:rsid w:val="00D23C5B"/>
    <w:rsid w:val="00D370F5"/>
    <w:rsid w:val="00D47125"/>
    <w:rsid w:val="00D64774"/>
    <w:rsid w:val="00D6710C"/>
    <w:rsid w:val="00D67F94"/>
    <w:rsid w:val="00D70544"/>
    <w:rsid w:val="00D73503"/>
    <w:rsid w:val="00D73871"/>
    <w:rsid w:val="00D74C26"/>
    <w:rsid w:val="00D754A8"/>
    <w:rsid w:val="00D75651"/>
    <w:rsid w:val="00D802A3"/>
    <w:rsid w:val="00D81336"/>
    <w:rsid w:val="00D95099"/>
    <w:rsid w:val="00DA612B"/>
    <w:rsid w:val="00DB4006"/>
    <w:rsid w:val="00DE67CF"/>
    <w:rsid w:val="00DE6B0F"/>
    <w:rsid w:val="00DF77D0"/>
    <w:rsid w:val="00E0140E"/>
    <w:rsid w:val="00E01B58"/>
    <w:rsid w:val="00E11F82"/>
    <w:rsid w:val="00E12F3D"/>
    <w:rsid w:val="00E24742"/>
    <w:rsid w:val="00E27959"/>
    <w:rsid w:val="00E454B4"/>
    <w:rsid w:val="00E52F69"/>
    <w:rsid w:val="00E62574"/>
    <w:rsid w:val="00E674AC"/>
    <w:rsid w:val="00EA0CD8"/>
    <w:rsid w:val="00EB5502"/>
    <w:rsid w:val="00EC00DB"/>
    <w:rsid w:val="00EC30C1"/>
    <w:rsid w:val="00EC4195"/>
    <w:rsid w:val="00EC71C6"/>
    <w:rsid w:val="00EC7646"/>
    <w:rsid w:val="00ED1AC6"/>
    <w:rsid w:val="00ED4301"/>
    <w:rsid w:val="00ED48F7"/>
    <w:rsid w:val="00ED6EC2"/>
    <w:rsid w:val="00EE1E32"/>
    <w:rsid w:val="00EF0BDB"/>
    <w:rsid w:val="00F00122"/>
    <w:rsid w:val="00F17ADF"/>
    <w:rsid w:val="00F22648"/>
    <w:rsid w:val="00F27911"/>
    <w:rsid w:val="00F27BA5"/>
    <w:rsid w:val="00F3168E"/>
    <w:rsid w:val="00F36BB7"/>
    <w:rsid w:val="00F36BD4"/>
    <w:rsid w:val="00F37E8D"/>
    <w:rsid w:val="00F43366"/>
    <w:rsid w:val="00F43990"/>
    <w:rsid w:val="00F501F7"/>
    <w:rsid w:val="00F5146C"/>
    <w:rsid w:val="00F520C0"/>
    <w:rsid w:val="00F54525"/>
    <w:rsid w:val="00F63E3D"/>
    <w:rsid w:val="00F65C7E"/>
    <w:rsid w:val="00F76B1C"/>
    <w:rsid w:val="00F76F4D"/>
    <w:rsid w:val="00F90CE6"/>
    <w:rsid w:val="00F92E8A"/>
    <w:rsid w:val="00FB3CE6"/>
    <w:rsid w:val="00FB788A"/>
    <w:rsid w:val="00FC338F"/>
    <w:rsid w:val="00FD6344"/>
    <w:rsid w:val="00FE2520"/>
    <w:rsid w:val="00FF413D"/>
    <w:rsid w:val="00FF4B04"/>
    <w:rsid w:val="00F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Cs w:val="22"/>
      <w:lang w:val="en-GB"/>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u w:val="single"/>
    </w:rPr>
  </w:style>
  <w:style w:type="paragraph" w:styleId="NormalWeb">
    <w:name w:val="Normal (Web)"/>
    <w:basedOn w:val="Normal"/>
    <w:rsid w:val="00D81336"/>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paragraph" w:styleId="FootnoteText">
    <w:name w:val="footnote text"/>
    <w:basedOn w:val="Normal"/>
    <w:link w:val="FootnoteTextChar"/>
    <w:uiPriority w:val="99"/>
    <w:semiHidden/>
    <w:unhideWhenUsed/>
    <w:rsid w:val="0042478E"/>
    <w:pPr>
      <w:spacing w:line="240" w:lineRule="auto"/>
    </w:pPr>
    <w:rPr>
      <w:szCs w:val="20"/>
    </w:rPr>
  </w:style>
  <w:style w:type="character" w:customStyle="1" w:styleId="FootnoteTextChar">
    <w:name w:val="Footnote Text Char"/>
    <w:basedOn w:val="DefaultParagraphFont"/>
    <w:link w:val="FootnoteText"/>
    <w:uiPriority w:val="99"/>
    <w:semiHidden/>
    <w:rsid w:val="0042478E"/>
    <w:rPr>
      <w:rFonts w:ascii="Georgia" w:eastAsia="Calibri" w:hAnsi="Georgia" w:cs="Times New Roman"/>
      <w:sz w:val="20"/>
      <w:szCs w:val="20"/>
      <w:lang w:val="en-GB" w:eastAsia="en-US"/>
    </w:rPr>
  </w:style>
  <w:style w:type="character" w:styleId="FootnoteReference">
    <w:name w:val="footnote reference"/>
    <w:basedOn w:val="DefaultParagraphFont"/>
    <w:uiPriority w:val="99"/>
    <w:semiHidden/>
    <w:unhideWhenUsed/>
    <w:rsid w:val="0042478E"/>
    <w:rPr>
      <w:vertAlign w:val="superscript"/>
    </w:rPr>
  </w:style>
  <w:style w:type="paragraph" w:styleId="NoSpacing">
    <w:name w:val="No Spacing"/>
    <w:uiPriority w:val="1"/>
    <w:qFormat/>
    <w:rsid w:val="00EC30C1"/>
    <w:rPr>
      <w:rFonts w:ascii="Georgia" w:hAnsi="Georgia"/>
      <w:szCs w:val="22"/>
      <w:lang w:val="en-GB"/>
    </w:rPr>
  </w:style>
  <w:style w:type="character" w:styleId="CommentReference">
    <w:name w:val="annotation reference"/>
    <w:basedOn w:val="DefaultParagraphFont"/>
    <w:uiPriority w:val="99"/>
    <w:semiHidden/>
    <w:unhideWhenUsed/>
    <w:rsid w:val="007B69E1"/>
    <w:rPr>
      <w:sz w:val="16"/>
      <w:szCs w:val="16"/>
    </w:rPr>
  </w:style>
  <w:style w:type="paragraph" w:styleId="CommentText">
    <w:name w:val="annotation text"/>
    <w:basedOn w:val="Normal"/>
    <w:link w:val="CommentTextChar"/>
    <w:uiPriority w:val="99"/>
    <w:semiHidden/>
    <w:unhideWhenUsed/>
    <w:rsid w:val="007B69E1"/>
    <w:pPr>
      <w:spacing w:line="240" w:lineRule="auto"/>
    </w:pPr>
    <w:rPr>
      <w:szCs w:val="20"/>
    </w:rPr>
  </w:style>
  <w:style w:type="character" w:customStyle="1" w:styleId="CommentTextChar">
    <w:name w:val="Comment Text Char"/>
    <w:basedOn w:val="DefaultParagraphFont"/>
    <w:link w:val="CommentText"/>
    <w:uiPriority w:val="99"/>
    <w:semiHidden/>
    <w:rsid w:val="007B69E1"/>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7B69E1"/>
    <w:rPr>
      <w:b/>
      <w:bCs/>
    </w:rPr>
  </w:style>
  <w:style w:type="character" w:customStyle="1" w:styleId="CommentSubjectChar">
    <w:name w:val="Comment Subject Char"/>
    <w:basedOn w:val="CommentTextChar"/>
    <w:link w:val="CommentSubject"/>
    <w:uiPriority w:val="99"/>
    <w:semiHidden/>
    <w:rsid w:val="007B69E1"/>
    <w:rPr>
      <w:rFonts w:ascii="Georgia" w:hAnsi="Georgia"/>
      <w:b/>
      <w:bCs/>
      <w:sz w:val="20"/>
      <w:szCs w:val="20"/>
      <w:lang w:val="en-GB" w:eastAsia="en-US"/>
    </w:rPr>
  </w:style>
  <w:style w:type="character" w:styleId="FollowedHyperlink">
    <w:name w:val="FollowedHyperlink"/>
    <w:basedOn w:val="DefaultParagraphFont"/>
    <w:uiPriority w:val="99"/>
    <w:semiHidden/>
    <w:unhideWhenUsed/>
    <w:rsid w:val="00614A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Cs w:val="22"/>
      <w:lang w:val="en-GB"/>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u w:val="single"/>
    </w:rPr>
  </w:style>
  <w:style w:type="paragraph" w:styleId="NormalWeb">
    <w:name w:val="Normal (Web)"/>
    <w:basedOn w:val="Normal"/>
    <w:rsid w:val="00D81336"/>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paragraph" w:styleId="FootnoteText">
    <w:name w:val="footnote text"/>
    <w:basedOn w:val="Normal"/>
    <w:link w:val="FootnoteTextChar"/>
    <w:uiPriority w:val="99"/>
    <w:semiHidden/>
    <w:unhideWhenUsed/>
    <w:rsid w:val="0042478E"/>
    <w:pPr>
      <w:spacing w:line="240" w:lineRule="auto"/>
    </w:pPr>
    <w:rPr>
      <w:szCs w:val="20"/>
    </w:rPr>
  </w:style>
  <w:style w:type="character" w:customStyle="1" w:styleId="FootnoteTextChar">
    <w:name w:val="Footnote Text Char"/>
    <w:basedOn w:val="DefaultParagraphFont"/>
    <w:link w:val="FootnoteText"/>
    <w:uiPriority w:val="99"/>
    <w:semiHidden/>
    <w:rsid w:val="0042478E"/>
    <w:rPr>
      <w:rFonts w:ascii="Georgia" w:eastAsia="Calibri" w:hAnsi="Georgia" w:cs="Times New Roman"/>
      <w:sz w:val="20"/>
      <w:szCs w:val="20"/>
      <w:lang w:val="en-GB" w:eastAsia="en-US"/>
    </w:rPr>
  </w:style>
  <w:style w:type="character" w:styleId="FootnoteReference">
    <w:name w:val="footnote reference"/>
    <w:basedOn w:val="DefaultParagraphFont"/>
    <w:uiPriority w:val="99"/>
    <w:semiHidden/>
    <w:unhideWhenUsed/>
    <w:rsid w:val="0042478E"/>
    <w:rPr>
      <w:vertAlign w:val="superscript"/>
    </w:rPr>
  </w:style>
  <w:style w:type="paragraph" w:styleId="NoSpacing">
    <w:name w:val="No Spacing"/>
    <w:uiPriority w:val="1"/>
    <w:qFormat/>
    <w:rsid w:val="00EC30C1"/>
    <w:rPr>
      <w:rFonts w:ascii="Georgia" w:hAnsi="Georgia"/>
      <w:szCs w:val="22"/>
      <w:lang w:val="en-GB"/>
    </w:rPr>
  </w:style>
  <w:style w:type="character" w:styleId="CommentReference">
    <w:name w:val="annotation reference"/>
    <w:basedOn w:val="DefaultParagraphFont"/>
    <w:uiPriority w:val="99"/>
    <w:semiHidden/>
    <w:unhideWhenUsed/>
    <w:rsid w:val="007B69E1"/>
    <w:rPr>
      <w:sz w:val="16"/>
      <w:szCs w:val="16"/>
    </w:rPr>
  </w:style>
  <w:style w:type="paragraph" w:styleId="CommentText">
    <w:name w:val="annotation text"/>
    <w:basedOn w:val="Normal"/>
    <w:link w:val="CommentTextChar"/>
    <w:uiPriority w:val="99"/>
    <w:semiHidden/>
    <w:unhideWhenUsed/>
    <w:rsid w:val="007B69E1"/>
    <w:pPr>
      <w:spacing w:line="240" w:lineRule="auto"/>
    </w:pPr>
    <w:rPr>
      <w:szCs w:val="20"/>
    </w:rPr>
  </w:style>
  <w:style w:type="character" w:customStyle="1" w:styleId="CommentTextChar">
    <w:name w:val="Comment Text Char"/>
    <w:basedOn w:val="DefaultParagraphFont"/>
    <w:link w:val="CommentText"/>
    <w:uiPriority w:val="99"/>
    <w:semiHidden/>
    <w:rsid w:val="007B69E1"/>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7B69E1"/>
    <w:rPr>
      <w:b/>
      <w:bCs/>
    </w:rPr>
  </w:style>
  <w:style w:type="character" w:customStyle="1" w:styleId="CommentSubjectChar">
    <w:name w:val="Comment Subject Char"/>
    <w:basedOn w:val="CommentTextChar"/>
    <w:link w:val="CommentSubject"/>
    <w:uiPriority w:val="99"/>
    <w:semiHidden/>
    <w:rsid w:val="007B69E1"/>
    <w:rPr>
      <w:rFonts w:ascii="Georgia" w:hAnsi="Georgia"/>
      <w:b/>
      <w:bCs/>
      <w:sz w:val="20"/>
      <w:szCs w:val="20"/>
      <w:lang w:val="en-GB" w:eastAsia="en-US"/>
    </w:rPr>
  </w:style>
  <w:style w:type="character" w:styleId="FollowedHyperlink">
    <w:name w:val="FollowedHyperlink"/>
    <w:basedOn w:val="DefaultParagraphFont"/>
    <w:uiPriority w:val="99"/>
    <w:semiHidden/>
    <w:unhideWhenUsed/>
    <w:rsid w:val="00614A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C2FDA-EEA8-4846-AF25-B9A733B9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PwC</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alayna.francis@us.pwc.com</dc:creator>
  <cp:keywords>TMT, Innovation, Innovators, Technology, Entertainment &amp; Media, Telecommunications</cp:keywords>
  <cp:lastModifiedBy>Shelly Ko Van Pelt</cp:lastModifiedBy>
  <cp:revision>2</cp:revision>
  <cp:lastPrinted>2012-10-30T14:35:00Z</cp:lastPrinted>
  <dcterms:created xsi:type="dcterms:W3CDTF">2014-04-22T18:58:00Z</dcterms:created>
  <dcterms:modified xsi:type="dcterms:W3CDTF">2014-04-22T18:58:00Z</dcterms:modified>
</cp:coreProperties>
</file>