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93" w:rsidRDefault="003C2E93">
      <w:pPr>
        <w:pStyle w:val="Title"/>
        <w:rPr>
          <w:rFonts w:ascii="Georgia" w:hAnsi="Georgia"/>
        </w:rPr>
      </w:pPr>
    </w:p>
    <w:p w:rsidR="006A5C94" w:rsidRPr="000F2424" w:rsidRDefault="00DF1CB4">
      <w:pPr>
        <w:pStyle w:val="Title"/>
        <w:rPr>
          <w:rFonts w:ascii="Georgia" w:hAnsi="Georgia"/>
          <w:sz w:val="22"/>
          <w:szCs w:val="22"/>
        </w:rPr>
      </w:pPr>
      <w:r w:rsidRPr="000F2424">
        <w:rPr>
          <w:rFonts w:ascii="Georgia" w:hAnsi="Georgia"/>
          <w:sz w:val="22"/>
          <w:szCs w:val="22"/>
        </w:rPr>
        <w:t>Press Release</w:t>
      </w:r>
    </w:p>
    <w:tbl>
      <w:tblPr>
        <w:tblpPr w:leftFromText="180" w:rightFromText="180" w:vertAnchor="text" w:tblpY="1"/>
        <w:tblOverlap w:val="never"/>
        <w:tblW w:w="0" w:type="auto"/>
        <w:tblLayout w:type="fixed"/>
        <w:tblLook w:val="0000"/>
      </w:tblPr>
      <w:tblGrid>
        <w:gridCol w:w="2268"/>
        <w:gridCol w:w="6390"/>
      </w:tblGrid>
      <w:tr w:rsidR="006A5C94" w:rsidRPr="000F2424" w:rsidTr="00F560FB">
        <w:tc>
          <w:tcPr>
            <w:tcW w:w="2268" w:type="dxa"/>
          </w:tcPr>
          <w:p w:rsidR="006A5C94" w:rsidRPr="000F2424" w:rsidRDefault="00DF1CB4">
            <w:pPr>
              <w:rPr>
                <w:i/>
                <w:sz w:val="22"/>
              </w:rPr>
            </w:pPr>
            <w:r w:rsidRPr="000F2424">
              <w:rPr>
                <w:i/>
                <w:sz w:val="22"/>
              </w:rPr>
              <w:t>Date</w:t>
            </w:r>
          </w:p>
        </w:tc>
        <w:tc>
          <w:tcPr>
            <w:tcW w:w="6390" w:type="dxa"/>
          </w:tcPr>
          <w:p w:rsidR="003C2E93" w:rsidRPr="000F2424" w:rsidRDefault="000F2424" w:rsidP="004E2138">
            <w:pPr>
              <w:rPr>
                <w:b/>
                <w:sz w:val="22"/>
              </w:rPr>
            </w:pPr>
            <w:r>
              <w:rPr>
                <w:rFonts w:cs="Helv"/>
                <w:b/>
                <w:color w:val="000000"/>
                <w:sz w:val="22"/>
                <w:lang w:eastAsia="en-GB"/>
              </w:rPr>
              <w:t>EMBARGO: 03:00 London time,</w:t>
            </w:r>
            <w:r w:rsidR="004E2138" w:rsidRPr="000F2424">
              <w:rPr>
                <w:rFonts w:cs="Helv"/>
                <w:b/>
                <w:color w:val="000000"/>
                <w:sz w:val="22"/>
                <w:lang w:eastAsia="en-GB"/>
              </w:rPr>
              <w:t xml:space="preserve"> Tuesday, 8</w:t>
            </w:r>
            <w:r w:rsidR="004E2138" w:rsidRPr="000F2424">
              <w:rPr>
                <w:rFonts w:cs="Helv"/>
                <w:b/>
                <w:color w:val="000000"/>
                <w:sz w:val="22"/>
                <w:vertAlign w:val="superscript"/>
                <w:lang w:eastAsia="en-GB"/>
              </w:rPr>
              <w:t>th</w:t>
            </w:r>
            <w:r w:rsidR="004E2138" w:rsidRPr="000F2424">
              <w:rPr>
                <w:rFonts w:cs="Helv"/>
                <w:b/>
                <w:color w:val="000000"/>
                <w:sz w:val="22"/>
                <w:lang w:eastAsia="en-GB"/>
              </w:rPr>
              <w:t xml:space="preserve"> April 2014</w:t>
            </w:r>
          </w:p>
        </w:tc>
      </w:tr>
      <w:tr w:rsidR="006A5C94" w:rsidRPr="00014652" w:rsidTr="00F560FB">
        <w:tc>
          <w:tcPr>
            <w:tcW w:w="2268" w:type="dxa"/>
          </w:tcPr>
          <w:p w:rsidR="004E2138" w:rsidRPr="000F2424" w:rsidRDefault="004E2138">
            <w:pPr>
              <w:rPr>
                <w:i/>
                <w:sz w:val="22"/>
              </w:rPr>
            </w:pPr>
          </w:p>
          <w:p w:rsidR="006A5C94" w:rsidRPr="000F2424" w:rsidRDefault="00DF1CB4">
            <w:pPr>
              <w:rPr>
                <w:i/>
                <w:sz w:val="22"/>
              </w:rPr>
            </w:pPr>
            <w:r w:rsidRPr="000F2424">
              <w:rPr>
                <w:i/>
                <w:sz w:val="22"/>
              </w:rPr>
              <w:t>Contact</w:t>
            </w:r>
          </w:p>
          <w:p w:rsidR="006A5C94" w:rsidRPr="000F2424" w:rsidRDefault="006A5C94">
            <w:pPr>
              <w:rPr>
                <w:i/>
                <w:sz w:val="22"/>
              </w:rPr>
            </w:pPr>
          </w:p>
          <w:p w:rsidR="006A5C94" w:rsidRPr="000F2424" w:rsidRDefault="006A5C94">
            <w:pPr>
              <w:rPr>
                <w:i/>
                <w:sz w:val="22"/>
              </w:rPr>
            </w:pPr>
          </w:p>
          <w:p w:rsidR="006A5C94" w:rsidRPr="000F2424" w:rsidRDefault="006A5C94">
            <w:pPr>
              <w:rPr>
                <w:i/>
                <w:sz w:val="22"/>
              </w:rPr>
            </w:pPr>
          </w:p>
        </w:tc>
        <w:tc>
          <w:tcPr>
            <w:tcW w:w="6390" w:type="dxa"/>
          </w:tcPr>
          <w:p w:rsidR="004E2138" w:rsidRPr="000F2424" w:rsidRDefault="004E2138">
            <w:pPr>
              <w:tabs>
                <w:tab w:val="left" w:pos="1440"/>
              </w:tabs>
              <w:ind w:left="1440" w:hanging="1440"/>
              <w:rPr>
                <w:rFonts w:cs="Arial"/>
                <w:bCs/>
                <w:sz w:val="22"/>
                <w:lang w:val="it-IT"/>
              </w:rPr>
            </w:pPr>
          </w:p>
          <w:p w:rsidR="000F2424" w:rsidRDefault="000F2424" w:rsidP="000F2424">
            <w:pPr>
              <w:rPr>
                <w:rFonts w:eastAsia="Arial" w:cs="Arial"/>
                <w:color w:val="000000"/>
                <w:sz w:val="22"/>
              </w:rPr>
            </w:pPr>
            <w:r>
              <w:rPr>
                <w:rFonts w:eastAsia="Arial" w:cs="Arial"/>
                <w:color w:val="000000"/>
                <w:sz w:val="22"/>
              </w:rPr>
              <w:t xml:space="preserve">Justin Bates, </w:t>
            </w:r>
            <w:r w:rsidRPr="000F2424">
              <w:rPr>
                <w:rFonts w:eastAsia="Arial" w:cs="Arial"/>
                <w:color w:val="000000"/>
                <w:sz w:val="22"/>
              </w:rPr>
              <w:t xml:space="preserve">firstlight pr </w:t>
            </w:r>
          </w:p>
          <w:p w:rsidR="000F2424" w:rsidRDefault="000F2424" w:rsidP="000F2424">
            <w:pPr>
              <w:rPr>
                <w:rFonts w:eastAsia="Arial" w:cs="Arial"/>
                <w:color w:val="000000"/>
                <w:sz w:val="22"/>
              </w:rPr>
            </w:pPr>
            <w:r>
              <w:rPr>
                <w:rFonts w:eastAsia="Arial" w:cs="Arial"/>
                <w:color w:val="000000"/>
                <w:sz w:val="22"/>
              </w:rPr>
              <w:t>+44 (</w:t>
            </w:r>
            <w:r w:rsidRPr="000F2424">
              <w:rPr>
                <w:rFonts w:eastAsia="Arial" w:cs="Arial"/>
                <w:color w:val="000000"/>
                <w:sz w:val="22"/>
              </w:rPr>
              <w:t>0</w:t>
            </w:r>
            <w:r>
              <w:rPr>
                <w:rFonts w:eastAsia="Arial" w:cs="Arial"/>
                <w:color w:val="000000"/>
                <w:sz w:val="22"/>
              </w:rPr>
              <w:t>)</w:t>
            </w:r>
            <w:r w:rsidRPr="000F2424">
              <w:rPr>
                <w:rFonts w:eastAsia="Arial" w:cs="Arial"/>
                <w:color w:val="000000"/>
                <w:sz w:val="22"/>
              </w:rPr>
              <w:t xml:space="preserve">203 6177 232 </w:t>
            </w:r>
          </w:p>
          <w:p w:rsidR="000F2424" w:rsidRPr="000F2424" w:rsidRDefault="000F2424" w:rsidP="000F2424">
            <w:pPr>
              <w:spacing w:after="120"/>
              <w:rPr>
                <w:rFonts w:eastAsia="Arial" w:cs="Arial"/>
                <w:color w:val="000000"/>
                <w:sz w:val="22"/>
              </w:rPr>
            </w:pPr>
            <w:r>
              <w:rPr>
                <w:rFonts w:eastAsia="Arial" w:cs="Arial"/>
                <w:color w:val="000000"/>
                <w:sz w:val="22"/>
              </w:rPr>
              <w:t xml:space="preserve">Email: </w:t>
            </w:r>
            <w:hyperlink r:id="rId8" w:history="1">
              <w:r w:rsidRPr="000F2424">
                <w:rPr>
                  <w:rStyle w:val="Hyperlink"/>
                  <w:rFonts w:eastAsia="Arial"/>
                  <w:sz w:val="22"/>
                </w:rPr>
                <w:t>linkedin@firstlightpr.com</w:t>
              </w:r>
            </w:hyperlink>
          </w:p>
          <w:p w:rsidR="000F2424" w:rsidRPr="00014652" w:rsidRDefault="000F2424" w:rsidP="000F2424">
            <w:pPr>
              <w:tabs>
                <w:tab w:val="left" w:pos="1440"/>
              </w:tabs>
              <w:spacing w:after="120"/>
              <w:rPr>
                <w:sz w:val="22"/>
                <w:lang w:val="en-US"/>
              </w:rPr>
            </w:pPr>
            <w:r w:rsidRPr="00014652">
              <w:rPr>
                <w:sz w:val="22"/>
                <w:lang w:val="en-US"/>
              </w:rPr>
              <w:t>or</w:t>
            </w:r>
          </w:p>
          <w:p w:rsidR="004E2138" w:rsidRPr="00014652" w:rsidRDefault="004E2138" w:rsidP="004E2138">
            <w:pPr>
              <w:tabs>
                <w:tab w:val="left" w:pos="1440"/>
              </w:tabs>
              <w:rPr>
                <w:sz w:val="22"/>
                <w:lang w:val="en-US"/>
              </w:rPr>
            </w:pPr>
            <w:r w:rsidRPr="00014652">
              <w:rPr>
                <w:sz w:val="22"/>
                <w:lang w:val="en-US"/>
              </w:rPr>
              <w:t>Simon Reed, PwC</w:t>
            </w:r>
          </w:p>
          <w:p w:rsidR="004E2138" w:rsidRPr="00014652" w:rsidRDefault="004E2138" w:rsidP="004E2138">
            <w:pPr>
              <w:tabs>
                <w:tab w:val="left" w:pos="1440"/>
              </w:tabs>
              <w:rPr>
                <w:sz w:val="22"/>
                <w:lang w:val="en-US"/>
              </w:rPr>
            </w:pPr>
            <w:r w:rsidRPr="00014652">
              <w:rPr>
                <w:sz w:val="22"/>
                <w:lang w:val="en-US"/>
              </w:rPr>
              <w:t>Tel: +44 (0) 20 7804 2836</w:t>
            </w:r>
          </w:p>
          <w:p w:rsidR="004E2138" w:rsidRPr="00014652" w:rsidRDefault="004E2138" w:rsidP="004E2138">
            <w:pPr>
              <w:tabs>
                <w:tab w:val="left" w:pos="1440"/>
              </w:tabs>
              <w:rPr>
                <w:sz w:val="22"/>
                <w:lang w:val="fr-CH"/>
              </w:rPr>
            </w:pPr>
            <w:r w:rsidRPr="00014652">
              <w:rPr>
                <w:sz w:val="22"/>
                <w:lang w:val="fr-CH"/>
              </w:rPr>
              <w:t>Mobile: + 44 (0) 7703 130 957</w:t>
            </w:r>
          </w:p>
          <w:p w:rsidR="004E2138" w:rsidRPr="00014652" w:rsidRDefault="004E2138" w:rsidP="004E2138">
            <w:pPr>
              <w:tabs>
                <w:tab w:val="left" w:pos="1440"/>
              </w:tabs>
              <w:rPr>
                <w:sz w:val="22"/>
                <w:lang w:val="fr-CH"/>
              </w:rPr>
            </w:pPr>
            <w:r w:rsidRPr="00014652">
              <w:rPr>
                <w:sz w:val="22"/>
                <w:lang w:val="fr-CH"/>
              </w:rPr>
              <w:t xml:space="preserve">Email: </w:t>
            </w:r>
            <w:r w:rsidRPr="00014652">
              <w:rPr>
                <w:rStyle w:val="Hyperlink"/>
                <w:sz w:val="22"/>
                <w:lang w:val="fr-CH"/>
              </w:rPr>
              <w:t>simon.reed@uk.pwc.com</w:t>
            </w:r>
          </w:p>
          <w:p w:rsidR="00141A9D" w:rsidRPr="000F2424" w:rsidRDefault="00141A9D" w:rsidP="004E2138">
            <w:pPr>
              <w:tabs>
                <w:tab w:val="left" w:pos="1440"/>
              </w:tabs>
              <w:ind w:left="1440" w:hanging="1440"/>
              <w:rPr>
                <w:rFonts w:cs="Arial"/>
                <w:sz w:val="22"/>
                <w:lang w:val="it-IT"/>
              </w:rPr>
            </w:pPr>
          </w:p>
        </w:tc>
      </w:tr>
      <w:tr w:rsidR="006A5C94" w:rsidRPr="000F2424" w:rsidTr="00F560FB">
        <w:tc>
          <w:tcPr>
            <w:tcW w:w="2268" w:type="dxa"/>
          </w:tcPr>
          <w:p w:rsidR="006A5C94" w:rsidRPr="000F2424" w:rsidRDefault="00DF1CB4">
            <w:pPr>
              <w:rPr>
                <w:i/>
                <w:sz w:val="22"/>
              </w:rPr>
            </w:pPr>
            <w:r w:rsidRPr="000F2424">
              <w:rPr>
                <w:i/>
                <w:sz w:val="22"/>
              </w:rPr>
              <w:t xml:space="preserve">Pages </w:t>
            </w:r>
          </w:p>
        </w:tc>
        <w:tc>
          <w:tcPr>
            <w:tcW w:w="6390" w:type="dxa"/>
          </w:tcPr>
          <w:p w:rsidR="006A5C94" w:rsidRPr="000F2424" w:rsidRDefault="00172124">
            <w:pPr>
              <w:rPr>
                <w:sz w:val="22"/>
              </w:rPr>
            </w:pPr>
            <w:r>
              <w:rPr>
                <w:sz w:val="22"/>
              </w:rPr>
              <w:t>4</w:t>
            </w:r>
          </w:p>
        </w:tc>
      </w:tr>
    </w:tbl>
    <w:p w:rsidR="004E2138" w:rsidRDefault="00F02BE9">
      <w:r>
        <w:rPr>
          <w:noProof/>
          <w:lang w:val="en-US"/>
        </w:rPr>
        <w:pict>
          <v:line id="Line 6" o:spid="_x0000_s1026" style="position:absolute;z-index:251659264;visibility:visible;mso-position-horizontal-relative:page;mso-position-vertical-relative:page" from="100.1pt,361.9pt" to="555.15pt,3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" strokecolor="#e36c0a">
            <w10:wrap anchorx="page" anchory="page"/>
          </v:line>
        </w:pict>
      </w:r>
    </w:p>
    <w:p w:rsidR="00DA0034" w:rsidRPr="0057623A" w:rsidRDefault="00DA0034" w:rsidP="0057623A">
      <w:pPr>
        <w:jc w:val="center"/>
        <w:rPr>
          <w:b/>
          <w:sz w:val="28"/>
          <w:szCs w:val="28"/>
        </w:rPr>
      </w:pPr>
      <w:r w:rsidRPr="0057623A">
        <w:rPr>
          <w:b/>
          <w:sz w:val="28"/>
          <w:szCs w:val="28"/>
        </w:rPr>
        <w:t>Talent mismatch costs global economy $150billion</w:t>
      </w:r>
    </w:p>
    <w:p w:rsidR="00DA0034" w:rsidRPr="0057623A" w:rsidRDefault="00DA0034" w:rsidP="0057623A">
      <w:pPr>
        <w:jc w:val="center"/>
        <w:rPr>
          <w:b/>
          <w:sz w:val="22"/>
        </w:rPr>
      </w:pPr>
    </w:p>
    <w:p w:rsidR="00DA0034" w:rsidRPr="0057623A" w:rsidRDefault="00DA0034" w:rsidP="0057623A">
      <w:pPr>
        <w:jc w:val="center"/>
        <w:rPr>
          <w:b/>
          <w:sz w:val="22"/>
          <w:lang w:val="en-US"/>
        </w:rPr>
      </w:pPr>
      <w:r w:rsidRPr="0057623A">
        <w:rPr>
          <w:b/>
          <w:sz w:val="22"/>
        </w:rPr>
        <w:t xml:space="preserve">A global study by PwC, commissioned by LinkedIn, </w:t>
      </w:r>
      <w:r w:rsidRPr="0057623A">
        <w:rPr>
          <w:b/>
          <w:sz w:val="22"/>
          <w:lang w:val="en-US"/>
        </w:rPr>
        <w:t>reveals the economic impact of not having the right people in the right jobs</w:t>
      </w:r>
    </w:p>
    <w:p w:rsidR="000544D9" w:rsidRDefault="000544D9" w:rsidP="000544D9">
      <w:pPr>
        <w:pStyle w:val="Normal1"/>
        <w:widowControl w:val="0"/>
        <w:spacing w:line="240" w:lineRule="auto"/>
        <w:rPr>
          <w:rFonts w:ascii="Georgia" w:hAnsi="Georgia"/>
          <w:b/>
          <w:sz w:val="20"/>
          <w:szCs w:val="22"/>
        </w:rPr>
      </w:pPr>
    </w:p>
    <w:p w:rsidR="004E2138" w:rsidRPr="004E2138" w:rsidRDefault="004E2138" w:rsidP="000544D9">
      <w:pPr>
        <w:pStyle w:val="Normal1"/>
        <w:widowControl w:val="0"/>
        <w:spacing w:line="240" w:lineRule="auto"/>
        <w:rPr>
          <w:rFonts w:ascii="Georgia" w:hAnsi="Georgia"/>
          <w:sz w:val="20"/>
          <w:szCs w:val="22"/>
        </w:rPr>
      </w:pPr>
      <w:r w:rsidRPr="004E2138">
        <w:rPr>
          <w:rFonts w:ascii="Georgia" w:hAnsi="Georgia"/>
          <w:b/>
          <w:sz w:val="20"/>
          <w:szCs w:val="22"/>
        </w:rPr>
        <w:t xml:space="preserve">April. 8, 2014 </w:t>
      </w:r>
      <w:r w:rsidRPr="004E2138">
        <w:rPr>
          <w:rFonts w:ascii="Georgia" w:hAnsi="Georgia"/>
          <w:b/>
          <w:sz w:val="20"/>
          <w:szCs w:val="22"/>
        </w:rPr>
        <w:sym w:font="Symbol" w:char="F02D"/>
      </w:r>
      <w:r w:rsidRPr="004E2138">
        <w:rPr>
          <w:rFonts w:ascii="Georgia" w:hAnsi="Georgia"/>
          <w:b/>
          <w:sz w:val="20"/>
          <w:szCs w:val="22"/>
        </w:rPr>
        <w:t xml:space="preserve"> </w:t>
      </w:r>
      <w:r w:rsidRPr="004E2138">
        <w:rPr>
          <w:rFonts w:ascii="Georgia" w:hAnsi="Georgia"/>
          <w:sz w:val="20"/>
          <w:szCs w:val="22"/>
        </w:rPr>
        <w:t xml:space="preserve">New research </w:t>
      </w:r>
      <w:r w:rsidR="00DA0034">
        <w:rPr>
          <w:rFonts w:ascii="Georgia" w:hAnsi="Georgia"/>
          <w:sz w:val="20"/>
          <w:szCs w:val="22"/>
        </w:rPr>
        <w:t>by</w:t>
      </w:r>
      <w:r w:rsidR="00DA0034" w:rsidRPr="004E2138">
        <w:rPr>
          <w:rFonts w:ascii="Georgia" w:hAnsi="Georgia"/>
          <w:sz w:val="20"/>
          <w:szCs w:val="22"/>
        </w:rPr>
        <w:t xml:space="preserve"> </w:t>
      </w:r>
      <w:r w:rsidRPr="004E2138">
        <w:rPr>
          <w:rFonts w:ascii="Georgia" w:hAnsi="Georgia"/>
          <w:sz w:val="20"/>
          <w:szCs w:val="22"/>
        </w:rPr>
        <w:t xml:space="preserve">professional services </w:t>
      </w:r>
      <w:r w:rsidRPr="00C506B0">
        <w:rPr>
          <w:rFonts w:ascii="Georgia" w:hAnsi="Georgia"/>
          <w:sz w:val="20"/>
          <w:szCs w:val="20"/>
        </w:rPr>
        <w:t xml:space="preserve">network </w:t>
      </w:r>
      <w:hyperlink r:id="rId9" w:history="1">
        <w:r w:rsidR="00C506B0" w:rsidRPr="00C506B0">
          <w:rPr>
            <w:rStyle w:val="Hyperlink"/>
            <w:rFonts w:ascii="Georgia" w:hAnsi="Georgia"/>
            <w:sz w:val="20"/>
            <w:szCs w:val="20"/>
          </w:rPr>
          <w:t>PwC</w:t>
        </w:r>
      </w:hyperlink>
      <w:r w:rsidR="00DA0034">
        <w:t xml:space="preserve">, </w:t>
      </w:r>
      <w:r w:rsidR="00DA0034" w:rsidRPr="0057623A">
        <w:rPr>
          <w:rFonts w:ascii="Georgia" w:hAnsi="Georgia"/>
          <w:sz w:val="20"/>
          <w:szCs w:val="22"/>
        </w:rPr>
        <w:t>commissioned by</w:t>
      </w:r>
      <w:r w:rsidR="00DA0034">
        <w:t xml:space="preserve"> </w:t>
      </w:r>
      <w:hyperlink r:id="rId10" w:history="1">
        <w:r w:rsidR="00C506B0" w:rsidRPr="00C506B0">
          <w:rPr>
            <w:rStyle w:val="Hyperlink"/>
            <w:rFonts w:ascii="Georgia" w:hAnsi="Georgia"/>
            <w:sz w:val="20"/>
            <w:szCs w:val="20"/>
          </w:rPr>
          <w:t>LinkedIn</w:t>
        </w:r>
      </w:hyperlink>
      <w:r w:rsidRPr="004E2138">
        <w:rPr>
          <w:rFonts w:ascii="Georgia" w:hAnsi="Georgia"/>
          <w:sz w:val="20"/>
          <w:szCs w:val="22"/>
        </w:rPr>
        <w:t>, the world’s largest online professional network, today reveals that poor talent adaptability – the inability for people to retrain for new skills or switch industries – is costing the global economy billions of dollars in lost productivity and leads to businesses wasting huge sums on avoidable recruitment costs.</w:t>
      </w:r>
    </w:p>
    <w:p w:rsidR="000544D9" w:rsidRDefault="000544D9" w:rsidP="000544D9">
      <w:pPr>
        <w:pStyle w:val="Normal1"/>
        <w:spacing w:line="240" w:lineRule="auto"/>
        <w:rPr>
          <w:rFonts w:ascii="Georgia" w:hAnsi="Georgia"/>
          <w:sz w:val="20"/>
          <w:szCs w:val="22"/>
        </w:rPr>
      </w:pPr>
    </w:p>
    <w:p w:rsidR="004E2138" w:rsidRPr="004E2138" w:rsidRDefault="004E2138" w:rsidP="000544D9">
      <w:pPr>
        <w:pStyle w:val="Normal1"/>
        <w:spacing w:line="240" w:lineRule="auto"/>
        <w:rPr>
          <w:rFonts w:ascii="Georgia" w:hAnsi="Georgia"/>
          <w:iCs/>
          <w:sz w:val="20"/>
          <w:szCs w:val="22"/>
        </w:rPr>
      </w:pPr>
      <w:r w:rsidRPr="004E2138">
        <w:rPr>
          <w:rFonts w:ascii="Georgia" w:hAnsi="Georgia"/>
          <w:sz w:val="20"/>
          <w:szCs w:val="22"/>
        </w:rPr>
        <w:t xml:space="preserve">The study, </w:t>
      </w:r>
      <w:hyperlink r:id="rId11" w:history="1">
        <w:r w:rsidRPr="004E2138">
          <w:rPr>
            <w:rStyle w:val="Hyperlink"/>
            <w:rFonts w:ascii="Georgia" w:hAnsi="Georgia"/>
            <w:i/>
            <w:sz w:val="20"/>
            <w:szCs w:val="22"/>
          </w:rPr>
          <w:t>Adapt to Survive</w:t>
        </w:r>
      </w:hyperlink>
      <w:r w:rsidRPr="004E2138">
        <w:rPr>
          <w:rFonts w:ascii="Georgia" w:hAnsi="Georgia"/>
          <w:sz w:val="20"/>
          <w:szCs w:val="22"/>
        </w:rPr>
        <w:t xml:space="preserve">, </w:t>
      </w:r>
      <w:r w:rsidRPr="004E2138">
        <w:rPr>
          <w:rFonts w:ascii="Georgia" w:hAnsi="Georgia"/>
          <w:iCs/>
          <w:sz w:val="20"/>
          <w:szCs w:val="22"/>
        </w:rPr>
        <w:t>for the first time analyses millions of interactions from LinkedIn’s network of 277 million professionals, and information on 2,600 employers from PwC’s Saratoga database, one of the world’s largest and most robust resources of people and performance metrics, to understand which countries are better at aligning talent with opportunity.</w:t>
      </w:r>
    </w:p>
    <w:p w:rsidR="000544D9" w:rsidRDefault="000544D9" w:rsidP="000544D9">
      <w:pPr>
        <w:pStyle w:val="Normal1"/>
        <w:spacing w:line="240" w:lineRule="auto"/>
        <w:rPr>
          <w:rFonts w:ascii="Georgia" w:hAnsi="Georgia"/>
          <w:iCs/>
          <w:sz w:val="20"/>
          <w:szCs w:val="22"/>
        </w:rPr>
      </w:pPr>
    </w:p>
    <w:p w:rsidR="00DA0034" w:rsidRPr="0057623A" w:rsidRDefault="00DA0034" w:rsidP="000544D9">
      <w:pPr>
        <w:pStyle w:val="Normal1"/>
        <w:spacing w:line="240" w:lineRule="auto"/>
        <w:rPr>
          <w:rFonts w:ascii="Georgia" w:hAnsi="Georgia"/>
          <w:iCs/>
          <w:sz w:val="20"/>
          <w:szCs w:val="22"/>
        </w:rPr>
      </w:pPr>
      <w:r w:rsidRPr="0057623A">
        <w:rPr>
          <w:rFonts w:ascii="Georgia" w:hAnsi="Georgia"/>
          <w:iCs/>
          <w:sz w:val="20"/>
          <w:szCs w:val="22"/>
        </w:rPr>
        <w:t>It examines five key talent behavio</w:t>
      </w:r>
      <w:r w:rsidR="000544D9">
        <w:rPr>
          <w:rFonts w:ascii="Georgia" w:hAnsi="Georgia"/>
          <w:iCs/>
          <w:sz w:val="20"/>
          <w:szCs w:val="22"/>
        </w:rPr>
        <w:t>u</w:t>
      </w:r>
      <w:r w:rsidRPr="0057623A">
        <w:rPr>
          <w:rFonts w:ascii="Georgia" w:hAnsi="Georgia"/>
          <w:iCs/>
          <w:sz w:val="20"/>
          <w:szCs w:val="22"/>
        </w:rPr>
        <w:t xml:space="preserve">rs within 11 markets and identifies two significant ‘costs’ which are based on the surveyed markets being as good at matching talent with the right opportunities as the Netherlands – the most adaptable market in the study.  When these costs are combined this could mean the economy is missing out on USD$150bn: </w:t>
      </w:r>
    </w:p>
    <w:p w:rsidR="004E2138" w:rsidRPr="004E2138" w:rsidRDefault="004E2138" w:rsidP="004E2138">
      <w:pPr>
        <w:pStyle w:val="Normal1"/>
        <w:numPr>
          <w:ilvl w:val="0"/>
          <w:numId w:val="43"/>
        </w:numPr>
        <w:spacing w:before="100" w:beforeAutospacing="1" w:after="120" w:line="240" w:lineRule="auto"/>
        <w:ind w:left="360"/>
        <w:rPr>
          <w:rFonts w:ascii="Georgia" w:hAnsi="Georgia"/>
          <w:sz w:val="20"/>
          <w:szCs w:val="22"/>
        </w:rPr>
      </w:pPr>
      <w:r w:rsidRPr="004E2138">
        <w:rPr>
          <w:rFonts w:ascii="Georgia" w:hAnsi="Georgia"/>
          <w:b/>
          <w:sz w:val="20"/>
          <w:szCs w:val="22"/>
        </w:rPr>
        <w:t>A lost opportunity to generate US$130bn of additional productivity</w:t>
      </w:r>
      <w:r w:rsidRPr="004E2138">
        <w:rPr>
          <w:rFonts w:ascii="Georgia" w:hAnsi="Georgia"/>
          <w:b/>
          <w:bCs/>
          <w:sz w:val="20"/>
          <w:szCs w:val="22"/>
          <w:vertAlign w:val="superscript"/>
        </w:rPr>
        <w:t>1</w:t>
      </w:r>
      <w:r w:rsidRPr="004E2138">
        <w:rPr>
          <w:rFonts w:ascii="Georgia" w:hAnsi="Georgia"/>
          <w:b/>
          <w:sz w:val="20"/>
          <w:szCs w:val="22"/>
        </w:rPr>
        <w:t xml:space="preserve"> </w:t>
      </w:r>
      <w:r w:rsidRPr="004E2138">
        <w:rPr>
          <w:rFonts w:ascii="Georgia" w:hAnsi="Georgia"/>
          <w:sz w:val="20"/>
          <w:szCs w:val="22"/>
        </w:rPr>
        <w:t>– the research found a strong correlation between the adaptability of the talent in a particular country and the performance of its companies. If markets were better at matching talent with the right opportunities, this could unlock as much as USD$130 billion of productivity in the 11 markets studied (including USD$65.6 billion in China, USD$29.3 billion in the US and USD$11.7 billion in Brazil).</w:t>
      </w:r>
    </w:p>
    <w:p w:rsidR="004E2138" w:rsidRPr="004E2138" w:rsidRDefault="004E2138" w:rsidP="004E2138">
      <w:pPr>
        <w:pStyle w:val="Normal1"/>
        <w:widowControl w:val="0"/>
        <w:numPr>
          <w:ilvl w:val="0"/>
          <w:numId w:val="43"/>
        </w:numPr>
        <w:spacing w:before="100" w:beforeAutospacing="1" w:after="120" w:line="240" w:lineRule="auto"/>
        <w:ind w:left="360"/>
        <w:rPr>
          <w:rFonts w:ascii="Georgia" w:hAnsi="Georgia"/>
          <w:b/>
          <w:sz w:val="20"/>
          <w:szCs w:val="22"/>
        </w:rPr>
      </w:pPr>
      <w:r w:rsidRPr="004E2138">
        <w:rPr>
          <w:rFonts w:ascii="Georgia" w:hAnsi="Georgia"/>
          <w:b/>
          <w:sz w:val="20"/>
          <w:szCs w:val="22"/>
        </w:rPr>
        <w:t>Avoidable recruitment costs of US$19.8bn</w:t>
      </w:r>
      <w:r w:rsidRPr="004E2138">
        <w:rPr>
          <w:rFonts w:ascii="Georgia" w:hAnsi="Georgia"/>
          <w:b/>
          <w:bCs/>
          <w:sz w:val="20"/>
          <w:szCs w:val="22"/>
          <w:vertAlign w:val="superscript"/>
        </w:rPr>
        <w:t>2</w:t>
      </w:r>
      <w:r w:rsidRPr="004E2138">
        <w:rPr>
          <w:rFonts w:ascii="Georgia" w:hAnsi="Georgia"/>
          <w:b/>
          <w:sz w:val="20"/>
          <w:szCs w:val="22"/>
        </w:rPr>
        <w:t xml:space="preserve"> </w:t>
      </w:r>
      <w:r w:rsidRPr="004E2138">
        <w:rPr>
          <w:rFonts w:ascii="Georgia" w:hAnsi="Georgia"/>
          <w:sz w:val="20"/>
          <w:szCs w:val="22"/>
        </w:rPr>
        <w:t>–</w:t>
      </w:r>
      <w:r w:rsidRPr="004E2138">
        <w:rPr>
          <w:rFonts w:ascii="Georgia" w:hAnsi="Georgia"/>
          <w:b/>
          <w:sz w:val="20"/>
          <w:szCs w:val="22"/>
        </w:rPr>
        <w:t xml:space="preserve"> </w:t>
      </w:r>
      <w:r w:rsidRPr="004E2138">
        <w:rPr>
          <w:rFonts w:ascii="Georgia" w:hAnsi="Georgia"/>
          <w:sz w:val="20"/>
          <w:szCs w:val="22"/>
        </w:rPr>
        <w:t>this</w:t>
      </w:r>
      <w:r w:rsidRPr="004E2138">
        <w:rPr>
          <w:rFonts w:ascii="Georgia" w:hAnsi="Georgia"/>
          <w:b/>
          <w:sz w:val="20"/>
          <w:szCs w:val="22"/>
        </w:rPr>
        <w:t xml:space="preserve"> </w:t>
      </w:r>
      <w:r w:rsidRPr="004E2138">
        <w:rPr>
          <w:rFonts w:ascii="Georgia" w:hAnsi="Georgia"/>
          <w:sz w:val="20"/>
          <w:szCs w:val="22"/>
        </w:rPr>
        <w:t>lack of access to the right talent is driving up the cost of recruitment for employers today. The longer time taken to find the right candidates, and the increased likelihood for mismatched talent to leave sooner are costing companies in those countries US$19.8bn in avoidable recruitment costs.</w:t>
      </w:r>
    </w:p>
    <w:p w:rsidR="00DA0034" w:rsidRDefault="00DA0034" w:rsidP="004E2138">
      <w:pPr>
        <w:pStyle w:val="Normal1"/>
        <w:widowControl w:val="0"/>
        <w:spacing w:line="240" w:lineRule="auto"/>
        <w:rPr>
          <w:rFonts w:ascii="Georgia" w:hAnsi="Georgia"/>
          <w:b/>
          <w:i/>
          <w:sz w:val="20"/>
          <w:szCs w:val="22"/>
          <w:u w:val="single"/>
        </w:rPr>
      </w:pPr>
    </w:p>
    <w:p w:rsidR="004E2138" w:rsidRPr="004E2138" w:rsidRDefault="004E2138" w:rsidP="004E2138">
      <w:pPr>
        <w:pStyle w:val="Normal1"/>
        <w:widowControl w:val="0"/>
        <w:spacing w:line="240" w:lineRule="auto"/>
        <w:rPr>
          <w:rFonts w:ascii="Georgia" w:hAnsi="Georgia"/>
          <w:b/>
          <w:i/>
          <w:sz w:val="20"/>
          <w:szCs w:val="22"/>
          <w:u w:val="single"/>
        </w:rPr>
      </w:pPr>
      <w:r w:rsidRPr="000544D9">
        <w:rPr>
          <w:rFonts w:ascii="Georgia" w:hAnsi="Georgia"/>
          <w:b/>
          <w:i/>
          <w:sz w:val="20"/>
          <w:szCs w:val="22"/>
        </w:rPr>
        <w:t>Most adaptable countries according to the Talent Adaptability Score</w:t>
      </w:r>
      <w:r w:rsidRPr="004E2138">
        <w:rPr>
          <w:rFonts w:ascii="Georgia" w:hAnsi="Georgia"/>
          <w:b/>
          <w:bCs/>
          <w:i/>
          <w:iCs/>
          <w:sz w:val="20"/>
          <w:szCs w:val="22"/>
          <w:u w:val="single"/>
          <w:vertAlign w:val="superscript"/>
        </w:rPr>
        <w:t>3</w:t>
      </w:r>
    </w:p>
    <w:p w:rsidR="004E2138" w:rsidRPr="004E2138" w:rsidRDefault="004E2138" w:rsidP="004E2138">
      <w:pPr>
        <w:pStyle w:val="Normal1"/>
        <w:spacing w:line="240" w:lineRule="auto"/>
        <w:rPr>
          <w:rFonts w:ascii="Georgia" w:hAnsi="Georgia"/>
          <w:sz w:val="20"/>
          <w:szCs w:val="22"/>
        </w:rPr>
      </w:pPr>
      <w:r w:rsidRPr="004E2138">
        <w:rPr>
          <w:rFonts w:ascii="Georgia" w:hAnsi="Georgia"/>
          <w:sz w:val="20"/>
          <w:szCs w:val="22"/>
        </w:rPr>
        <w:t xml:space="preserve">The research spans a wide spectrum of economies by development phase, size and industry types.  Each market is assigned a </w:t>
      </w:r>
      <w:r w:rsidRPr="004E2138">
        <w:rPr>
          <w:rFonts w:ascii="Georgia" w:hAnsi="Georgia"/>
          <w:i/>
          <w:sz w:val="20"/>
          <w:szCs w:val="22"/>
        </w:rPr>
        <w:t>Talent Adaptability Score</w:t>
      </w:r>
      <w:r w:rsidRPr="004E2138">
        <w:rPr>
          <w:rFonts w:ascii="Georgia" w:hAnsi="Georgia"/>
          <w:sz w:val="20"/>
          <w:szCs w:val="22"/>
        </w:rPr>
        <w:t xml:space="preserve"> based on five key behavioral factors, which </w:t>
      </w:r>
      <w:r w:rsidRPr="004E2138">
        <w:rPr>
          <w:rFonts w:ascii="Georgia" w:hAnsi="Georgia"/>
          <w:sz w:val="20"/>
          <w:szCs w:val="22"/>
        </w:rPr>
        <w:lastRenderedPageBreak/>
        <w:t xml:space="preserve">include: the </w:t>
      </w:r>
      <w:r w:rsidR="00EF075A">
        <w:rPr>
          <w:rFonts w:ascii="Georgia" w:hAnsi="Georgia"/>
          <w:sz w:val="20"/>
          <w:szCs w:val="22"/>
        </w:rPr>
        <w:t xml:space="preserve">average </w:t>
      </w:r>
      <w:r w:rsidRPr="004E2138">
        <w:rPr>
          <w:rFonts w:ascii="Georgia" w:hAnsi="Georgia"/>
          <w:sz w:val="20"/>
          <w:szCs w:val="22"/>
        </w:rPr>
        <w:t>number of times professionals in that market switch industries, the</w:t>
      </w:r>
      <w:r w:rsidR="00EF075A">
        <w:rPr>
          <w:rFonts w:ascii="Georgia" w:hAnsi="Georgia"/>
          <w:sz w:val="20"/>
          <w:szCs w:val="22"/>
        </w:rPr>
        <w:t xml:space="preserve"> average</w:t>
      </w:r>
      <w:r w:rsidRPr="004E2138">
        <w:rPr>
          <w:rFonts w:ascii="Georgia" w:hAnsi="Georgia"/>
          <w:sz w:val="20"/>
          <w:szCs w:val="22"/>
        </w:rPr>
        <w:t xml:space="preserve"> number of different positions held in a professional’s career, the</w:t>
      </w:r>
      <w:r w:rsidR="00EF075A">
        <w:rPr>
          <w:rFonts w:ascii="Georgia" w:hAnsi="Georgia"/>
          <w:sz w:val="20"/>
          <w:szCs w:val="22"/>
        </w:rPr>
        <w:t xml:space="preserve"> average</w:t>
      </w:r>
      <w:r w:rsidRPr="004E2138">
        <w:rPr>
          <w:rFonts w:ascii="Georgia" w:hAnsi="Georgia"/>
          <w:sz w:val="20"/>
          <w:szCs w:val="22"/>
        </w:rPr>
        <w:t xml:space="preserve"> number of internal promotions in that market,</w:t>
      </w:r>
      <w:r w:rsidRPr="004E2138">
        <w:rPr>
          <w:rFonts w:ascii="Georgia" w:hAnsi="Georgia"/>
          <w:b/>
          <w:sz w:val="20"/>
          <w:szCs w:val="22"/>
        </w:rPr>
        <w:t xml:space="preserve"> </w:t>
      </w:r>
      <w:r w:rsidRPr="004E2138">
        <w:rPr>
          <w:rFonts w:ascii="Georgia" w:hAnsi="Georgia"/>
          <w:sz w:val="20"/>
          <w:szCs w:val="22"/>
        </w:rPr>
        <w:t>the average number of employers a professional has had in each market and the average num</w:t>
      </w:r>
      <w:r w:rsidR="000544D9">
        <w:rPr>
          <w:rFonts w:ascii="Georgia" w:hAnsi="Georgia"/>
          <w:sz w:val="20"/>
          <w:szCs w:val="22"/>
        </w:rPr>
        <w:t>ber of open vacancies divided by</w:t>
      </w:r>
      <w:r w:rsidRPr="004E2138">
        <w:rPr>
          <w:rFonts w:ascii="Georgia" w:hAnsi="Georgia"/>
          <w:sz w:val="20"/>
          <w:szCs w:val="22"/>
        </w:rPr>
        <w:t xml:space="preserve"> the market’s population.</w:t>
      </w:r>
    </w:p>
    <w:p w:rsidR="000F2424" w:rsidRDefault="000F2424" w:rsidP="004E2138">
      <w:pPr>
        <w:spacing w:line="240" w:lineRule="auto"/>
      </w:pPr>
    </w:p>
    <w:p w:rsidR="004E2138" w:rsidRPr="004E2138" w:rsidRDefault="004E2138" w:rsidP="004E2138">
      <w:pPr>
        <w:spacing w:line="240" w:lineRule="auto"/>
      </w:pPr>
      <w:r w:rsidRPr="004E2138">
        <w:t xml:space="preserve">The </w:t>
      </w:r>
      <w:r w:rsidRPr="004E2138">
        <w:rPr>
          <w:i/>
        </w:rPr>
        <w:t xml:space="preserve">Talent Adaptability Score </w:t>
      </w:r>
      <w:r w:rsidRPr="004E2138">
        <w:t>is a powerful indicator of a market’s ability to respond to future shifts in demand, not a snapshot of current econ</w:t>
      </w:r>
      <w:r w:rsidR="000F2424">
        <w:t>omic performance.  Scores vary</w:t>
      </w:r>
      <w:r w:rsidRPr="004E2138">
        <w:t xml:space="preserve"> significantly by country (see table), with the Netherlands’ multilingual workforce and international business base placing it first in the ranking.</w:t>
      </w:r>
    </w:p>
    <w:p w:rsidR="004E2138" w:rsidRPr="004E2138" w:rsidRDefault="004E2138"/>
    <w:p w:rsidR="004E2138" w:rsidRPr="004E2138" w:rsidRDefault="004E2138" w:rsidP="004E2138">
      <w:pPr>
        <w:rPr>
          <w:lang w:val="en-US"/>
        </w:rPr>
      </w:pPr>
      <w:r w:rsidRPr="004E2138">
        <w:rPr>
          <w:lang w:val="en-US"/>
        </w:rPr>
        <w:t>Emerging markets India and China have lower scores due to the existence of fewer mature sectors and their geographic size which limits talent mobility.</w:t>
      </w:r>
    </w:p>
    <w:p w:rsidR="004E2138" w:rsidRPr="004E2138" w:rsidRDefault="004E2138" w:rsidP="004E2138">
      <w:pPr>
        <w:rPr>
          <w:lang w:val="en-US"/>
        </w:rPr>
      </w:pPr>
    </w:p>
    <w:p w:rsidR="004E2138" w:rsidRPr="004E2138" w:rsidRDefault="004E2138" w:rsidP="004E2138">
      <w:pPr>
        <w:rPr>
          <w:lang w:val="en-US"/>
        </w:rPr>
      </w:pPr>
      <w:r w:rsidRPr="004E2138">
        <w:rPr>
          <w:lang w:val="en-US"/>
        </w:rPr>
        <w:t>Well-performing economies such as Germany rank lower than expected, in part because it is a specialised economy which works well whilst its sectors are buoyant and stable, as they are today. But it also makes the country less able to respond to structural changes.</w:t>
      </w:r>
    </w:p>
    <w:p w:rsidR="004E2138" w:rsidRPr="004E2138" w:rsidRDefault="004E2138" w:rsidP="004E2138">
      <w:pPr>
        <w:rPr>
          <w:lang w:val="en-US"/>
        </w:rPr>
      </w:pPr>
    </w:p>
    <w:p w:rsidR="004E2138" w:rsidRPr="004E2138" w:rsidRDefault="004E2138" w:rsidP="004E2138">
      <w:pPr>
        <w:rPr>
          <w:lang w:val="en-US"/>
        </w:rPr>
      </w:pPr>
      <w:r w:rsidRPr="004E2138">
        <w:rPr>
          <w:lang w:val="en-US"/>
        </w:rPr>
        <w:t xml:space="preserve">Commenting on the findings, </w:t>
      </w:r>
      <w:hyperlink r:id="rId12" w:history="1">
        <w:r w:rsidRPr="00172124">
          <w:rPr>
            <w:rStyle w:val="Hyperlink"/>
            <w:lang w:val="en-US"/>
          </w:rPr>
          <w:t>Michael Rendell</w:t>
        </w:r>
      </w:hyperlink>
      <w:r w:rsidRPr="004E2138">
        <w:rPr>
          <w:lang w:val="en-US"/>
        </w:rPr>
        <w:t xml:space="preserve">, Partner, Global Head of HR Services practice at PwC, said: </w:t>
      </w:r>
      <w:r w:rsidR="00FC2E62">
        <w:rPr>
          <w:lang w:val="en-US"/>
        </w:rPr>
        <w:t xml:space="preserve">“Worldwide unemployment continues to rise while jobs remain unfilled, and CEOs are worried about a growing skills gap. The better employers and employees are at adapting to changing circumstances and aligning their skills with the available opportunities, the more productive </w:t>
      </w:r>
      <w:r w:rsidR="00FC2E62">
        <w:t>organisations</w:t>
      </w:r>
      <w:r w:rsidR="00FC2E62">
        <w:rPr>
          <w:lang w:val="en-US"/>
        </w:rPr>
        <w:t xml:space="preserve"> will become. Our research shows that a better talent fit between employer and employee could unlock $130bn in additional productivity globally, begin to close the skills gap and drive a market’s competitive advantage.”</w:t>
      </w:r>
    </w:p>
    <w:p w:rsidR="004E2138" w:rsidRPr="000544D9" w:rsidRDefault="00F02BE9" w:rsidP="000544D9">
      <w:pPr>
        <w:pStyle w:val="Normal1"/>
        <w:widowControl w:val="0"/>
        <w:spacing w:before="100" w:beforeAutospacing="1" w:after="120" w:line="240" w:lineRule="auto"/>
        <w:ind w:right="-160"/>
        <w:rPr>
          <w:rFonts w:ascii="Georgia" w:hAnsi="Georgia" w:cs="Calibri"/>
          <w:sz w:val="20"/>
          <w:szCs w:val="20"/>
        </w:rPr>
      </w:pPr>
      <w:hyperlink r:id="rId13" w:history="1">
        <w:r w:rsidR="00014652" w:rsidRPr="00014652">
          <w:rPr>
            <w:rStyle w:val="Hyperlink"/>
            <w:rFonts w:ascii="Georgia" w:hAnsi="Georgia"/>
            <w:sz w:val="20"/>
            <w:szCs w:val="20"/>
            <w:lang w:eastAsia="en-US"/>
          </w:rPr>
          <w:t>David Cohen</w:t>
        </w:r>
      </w:hyperlink>
      <w:r w:rsidR="00014652" w:rsidRPr="00014652">
        <w:rPr>
          <w:rFonts w:ascii="Georgia" w:eastAsia="Calibri" w:hAnsi="Georgia" w:cs="Times New Roman"/>
          <w:color w:val="auto"/>
          <w:sz w:val="20"/>
          <w:szCs w:val="20"/>
          <w:lang w:val="en-GB" w:eastAsia="en-US"/>
        </w:rPr>
        <w:t>,</w:t>
      </w:r>
      <w:r w:rsidR="00014652">
        <w:rPr>
          <w:rFonts w:ascii="Georgia" w:eastAsia="Calibri" w:hAnsi="Georgia" w:cs="Times New Roman"/>
          <w:color w:val="auto"/>
          <w:sz w:val="20"/>
          <w:szCs w:val="22"/>
          <w:lang w:val="en-GB" w:eastAsia="en-US"/>
        </w:rPr>
        <w:t xml:space="preserve"> LinkedIn Senior Director of Sales, EMEA</w:t>
      </w:r>
      <w:r w:rsidR="00C506B0" w:rsidRPr="00014652">
        <w:rPr>
          <w:rFonts w:ascii="Georgia" w:eastAsia="Calibri" w:hAnsi="Georgia" w:cs="Times New Roman"/>
          <w:color w:val="auto"/>
          <w:sz w:val="20"/>
          <w:szCs w:val="22"/>
          <w:lang w:val="en-GB" w:eastAsia="en-US"/>
        </w:rPr>
        <w:t>, added: “Countries increasingly differentiate themselves in the global marketplace via their human capital. Up until now, it’s been challenging for them to assess the skills, knowledge and experience of their workforces due to the dearth of professional data. We’re hopeful that countries will leverage the insights uncovered in Adapt to Survive to maximise the efficacy of their</w:t>
      </w:r>
      <w:r w:rsidR="00C506B0" w:rsidRPr="00C506B0">
        <w:rPr>
          <w:rFonts w:ascii="Georgia" w:hAnsi="Georgia" w:cs="Calibri"/>
          <w:sz w:val="20"/>
          <w:szCs w:val="20"/>
        </w:rPr>
        <w:t xml:space="preserve"> human capital and create more opportunities for their workforces</w:t>
      </w:r>
      <w:bookmarkStart w:id="0" w:name="_GoBack"/>
      <w:bookmarkEnd w:id="0"/>
      <w:r w:rsidR="00C506B0" w:rsidRPr="00C506B0">
        <w:rPr>
          <w:rFonts w:ascii="Georgia" w:hAnsi="Georgia" w:cs="Calibri"/>
          <w:sz w:val="20"/>
          <w:szCs w:val="20"/>
        </w:rPr>
        <w:t>.”</w:t>
      </w:r>
    </w:p>
    <w:p w:rsidR="004E2138" w:rsidRPr="004E2138" w:rsidRDefault="004E2138" w:rsidP="004E2138">
      <w:r w:rsidRPr="004E2138">
        <w:rPr>
          <w:lang w:val="en-US"/>
        </w:rPr>
        <w:t>To read the full report please go to:</w:t>
      </w:r>
      <w:r w:rsidRPr="004E2138">
        <w:rPr>
          <w:b/>
          <w:i/>
          <w:u w:val="single"/>
          <w:lang w:val="en-US"/>
        </w:rPr>
        <w:t xml:space="preserve"> </w:t>
      </w:r>
      <w:hyperlink r:id="rId14" w:history="1">
        <w:r w:rsidR="00C506B0" w:rsidRPr="00C506B0">
          <w:rPr>
            <w:rFonts w:cs="Helvetica"/>
            <w:color w:val="386EFF"/>
            <w:szCs w:val="20"/>
            <w:lang w:val="en-US" w:eastAsia="en-GB"/>
          </w:rPr>
          <w:t>www.pwc.com/talentadaptability</w:t>
        </w:r>
      </w:hyperlink>
    </w:p>
    <w:p w:rsidR="004E2138" w:rsidRPr="004E2138" w:rsidRDefault="004E2138" w:rsidP="004E2138">
      <w:pPr>
        <w:rPr>
          <w:b/>
          <w:i/>
          <w:sz w:val="18"/>
          <w:u w:val="single"/>
          <w:lang w:val="en-US"/>
        </w:rPr>
      </w:pPr>
    </w:p>
    <w:p w:rsidR="004E2138" w:rsidRPr="000544D9" w:rsidRDefault="004E2138" w:rsidP="004E2138">
      <w:pPr>
        <w:rPr>
          <w:b/>
          <w:i/>
          <w:szCs w:val="20"/>
          <w:lang w:val="en-US"/>
        </w:rPr>
      </w:pPr>
      <w:r w:rsidRPr="000544D9">
        <w:rPr>
          <w:b/>
          <w:i/>
          <w:szCs w:val="20"/>
          <w:lang w:val="en-US"/>
        </w:rPr>
        <w:t>Country by country findings</w:t>
      </w:r>
      <w:r w:rsidRPr="000544D9">
        <w:rPr>
          <w:b/>
          <w:i/>
          <w:szCs w:val="20"/>
          <w:lang w:val="en-US"/>
        </w:rPr>
        <w:br/>
      </w:r>
    </w:p>
    <w:tbl>
      <w:tblPr>
        <w:tblStyle w:val="MediumList2"/>
        <w:tblW w:w="8159" w:type="dxa"/>
        <w:jc w:val="center"/>
        <w:tblLook w:val="04A0"/>
      </w:tblPr>
      <w:tblGrid>
        <w:gridCol w:w="759"/>
        <w:gridCol w:w="1483"/>
        <w:gridCol w:w="1481"/>
        <w:gridCol w:w="1587"/>
        <w:gridCol w:w="1705"/>
        <w:gridCol w:w="1144"/>
      </w:tblGrid>
      <w:tr w:rsidR="004E2138" w:rsidRPr="004E2138" w:rsidTr="00172124">
        <w:trPr>
          <w:cnfStyle w:val="100000000000"/>
          <w:trHeight w:val="170"/>
          <w:jc w:val="center"/>
        </w:trPr>
        <w:tc>
          <w:tcPr>
            <w:cnfStyle w:val="001000000100"/>
            <w:tcW w:w="632" w:type="dxa"/>
          </w:tcPr>
          <w:p w:rsidR="004E2138" w:rsidRPr="004E2138" w:rsidRDefault="004E2138" w:rsidP="004E2138">
            <w:pPr>
              <w:rPr>
                <w:rFonts w:eastAsia="Calibri" w:cs="Times New Roman"/>
                <w:b/>
                <w:color w:val="auto"/>
                <w:szCs w:val="20"/>
                <w:lang w:val="en-US"/>
              </w:rPr>
            </w:pPr>
            <w:r w:rsidRPr="004E2138">
              <w:rPr>
                <w:rFonts w:eastAsia="Calibri" w:cs="Times New Roman"/>
                <w:b/>
                <w:color w:val="auto"/>
                <w:szCs w:val="20"/>
                <w:lang w:val="en-US"/>
              </w:rPr>
              <w:t>Rank</w:t>
            </w:r>
          </w:p>
        </w:tc>
        <w:tc>
          <w:tcPr>
            <w:tcW w:w="1625" w:type="dxa"/>
          </w:tcPr>
          <w:p w:rsidR="004E2138" w:rsidRPr="004E2138" w:rsidRDefault="004E2138" w:rsidP="004E2138">
            <w:pPr>
              <w:cnfStyle w:val="100000000000"/>
              <w:rPr>
                <w:rFonts w:eastAsia="Calibri" w:cs="Times New Roman"/>
                <w:b/>
                <w:color w:val="auto"/>
                <w:szCs w:val="20"/>
                <w:lang w:val="en-US"/>
              </w:rPr>
            </w:pPr>
            <w:r w:rsidRPr="004E2138">
              <w:rPr>
                <w:rFonts w:eastAsia="Calibri" w:cs="Times New Roman"/>
                <w:b/>
                <w:color w:val="auto"/>
                <w:szCs w:val="20"/>
                <w:lang w:val="en-US"/>
              </w:rPr>
              <w:t>Country</w:t>
            </w:r>
          </w:p>
        </w:tc>
        <w:tc>
          <w:tcPr>
            <w:tcW w:w="1234" w:type="dxa"/>
          </w:tcPr>
          <w:p w:rsidR="004E2138" w:rsidRPr="004E2138" w:rsidRDefault="004E2138" w:rsidP="004E2138">
            <w:pPr>
              <w:cnfStyle w:val="100000000000"/>
              <w:rPr>
                <w:rFonts w:eastAsia="Calibri" w:cs="Times New Roman"/>
                <w:b/>
                <w:color w:val="auto"/>
                <w:szCs w:val="20"/>
                <w:lang w:val="en-US"/>
              </w:rPr>
            </w:pPr>
            <w:r w:rsidRPr="004E2138">
              <w:rPr>
                <w:rFonts w:eastAsia="Calibri" w:cs="Times New Roman"/>
                <w:b/>
                <w:color w:val="auto"/>
                <w:szCs w:val="20"/>
                <w:lang w:val="en-US"/>
              </w:rPr>
              <w:t>Talent Adaptability Score**</w:t>
            </w:r>
          </w:p>
        </w:tc>
        <w:tc>
          <w:tcPr>
            <w:tcW w:w="1472" w:type="dxa"/>
          </w:tcPr>
          <w:p w:rsidR="004E2138" w:rsidRPr="004E2138" w:rsidRDefault="004E2138" w:rsidP="004E2138">
            <w:pPr>
              <w:cnfStyle w:val="100000000000"/>
              <w:rPr>
                <w:rFonts w:eastAsia="Calibri" w:cs="Times New Roman"/>
                <w:b/>
                <w:color w:val="auto"/>
                <w:szCs w:val="20"/>
                <w:lang w:val="en-US"/>
              </w:rPr>
            </w:pPr>
            <w:r w:rsidRPr="004E2138">
              <w:rPr>
                <w:rFonts w:eastAsia="Calibri" w:cs="Times New Roman"/>
                <w:b/>
                <w:color w:val="auto"/>
                <w:szCs w:val="20"/>
                <w:lang w:val="en-US"/>
              </w:rPr>
              <w:t xml:space="preserve">Lost Productivity Opportunity* </w:t>
            </w:r>
          </w:p>
        </w:tc>
        <w:tc>
          <w:tcPr>
            <w:tcW w:w="1854" w:type="dxa"/>
          </w:tcPr>
          <w:p w:rsidR="004E2138" w:rsidRPr="004E2138" w:rsidRDefault="004E2138" w:rsidP="004E2138">
            <w:pPr>
              <w:cnfStyle w:val="100000000000"/>
              <w:rPr>
                <w:rFonts w:eastAsia="Calibri" w:cs="Times New Roman"/>
                <w:b/>
                <w:color w:val="auto"/>
                <w:szCs w:val="20"/>
                <w:lang w:val="en-US"/>
              </w:rPr>
            </w:pPr>
            <w:r w:rsidRPr="004E2138">
              <w:rPr>
                <w:rFonts w:eastAsia="Calibri" w:cs="Times New Roman"/>
                <w:b/>
                <w:color w:val="auto"/>
                <w:szCs w:val="20"/>
                <w:lang w:val="en-US"/>
              </w:rPr>
              <w:t>Avoidable</w:t>
            </w:r>
            <w:r w:rsidRPr="004E2138">
              <w:rPr>
                <w:rFonts w:eastAsia="Calibri" w:cs="Times New Roman"/>
                <w:b/>
                <w:color w:val="auto"/>
                <w:szCs w:val="20"/>
                <w:lang w:val="en-US"/>
              </w:rPr>
              <w:br/>
              <w:t>Recruitment</w:t>
            </w:r>
            <w:r w:rsidRPr="004E2138">
              <w:rPr>
                <w:rFonts w:eastAsia="Calibri" w:cs="Times New Roman"/>
                <w:b/>
                <w:color w:val="auto"/>
                <w:szCs w:val="20"/>
                <w:lang w:val="en-US"/>
              </w:rPr>
              <w:br/>
              <w:t>Costs*</w:t>
            </w:r>
          </w:p>
        </w:tc>
        <w:tc>
          <w:tcPr>
            <w:tcW w:w="1342" w:type="dxa"/>
          </w:tcPr>
          <w:p w:rsidR="004E2138" w:rsidRPr="004E2138" w:rsidRDefault="004E2138" w:rsidP="004E2138">
            <w:pPr>
              <w:cnfStyle w:val="100000000000"/>
              <w:rPr>
                <w:rFonts w:eastAsia="Calibri" w:cs="Times New Roman"/>
                <w:b/>
                <w:color w:val="auto"/>
                <w:szCs w:val="20"/>
                <w:lang w:val="en-US"/>
              </w:rPr>
            </w:pPr>
            <w:r w:rsidRPr="004E2138">
              <w:rPr>
                <w:rFonts w:eastAsia="Calibri" w:cs="Times New Roman"/>
                <w:b/>
                <w:color w:val="auto"/>
                <w:szCs w:val="20"/>
                <w:lang w:val="en-US"/>
              </w:rPr>
              <w:t>Size of the prize*</w:t>
            </w:r>
          </w:p>
        </w:tc>
      </w:tr>
      <w:tr w:rsidR="004E2138" w:rsidRPr="004E2138" w:rsidTr="00172124">
        <w:trPr>
          <w:cnfStyle w:val="000000100000"/>
          <w:trHeight w:val="170"/>
          <w:jc w:val="center"/>
        </w:trPr>
        <w:tc>
          <w:tcPr>
            <w:cnfStyle w:val="001000000000"/>
            <w:tcW w:w="632" w:type="dxa"/>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1</w:t>
            </w:r>
          </w:p>
        </w:tc>
        <w:tc>
          <w:tcPr>
            <w:tcW w:w="1625"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Netherlands</w:t>
            </w:r>
          </w:p>
        </w:tc>
        <w:tc>
          <w:tcPr>
            <w:tcW w:w="1234"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85</w:t>
            </w:r>
          </w:p>
        </w:tc>
        <w:tc>
          <w:tcPr>
            <w:tcW w:w="1472"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w:t>
            </w:r>
          </w:p>
        </w:tc>
        <w:tc>
          <w:tcPr>
            <w:tcW w:w="1854"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w:t>
            </w:r>
          </w:p>
        </w:tc>
        <w:tc>
          <w:tcPr>
            <w:tcW w:w="1342" w:type="dxa"/>
          </w:tcPr>
          <w:p w:rsidR="004E2138" w:rsidRPr="004E2138" w:rsidRDefault="004E2138" w:rsidP="004E2138">
            <w:pPr>
              <w:cnfStyle w:val="000000100000"/>
              <w:rPr>
                <w:rFonts w:eastAsia="Calibri" w:cs="Times New Roman"/>
                <w:b/>
                <w:color w:val="auto"/>
                <w:szCs w:val="20"/>
                <w:lang w:val="en-US"/>
              </w:rPr>
            </w:pPr>
            <w:r w:rsidRPr="004E2138">
              <w:rPr>
                <w:rFonts w:eastAsia="Calibri" w:cs="Times New Roman"/>
                <w:b/>
                <w:color w:val="auto"/>
                <w:szCs w:val="20"/>
                <w:lang w:val="en-US"/>
              </w:rPr>
              <w:t>-</w:t>
            </w:r>
          </w:p>
        </w:tc>
      </w:tr>
      <w:tr w:rsidR="004E2138" w:rsidRPr="004E2138" w:rsidTr="00172124">
        <w:trPr>
          <w:trHeight w:val="170"/>
          <w:jc w:val="center"/>
        </w:trPr>
        <w:tc>
          <w:tcPr>
            <w:cnfStyle w:val="001000000000"/>
            <w:tcW w:w="632" w:type="dxa"/>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2</w:t>
            </w:r>
          </w:p>
        </w:tc>
        <w:tc>
          <w:tcPr>
            <w:tcW w:w="1625"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UK</w:t>
            </w:r>
          </w:p>
        </w:tc>
        <w:tc>
          <w:tcPr>
            <w:tcW w:w="1234"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67</w:t>
            </w:r>
          </w:p>
        </w:tc>
        <w:tc>
          <w:tcPr>
            <w:tcW w:w="1472"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1.44 billion</w:t>
            </w:r>
          </w:p>
        </w:tc>
        <w:tc>
          <w:tcPr>
            <w:tcW w:w="1854"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0.43 billion</w:t>
            </w:r>
          </w:p>
        </w:tc>
        <w:tc>
          <w:tcPr>
            <w:tcW w:w="1342" w:type="dxa"/>
          </w:tcPr>
          <w:p w:rsidR="004E2138" w:rsidRPr="004E2138" w:rsidRDefault="004E2138" w:rsidP="004E2138">
            <w:pPr>
              <w:cnfStyle w:val="000000000000"/>
              <w:rPr>
                <w:rFonts w:eastAsia="Calibri" w:cs="Times New Roman"/>
                <w:b/>
                <w:color w:val="auto"/>
                <w:szCs w:val="20"/>
                <w:lang w:val="en-US"/>
              </w:rPr>
            </w:pPr>
            <w:r w:rsidRPr="004E2138">
              <w:rPr>
                <w:rFonts w:eastAsia="Calibri" w:cs="Times New Roman"/>
                <w:b/>
                <w:color w:val="auto"/>
                <w:szCs w:val="20"/>
                <w:lang w:val="en-US"/>
              </w:rPr>
              <w:t>1.87</w:t>
            </w:r>
          </w:p>
        </w:tc>
      </w:tr>
      <w:tr w:rsidR="004E2138" w:rsidRPr="004E2138" w:rsidTr="00172124">
        <w:trPr>
          <w:cnfStyle w:val="000000100000"/>
          <w:trHeight w:val="170"/>
          <w:jc w:val="center"/>
        </w:trPr>
        <w:tc>
          <w:tcPr>
            <w:cnfStyle w:val="001000000000"/>
            <w:tcW w:w="632" w:type="dxa"/>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3</w:t>
            </w:r>
          </w:p>
        </w:tc>
        <w:tc>
          <w:tcPr>
            <w:tcW w:w="1625"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Canada</w:t>
            </w:r>
          </w:p>
        </w:tc>
        <w:tc>
          <w:tcPr>
            <w:tcW w:w="1234"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61</w:t>
            </w:r>
          </w:p>
        </w:tc>
        <w:tc>
          <w:tcPr>
            <w:tcW w:w="1472"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1.86 billion</w:t>
            </w:r>
          </w:p>
        </w:tc>
        <w:tc>
          <w:tcPr>
            <w:tcW w:w="1854"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0.11 billion</w:t>
            </w:r>
          </w:p>
        </w:tc>
        <w:tc>
          <w:tcPr>
            <w:tcW w:w="1342" w:type="dxa"/>
          </w:tcPr>
          <w:p w:rsidR="004E2138" w:rsidRPr="004E2138" w:rsidRDefault="004E2138" w:rsidP="004E2138">
            <w:pPr>
              <w:cnfStyle w:val="000000100000"/>
              <w:rPr>
                <w:rFonts w:eastAsia="Calibri" w:cs="Times New Roman"/>
                <w:b/>
                <w:color w:val="auto"/>
                <w:szCs w:val="20"/>
                <w:lang w:val="en-US"/>
              </w:rPr>
            </w:pPr>
            <w:r w:rsidRPr="004E2138">
              <w:rPr>
                <w:rFonts w:eastAsia="Calibri" w:cs="Times New Roman"/>
                <w:b/>
                <w:color w:val="auto"/>
                <w:szCs w:val="20"/>
                <w:lang w:val="en-US"/>
              </w:rPr>
              <w:t>1.98</w:t>
            </w:r>
          </w:p>
        </w:tc>
      </w:tr>
      <w:tr w:rsidR="004E2138" w:rsidRPr="004E2138" w:rsidTr="00172124">
        <w:trPr>
          <w:trHeight w:val="170"/>
          <w:jc w:val="center"/>
        </w:trPr>
        <w:tc>
          <w:tcPr>
            <w:cnfStyle w:val="001000000000"/>
            <w:tcW w:w="632" w:type="dxa"/>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4</w:t>
            </w:r>
          </w:p>
        </w:tc>
        <w:tc>
          <w:tcPr>
            <w:tcW w:w="1625"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Singapore</w:t>
            </w:r>
          </w:p>
        </w:tc>
        <w:tc>
          <w:tcPr>
            <w:tcW w:w="1234"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57</w:t>
            </w:r>
          </w:p>
        </w:tc>
        <w:tc>
          <w:tcPr>
            <w:tcW w:w="1472"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0.22 billion</w:t>
            </w:r>
          </w:p>
        </w:tc>
        <w:tc>
          <w:tcPr>
            <w:tcW w:w="1854" w:type="dxa"/>
          </w:tcPr>
          <w:p w:rsidR="004E2138" w:rsidRPr="004E2138" w:rsidRDefault="00B812D3" w:rsidP="00B812D3">
            <w:pPr>
              <w:cnfStyle w:val="000000000000"/>
              <w:rPr>
                <w:rFonts w:eastAsia="Calibri" w:cs="Times New Roman"/>
                <w:color w:val="auto"/>
                <w:szCs w:val="20"/>
                <w:lang w:val="en-US"/>
              </w:rPr>
            </w:pPr>
            <w:r>
              <w:rPr>
                <w:rFonts w:eastAsia="Calibri" w:cs="Times New Roman"/>
                <w:color w:val="auto"/>
                <w:szCs w:val="20"/>
                <w:lang w:val="en-US"/>
              </w:rPr>
              <w:t>0.06</w:t>
            </w:r>
            <w:r w:rsidR="004E2138" w:rsidRPr="004E2138">
              <w:rPr>
                <w:rFonts w:eastAsia="Calibri" w:cs="Times New Roman"/>
                <w:color w:val="auto"/>
                <w:szCs w:val="20"/>
                <w:lang w:val="en-US"/>
              </w:rPr>
              <w:t xml:space="preserve"> billion</w:t>
            </w:r>
          </w:p>
        </w:tc>
        <w:tc>
          <w:tcPr>
            <w:tcW w:w="1342" w:type="dxa"/>
          </w:tcPr>
          <w:p w:rsidR="004E2138" w:rsidRPr="004E2138" w:rsidRDefault="004E2138" w:rsidP="004E2138">
            <w:pPr>
              <w:cnfStyle w:val="000000000000"/>
              <w:rPr>
                <w:rFonts w:eastAsia="Calibri" w:cs="Times New Roman"/>
                <w:b/>
                <w:color w:val="auto"/>
                <w:szCs w:val="20"/>
                <w:lang w:val="en-US"/>
              </w:rPr>
            </w:pPr>
            <w:r w:rsidRPr="004E2138">
              <w:rPr>
                <w:rFonts w:eastAsia="Calibri" w:cs="Times New Roman"/>
                <w:b/>
                <w:color w:val="auto"/>
                <w:szCs w:val="20"/>
                <w:lang w:val="en-US"/>
              </w:rPr>
              <w:t>0.29</w:t>
            </w:r>
          </w:p>
        </w:tc>
      </w:tr>
      <w:tr w:rsidR="004E2138" w:rsidRPr="004E2138" w:rsidTr="00172124">
        <w:trPr>
          <w:cnfStyle w:val="000000100000"/>
          <w:trHeight w:val="170"/>
          <w:jc w:val="center"/>
        </w:trPr>
        <w:tc>
          <w:tcPr>
            <w:cnfStyle w:val="001000000000"/>
            <w:tcW w:w="632" w:type="dxa"/>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5</w:t>
            </w:r>
          </w:p>
        </w:tc>
        <w:tc>
          <w:tcPr>
            <w:tcW w:w="1625"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US</w:t>
            </w:r>
          </w:p>
        </w:tc>
        <w:tc>
          <w:tcPr>
            <w:tcW w:w="1234"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57</w:t>
            </w:r>
          </w:p>
        </w:tc>
        <w:tc>
          <w:tcPr>
            <w:tcW w:w="1472"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29.34 billion</w:t>
            </w:r>
          </w:p>
        </w:tc>
        <w:tc>
          <w:tcPr>
            <w:tcW w:w="1854"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2.37 billion</w:t>
            </w:r>
          </w:p>
        </w:tc>
        <w:tc>
          <w:tcPr>
            <w:tcW w:w="1342" w:type="dxa"/>
          </w:tcPr>
          <w:p w:rsidR="004E2138" w:rsidRPr="004E2138" w:rsidRDefault="004E2138" w:rsidP="004E2138">
            <w:pPr>
              <w:cnfStyle w:val="000000100000"/>
              <w:rPr>
                <w:rFonts w:eastAsia="Calibri" w:cs="Times New Roman"/>
                <w:b/>
                <w:color w:val="auto"/>
                <w:szCs w:val="20"/>
                <w:lang w:val="en-US"/>
              </w:rPr>
            </w:pPr>
            <w:r w:rsidRPr="004E2138">
              <w:rPr>
                <w:rFonts w:eastAsia="Calibri" w:cs="Times New Roman"/>
                <w:b/>
                <w:color w:val="auto"/>
                <w:szCs w:val="20"/>
                <w:lang w:val="en-US"/>
              </w:rPr>
              <w:t>31.71</w:t>
            </w:r>
          </w:p>
        </w:tc>
      </w:tr>
      <w:tr w:rsidR="004E2138" w:rsidRPr="004E2138" w:rsidTr="00172124">
        <w:trPr>
          <w:trHeight w:val="170"/>
          <w:jc w:val="center"/>
        </w:trPr>
        <w:tc>
          <w:tcPr>
            <w:cnfStyle w:val="001000000000"/>
            <w:tcW w:w="632" w:type="dxa"/>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6</w:t>
            </w:r>
          </w:p>
        </w:tc>
        <w:tc>
          <w:tcPr>
            <w:tcW w:w="1625"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Australia</w:t>
            </w:r>
          </w:p>
        </w:tc>
        <w:tc>
          <w:tcPr>
            <w:tcW w:w="1234"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52</w:t>
            </w:r>
          </w:p>
        </w:tc>
        <w:tc>
          <w:tcPr>
            <w:tcW w:w="1472"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3.65 billion</w:t>
            </w:r>
          </w:p>
        </w:tc>
        <w:tc>
          <w:tcPr>
            <w:tcW w:w="1854"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0.37 billion</w:t>
            </w:r>
          </w:p>
        </w:tc>
        <w:tc>
          <w:tcPr>
            <w:tcW w:w="1342" w:type="dxa"/>
          </w:tcPr>
          <w:p w:rsidR="004E2138" w:rsidRPr="004E2138" w:rsidRDefault="004E2138" w:rsidP="004E2138">
            <w:pPr>
              <w:cnfStyle w:val="000000000000"/>
              <w:rPr>
                <w:rFonts w:eastAsia="Calibri" w:cs="Times New Roman"/>
                <w:b/>
                <w:color w:val="auto"/>
                <w:szCs w:val="20"/>
                <w:lang w:val="en-US"/>
              </w:rPr>
            </w:pPr>
            <w:r w:rsidRPr="004E2138">
              <w:rPr>
                <w:rFonts w:eastAsia="Calibri" w:cs="Times New Roman"/>
                <w:b/>
                <w:color w:val="auto"/>
                <w:szCs w:val="20"/>
                <w:lang w:val="en-US"/>
              </w:rPr>
              <w:t>4.02</w:t>
            </w:r>
          </w:p>
        </w:tc>
      </w:tr>
      <w:tr w:rsidR="004E2138" w:rsidRPr="004E2138" w:rsidTr="00172124">
        <w:trPr>
          <w:cnfStyle w:val="000000100000"/>
          <w:trHeight w:val="170"/>
          <w:jc w:val="center"/>
        </w:trPr>
        <w:tc>
          <w:tcPr>
            <w:cnfStyle w:val="001000000000"/>
            <w:tcW w:w="632" w:type="dxa"/>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7</w:t>
            </w:r>
          </w:p>
        </w:tc>
        <w:tc>
          <w:tcPr>
            <w:tcW w:w="1625"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France</w:t>
            </w:r>
          </w:p>
        </w:tc>
        <w:tc>
          <w:tcPr>
            <w:tcW w:w="1234"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41</w:t>
            </w:r>
          </w:p>
        </w:tc>
        <w:tc>
          <w:tcPr>
            <w:tcW w:w="1472"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3.23 billion</w:t>
            </w:r>
          </w:p>
        </w:tc>
        <w:tc>
          <w:tcPr>
            <w:tcW w:w="1854"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n/a billion</w:t>
            </w:r>
          </w:p>
        </w:tc>
        <w:tc>
          <w:tcPr>
            <w:tcW w:w="1342" w:type="dxa"/>
          </w:tcPr>
          <w:p w:rsidR="004E2138" w:rsidRPr="004E2138" w:rsidRDefault="004E2138" w:rsidP="004E2138">
            <w:pPr>
              <w:cnfStyle w:val="000000100000"/>
              <w:rPr>
                <w:rFonts w:eastAsia="Calibri" w:cs="Times New Roman"/>
                <w:b/>
                <w:color w:val="auto"/>
                <w:szCs w:val="20"/>
                <w:lang w:val="en-US"/>
              </w:rPr>
            </w:pPr>
            <w:r w:rsidRPr="004E2138">
              <w:rPr>
                <w:rFonts w:eastAsia="Calibri" w:cs="Times New Roman"/>
                <w:b/>
                <w:color w:val="auto"/>
                <w:szCs w:val="20"/>
                <w:lang w:val="en-US"/>
              </w:rPr>
              <w:t>3.23</w:t>
            </w:r>
          </w:p>
        </w:tc>
      </w:tr>
      <w:tr w:rsidR="004E2138" w:rsidRPr="004E2138" w:rsidTr="00172124">
        <w:trPr>
          <w:trHeight w:val="170"/>
          <w:jc w:val="center"/>
        </w:trPr>
        <w:tc>
          <w:tcPr>
            <w:cnfStyle w:val="001000000000"/>
            <w:tcW w:w="632" w:type="dxa"/>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8</w:t>
            </w:r>
          </w:p>
        </w:tc>
        <w:tc>
          <w:tcPr>
            <w:tcW w:w="1625"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Germany</w:t>
            </w:r>
          </w:p>
        </w:tc>
        <w:tc>
          <w:tcPr>
            <w:tcW w:w="1234"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39</w:t>
            </w:r>
          </w:p>
        </w:tc>
        <w:tc>
          <w:tcPr>
            <w:tcW w:w="1472"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4.92 billion</w:t>
            </w:r>
          </w:p>
        </w:tc>
        <w:tc>
          <w:tcPr>
            <w:tcW w:w="1854"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n/a billion</w:t>
            </w:r>
          </w:p>
        </w:tc>
        <w:tc>
          <w:tcPr>
            <w:tcW w:w="1342" w:type="dxa"/>
          </w:tcPr>
          <w:p w:rsidR="004E2138" w:rsidRPr="004E2138" w:rsidRDefault="004E2138" w:rsidP="004E2138">
            <w:pPr>
              <w:cnfStyle w:val="000000000000"/>
              <w:rPr>
                <w:rFonts w:eastAsia="Calibri" w:cs="Times New Roman"/>
                <w:b/>
                <w:color w:val="auto"/>
                <w:szCs w:val="20"/>
                <w:lang w:val="en-US"/>
              </w:rPr>
            </w:pPr>
            <w:r w:rsidRPr="004E2138">
              <w:rPr>
                <w:rFonts w:eastAsia="Calibri" w:cs="Times New Roman"/>
                <w:b/>
                <w:color w:val="auto"/>
                <w:szCs w:val="20"/>
                <w:lang w:val="en-US"/>
              </w:rPr>
              <w:t>4.92</w:t>
            </w:r>
          </w:p>
        </w:tc>
      </w:tr>
      <w:tr w:rsidR="004E2138" w:rsidRPr="004E2138" w:rsidTr="00172124">
        <w:trPr>
          <w:cnfStyle w:val="000000100000"/>
          <w:trHeight w:val="170"/>
          <w:jc w:val="center"/>
        </w:trPr>
        <w:tc>
          <w:tcPr>
            <w:cnfStyle w:val="001000000000"/>
            <w:tcW w:w="632" w:type="dxa"/>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9</w:t>
            </w:r>
          </w:p>
        </w:tc>
        <w:tc>
          <w:tcPr>
            <w:tcW w:w="1625"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Brazil</w:t>
            </w:r>
          </w:p>
        </w:tc>
        <w:tc>
          <w:tcPr>
            <w:tcW w:w="1234"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36</w:t>
            </w:r>
          </w:p>
        </w:tc>
        <w:tc>
          <w:tcPr>
            <w:tcW w:w="1472"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11.71 billion</w:t>
            </w:r>
          </w:p>
        </w:tc>
        <w:tc>
          <w:tcPr>
            <w:tcW w:w="1854" w:type="dxa"/>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0.07 billion</w:t>
            </w:r>
          </w:p>
        </w:tc>
        <w:tc>
          <w:tcPr>
            <w:tcW w:w="1342" w:type="dxa"/>
          </w:tcPr>
          <w:p w:rsidR="004E2138" w:rsidRPr="004E2138" w:rsidRDefault="004E2138" w:rsidP="004E2138">
            <w:pPr>
              <w:cnfStyle w:val="000000100000"/>
              <w:rPr>
                <w:rFonts w:eastAsia="Calibri" w:cs="Times New Roman"/>
                <w:b/>
                <w:color w:val="auto"/>
                <w:szCs w:val="20"/>
                <w:lang w:val="en-US"/>
              </w:rPr>
            </w:pPr>
            <w:r w:rsidRPr="004E2138">
              <w:rPr>
                <w:rFonts w:eastAsia="Calibri" w:cs="Times New Roman"/>
                <w:b/>
                <w:color w:val="auto"/>
                <w:szCs w:val="20"/>
                <w:lang w:val="en-US"/>
              </w:rPr>
              <w:t>11.77</w:t>
            </w:r>
          </w:p>
        </w:tc>
      </w:tr>
      <w:tr w:rsidR="004E2138" w:rsidRPr="004E2138" w:rsidTr="00172124">
        <w:trPr>
          <w:trHeight w:val="170"/>
          <w:jc w:val="center"/>
        </w:trPr>
        <w:tc>
          <w:tcPr>
            <w:cnfStyle w:val="001000000000"/>
            <w:tcW w:w="632" w:type="dxa"/>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10</w:t>
            </w:r>
          </w:p>
        </w:tc>
        <w:tc>
          <w:tcPr>
            <w:tcW w:w="1625"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India</w:t>
            </w:r>
          </w:p>
        </w:tc>
        <w:tc>
          <w:tcPr>
            <w:tcW w:w="1234"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34</w:t>
            </w:r>
          </w:p>
        </w:tc>
        <w:tc>
          <w:tcPr>
            <w:tcW w:w="1472"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8.61 billion</w:t>
            </w:r>
          </w:p>
        </w:tc>
        <w:tc>
          <w:tcPr>
            <w:tcW w:w="1854" w:type="dxa"/>
          </w:tcPr>
          <w:p w:rsidR="004E2138" w:rsidRPr="004E2138" w:rsidRDefault="004E2138" w:rsidP="004E2138">
            <w:pPr>
              <w:cnfStyle w:val="000000000000"/>
              <w:rPr>
                <w:rFonts w:eastAsia="Calibri" w:cs="Times New Roman"/>
                <w:color w:val="auto"/>
                <w:szCs w:val="20"/>
                <w:lang w:val="en-US"/>
              </w:rPr>
            </w:pPr>
            <w:r w:rsidRPr="004E2138">
              <w:rPr>
                <w:rFonts w:eastAsia="Calibri" w:cs="Times New Roman"/>
                <w:color w:val="auto"/>
                <w:szCs w:val="20"/>
                <w:lang w:val="en-US"/>
              </w:rPr>
              <w:t>0.38 billion</w:t>
            </w:r>
          </w:p>
        </w:tc>
        <w:tc>
          <w:tcPr>
            <w:tcW w:w="1342" w:type="dxa"/>
          </w:tcPr>
          <w:p w:rsidR="004E2138" w:rsidRPr="004E2138" w:rsidRDefault="004E2138" w:rsidP="004E2138">
            <w:pPr>
              <w:cnfStyle w:val="000000000000"/>
              <w:rPr>
                <w:rFonts w:eastAsia="Calibri" w:cs="Times New Roman"/>
                <w:b/>
                <w:color w:val="auto"/>
                <w:szCs w:val="20"/>
                <w:lang w:val="en-US"/>
              </w:rPr>
            </w:pPr>
            <w:r w:rsidRPr="004E2138">
              <w:rPr>
                <w:rFonts w:eastAsia="Calibri" w:cs="Times New Roman"/>
                <w:b/>
                <w:color w:val="auto"/>
                <w:szCs w:val="20"/>
                <w:lang w:val="en-US"/>
              </w:rPr>
              <w:t>8.99</w:t>
            </w:r>
          </w:p>
        </w:tc>
      </w:tr>
      <w:tr w:rsidR="004E2138" w:rsidRPr="004E2138" w:rsidTr="00172124">
        <w:trPr>
          <w:cnfStyle w:val="000000100000"/>
          <w:trHeight w:val="170"/>
          <w:jc w:val="center"/>
        </w:trPr>
        <w:tc>
          <w:tcPr>
            <w:cnfStyle w:val="001000000000"/>
            <w:tcW w:w="632" w:type="dxa"/>
            <w:tcBorders>
              <w:bottom w:val="single" w:sz="18" w:space="0" w:color="auto"/>
            </w:tcBorders>
          </w:tcPr>
          <w:p w:rsidR="004E2138" w:rsidRPr="004E2138" w:rsidRDefault="004E2138" w:rsidP="004E2138">
            <w:pPr>
              <w:rPr>
                <w:rFonts w:eastAsia="Calibri" w:cs="Times New Roman"/>
                <w:color w:val="auto"/>
                <w:szCs w:val="20"/>
                <w:lang w:val="en-US"/>
              </w:rPr>
            </w:pPr>
            <w:r w:rsidRPr="004E2138">
              <w:rPr>
                <w:rFonts w:eastAsia="Calibri" w:cs="Times New Roman"/>
                <w:color w:val="auto"/>
                <w:szCs w:val="20"/>
                <w:lang w:val="en-US"/>
              </w:rPr>
              <w:t>11</w:t>
            </w:r>
          </w:p>
        </w:tc>
        <w:tc>
          <w:tcPr>
            <w:tcW w:w="1625" w:type="dxa"/>
            <w:tcBorders>
              <w:bottom w:val="single" w:sz="18" w:space="0" w:color="auto"/>
            </w:tcBorders>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China</w:t>
            </w:r>
          </w:p>
        </w:tc>
        <w:tc>
          <w:tcPr>
            <w:tcW w:w="1234" w:type="dxa"/>
            <w:tcBorders>
              <w:bottom w:val="single" w:sz="18" w:space="0" w:color="auto"/>
            </w:tcBorders>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23</w:t>
            </w:r>
          </w:p>
        </w:tc>
        <w:tc>
          <w:tcPr>
            <w:tcW w:w="1472" w:type="dxa"/>
            <w:tcBorders>
              <w:bottom w:val="single" w:sz="18" w:space="0" w:color="auto"/>
            </w:tcBorders>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65.58 billion</w:t>
            </w:r>
          </w:p>
        </w:tc>
        <w:tc>
          <w:tcPr>
            <w:tcW w:w="1854" w:type="dxa"/>
            <w:tcBorders>
              <w:bottom w:val="single" w:sz="18" w:space="0" w:color="auto"/>
            </w:tcBorders>
          </w:tcPr>
          <w:p w:rsidR="004E2138" w:rsidRPr="004E2138" w:rsidRDefault="004E2138" w:rsidP="004E2138">
            <w:pPr>
              <w:cnfStyle w:val="000000100000"/>
              <w:rPr>
                <w:rFonts w:eastAsia="Calibri" w:cs="Times New Roman"/>
                <w:color w:val="auto"/>
                <w:szCs w:val="20"/>
                <w:lang w:val="en-US"/>
              </w:rPr>
            </w:pPr>
            <w:r w:rsidRPr="004E2138">
              <w:rPr>
                <w:rFonts w:eastAsia="Calibri" w:cs="Times New Roman"/>
                <w:color w:val="auto"/>
                <w:szCs w:val="20"/>
                <w:lang w:val="en-US"/>
              </w:rPr>
              <w:t>16.02 billion</w:t>
            </w:r>
          </w:p>
        </w:tc>
        <w:tc>
          <w:tcPr>
            <w:tcW w:w="1342" w:type="dxa"/>
            <w:tcBorders>
              <w:bottom w:val="single" w:sz="18" w:space="0" w:color="auto"/>
            </w:tcBorders>
          </w:tcPr>
          <w:p w:rsidR="004E2138" w:rsidRPr="004E2138" w:rsidRDefault="004E2138" w:rsidP="004E2138">
            <w:pPr>
              <w:cnfStyle w:val="000000100000"/>
              <w:rPr>
                <w:rFonts w:eastAsia="Calibri" w:cs="Times New Roman"/>
                <w:b/>
                <w:color w:val="auto"/>
                <w:szCs w:val="20"/>
                <w:lang w:val="en-US"/>
              </w:rPr>
            </w:pPr>
            <w:r w:rsidRPr="004E2138">
              <w:rPr>
                <w:rFonts w:eastAsia="Calibri" w:cs="Times New Roman"/>
                <w:b/>
                <w:color w:val="auto"/>
                <w:szCs w:val="20"/>
                <w:lang w:val="en-US"/>
              </w:rPr>
              <w:t>81.61</w:t>
            </w:r>
          </w:p>
        </w:tc>
      </w:tr>
      <w:tr w:rsidR="004E2138" w:rsidRPr="004E2138" w:rsidTr="00172124">
        <w:trPr>
          <w:trHeight w:val="170"/>
          <w:jc w:val="center"/>
        </w:trPr>
        <w:tc>
          <w:tcPr>
            <w:cnfStyle w:val="001000000000"/>
            <w:tcW w:w="632" w:type="dxa"/>
            <w:tcBorders>
              <w:bottom w:val="single" w:sz="18" w:space="0" w:color="auto"/>
            </w:tcBorders>
          </w:tcPr>
          <w:p w:rsidR="004E2138" w:rsidRPr="004E2138" w:rsidRDefault="004E2138" w:rsidP="004E2138">
            <w:pPr>
              <w:rPr>
                <w:rFonts w:eastAsia="Calibri" w:cs="Times New Roman"/>
                <w:b/>
                <w:color w:val="auto"/>
                <w:szCs w:val="20"/>
                <w:lang w:val="en-US"/>
              </w:rPr>
            </w:pPr>
          </w:p>
        </w:tc>
        <w:tc>
          <w:tcPr>
            <w:tcW w:w="1625" w:type="dxa"/>
            <w:tcBorders>
              <w:bottom w:val="single" w:sz="18" w:space="0" w:color="auto"/>
            </w:tcBorders>
          </w:tcPr>
          <w:p w:rsidR="004E2138" w:rsidRPr="004E2138" w:rsidRDefault="004E2138" w:rsidP="004E2138">
            <w:pPr>
              <w:cnfStyle w:val="000000000000"/>
              <w:rPr>
                <w:rFonts w:eastAsia="Calibri" w:cs="Times New Roman"/>
                <w:b/>
                <w:color w:val="auto"/>
                <w:szCs w:val="20"/>
                <w:lang w:val="en-US"/>
              </w:rPr>
            </w:pPr>
            <w:r w:rsidRPr="004E2138">
              <w:rPr>
                <w:rFonts w:eastAsia="Calibri" w:cs="Times New Roman"/>
                <w:b/>
                <w:color w:val="auto"/>
                <w:szCs w:val="20"/>
                <w:lang w:val="en-US"/>
              </w:rPr>
              <w:t>TOTAL</w:t>
            </w:r>
          </w:p>
        </w:tc>
        <w:tc>
          <w:tcPr>
            <w:tcW w:w="1234" w:type="dxa"/>
            <w:tcBorders>
              <w:bottom w:val="single" w:sz="18" w:space="0" w:color="auto"/>
            </w:tcBorders>
          </w:tcPr>
          <w:p w:rsidR="004E2138" w:rsidRPr="004E2138" w:rsidRDefault="004E2138" w:rsidP="004E2138">
            <w:pPr>
              <w:cnfStyle w:val="000000000000"/>
              <w:rPr>
                <w:rFonts w:eastAsia="Calibri" w:cs="Times New Roman"/>
                <w:b/>
                <w:color w:val="auto"/>
                <w:szCs w:val="20"/>
                <w:lang w:val="en-US"/>
              </w:rPr>
            </w:pPr>
            <w:r w:rsidRPr="004E2138">
              <w:rPr>
                <w:rFonts w:eastAsia="Calibri" w:cs="Times New Roman"/>
                <w:b/>
                <w:color w:val="auto"/>
                <w:szCs w:val="20"/>
                <w:lang w:val="en-US"/>
              </w:rPr>
              <w:t>-</w:t>
            </w:r>
          </w:p>
        </w:tc>
        <w:tc>
          <w:tcPr>
            <w:tcW w:w="1472" w:type="dxa"/>
            <w:tcBorders>
              <w:bottom w:val="single" w:sz="18" w:space="0" w:color="auto"/>
            </w:tcBorders>
          </w:tcPr>
          <w:p w:rsidR="004E2138" w:rsidRPr="004E2138" w:rsidRDefault="004E2138" w:rsidP="004E2138">
            <w:pPr>
              <w:cnfStyle w:val="000000000000"/>
              <w:rPr>
                <w:rFonts w:eastAsia="Calibri" w:cs="Times New Roman"/>
                <w:b/>
                <w:color w:val="auto"/>
                <w:szCs w:val="20"/>
                <w:lang w:val="en-US"/>
              </w:rPr>
            </w:pPr>
            <w:r w:rsidRPr="004E2138">
              <w:rPr>
                <w:rFonts w:eastAsia="Calibri" w:cs="Times New Roman"/>
                <w:b/>
                <w:color w:val="auto"/>
                <w:szCs w:val="20"/>
                <w:lang w:val="en-US"/>
              </w:rPr>
              <w:t>130.56</w:t>
            </w:r>
          </w:p>
        </w:tc>
        <w:tc>
          <w:tcPr>
            <w:tcW w:w="1854" w:type="dxa"/>
            <w:tcBorders>
              <w:bottom w:val="single" w:sz="18" w:space="0" w:color="auto"/>
            </w:tcBorders>
          </w:tcPr>
          <w:p w:rsidR="004E2138" w:rsidRPr="004E2138" w:rsidRDefault="004E2138" w:rsidP="004E2138">
            <w:pPr>
              <w:cnfStyle w:val="000000000000"/>
              <w:rPr>
                <w:rFonts w:eastAsia="Calibri" w:cs="Times New Roman"/>
                <w:b/>
                <w:color w:val="auto"/>
                <w:szCs w:val="20"/>
                <w:lang w:val="en-US"/>
              </w:rPr>
            </w:pPr>
            <w:r w:rsidRPr="004E2138">
              <w:rPr>
                <w:rFonts w:eastAsia="Calibri" w:cs="Times New Roman"/>
                <w:b/>
                <w:color w:val="auto"/>
                <w:szCs w:val="20"/>
                <w:lang w:val="en-US"/>
              </w:rPr>
              <w:t>19.81</w:t>
            </w:r>
          </w:p>
        </w:tc>
        <w:tc>
          <w:tcPr>
            <w:tcW w:w="1342" w:type="dxa"/>
            <w:tcBorders>
              <w:bottom w:val="single" w:sz="18" w:space="0" w:color="auto"/>
            </w:tcBorders>
          </w:tcPr>
          <w:p w:rsidR="004E2138" w:rsidRPr="004E2138" w:rsidRDefault="004E2138" w:rsidP="004E2138">
            <w:pPr>
              <w:cnfStyle w:val="000000000000"/>
              <w:rPr>
                <w:rFonts w:eastAsia="Calibri" w:cs="Times New Roman"/>
                <w:b/>
                <w:color w:val="auto"/>
                <w:szCs w:val="20"/>
                <w:lang w:val="en-US"/>
              </w:rPr>
            </w:pPr>
            <w:r w:rsidRPr="004E2138">
              <w:rPr>
                <w:rFonts w:eastAsia="Calibri" w:cs="Times New Roman"/>
                <w:b/>
                <w:color w:val="auto"/>
                <w:szCs w:val="20"/>
                <w:lang w:val="en-US"/>
              </w:rPr>
              <w:t>150.38</w:t>
            </w:r>
          </w:p>
        </w:tc>
      </w:tr>
    </w:tbl>
    <w:p w:rsidR="004E2138" w:rsidRPr="004E2138" w:rsidRDefault="004E2138" w:rsidP="004E2138">
      <w:pPr>
        <w:rPr>
          <w:szCs w:val="20"/>
          <w:lang w:val="en-US"/>
        </w:rPr>
      </w:pPr>
    </w:p>
    <w:p w:rsidR="004E2138" w:rsidRPr="004E2138" w:rsidRDefault="004E2138" w:rsidP="004E2138">
      <w:pPr>
        <w:rPr>
          <w:szCs w:val="20"/>
          <w:lang w:val="en-US"/>
        </w:rPr>
      </w:pPr>
      <w:r w:rsidRPr="004E2138">
        <w:rPr>
          <w:szCs w:val="20"/>
          <w:lang w:val="en-US"/>
        </w:rPr>
        <w:t>*all figures USD$</w:t>
      </w:r>
      <w:r w:rsidRPr="004E2138">
        <w:rPr>
          <w:szCs w:val="20"/>
          <w:lang w:val="en-US"/>
        </w:rPr>
        <w:br/>
        <w:t>**scores are relative (a score of 100 would mean a #1 rank in each of five variables)</w:t>
      </w:r>
    </w:p>
    <w:p w:rsidR="004E2138" w:rsidRPr="004E2138" w:rsidRDefault="004E2138" w:rsidP="004E2138">
      <w:pPr>
        <w:rPr>
          <w:b/>
          <w:i/>
          <w:szCs w:val="20"/>
          <w:u w:val="single"/>
        </w:rPr>
      </w:pPr>
    </w:p>
    <w:p w:rsidR="004E2138" w:rsidRPr="004E2138" w:rsidRDefault="004E2138" w:rsidP="00FC2E62">
      <w:pPr>
        <w:spacing w:line="240" w:lineRule="auto"/>
        <w:rPr>
          <w:b/>
          <w:i/>
          <w:szCs w:val="20"/>
          <w:u w:val="single"/>
        </w:rPr>
      </w:pPr>
      <w:r w:rsidRPr="000544D9">
        <w:rPr>
          <w:b/>
          <w:i/>
          <w:szCs w:val="20"/>
        </w:rPr>
        <w:t>Recommendations for professionals, employers, educators and governments:</w:t>
      </w:r>
    </w:p>
    <w:p w:rsidR="004E2138" w:rsidRDefault="004E2138" w:rsidP="004E2138">
      <w:pPr>
        <w:rPr>
          <w:b/>
          <w:i/>
          <w:szCs w:val="20"/>
          <w:lang w:val="en-US"/>
        </w:rPr>
      </w:pPr>
    </w:p>
    <w:p w:rsidR="004E2138" w:rsidRPr="004E2138" w:rsidRDefault="004E2138" w:rsidP="004E2138">
      <w:pPr>
        <w:rPr>
          <w:b/>
          <w:i/>
          <w:szCs w:val="20"/>
          <w:lang w:val="en-US"/>
        </w:rPr>
      </w:pPr>
      <w:r w:rsidRPr="004E2138">
        <w:rPr>
          <w:b/>
          <w:i/>
          <w:szCs w:val="20"/>
          <w:lang w:val="en-US"/>
        </w:rPr>
        <w:t>Professionals</w:t>
      </w:r>
    </w:p>
    <w:p w:rsidR="004E2138" w:rsidRPr="004E2138" w:rsidRDefault="004E2138" w:rsidP="004E2138">
      <w:pPr>
        <w:rPr>
          <w:szCs w:val="20"/>
          <w:lang w:val="en-US"/>
        </w:rPr>
      </w:pPr>
      <w:r w:rsidRPr="004E2138">
        <w:rPr>
          <w:szCs w:val="20"/>
          <w:lang w:val="en-US"/>
        </w:rPr>
        <w:t xml:space="preserve">The rise of social media and an increasingly connected global workforce means it’s never been easier for people to identify new opportunities, plan to develop the skills, and create a network that will allow them to transition into new roles. This could be as simple as staying up-to-speed with companies that might be hiring in your area, or identifying emerging sectors around the world that could present an opportunity for a dramatic career change. </w:t>
      </w:r>
    </w:p>
    <w:p w:rsidR="004E2138" w:rsidRDefault="004E2138" w:rsidP="004E2138">
      <w:pPr>
        <w:rPr>
          <w:b/>
          <w:i/>
          <w:szCs w:val="20"/>
          <w:lang w:val="en-US"/>
        </w:rPr>
      </w:pPr>
    </w:p>
    <w:p w:rsidR="004E2138" w:rsidRPr="004E2138" w:rsidRDefault="004E2138" w:rsidP="004E2138">
      <w:pPr>
        <w:rPr>
          <w:b/>
          <w:i/>
          <w:szCs w:val="20"/>
          <w:lang w:val="en-US"/>
        </w:rPr>
      </w:pPr>
      <w:r w:rsidRPr="004E2138">
        <w:rPr>
          <w:b/>
          <w:i/>
          <w:szCs w:val="20"/>
          <w:lang w:val="en-US"/>
        </w:rPr>
        <w:t>Employers</w:t>
      </w:r>
    </w:p>
    <w:p w:rsidR="004E2138" w:rsidRPr="004E2138" w:rsidRDefault="004E2138" w:rsidP="004E2138">
      <w:pPr>
        <w:rPr>
          <w:szCs w:val="20"/>
          <w:lang w:val="en-US"/>
        </w:rPr>
      </w:pPr>
      <w:r w:rsidRPr="004E2138">
        <w:rPr>
          <w:szCs w:val="20"/>
          <w:lang w:val="en-US"/>
        </w:rPr>
        <w:t xml:space="preserve">Talent is the number one factor in competitive success for business, and businesses need to move faster to adapt to new market forces. An existing mismatch of talent in the wrong roles creates a window of opportunity for employers able to identify and attract the right talent to their organisation. Social media has made it possible to identify all the relevant candidates – both active and passive – many of whom may not be doing the jobs they want. Employers should use </w:t>
      </w:r>
      <w:r w:rsidRPr="004E2138">
        <w:rPr>
          <w:bCs/>
          <w:szCs w:val="20"/>
          <w:lang w:val="en-US"/>
        </w:rPr>
        <w:t>talent analytics to identify the hard and soft skills that are central to the business strategy today and in the future, allowing them to hire strategically.</w:t>
      </w:r>
      <w:r w:rsidRPr="004E2138">
        <w:rPr>
          <w:b/>
          <w:bCs/>
          <w:szCs w:val="20"/>
          <w:lang w:val="en-US"/>
        </w:rPr>
        <w:t xml:space="preserve"> </w:t>
      </w:r>
    </w:p>
    <w:p w:rsidR="004E2138" w:rsidRPr="004E2138" w:rsidRDefault="004E2138" w:rsidP="004E2138">
      <w:pPr>
        <w:rPr>
          <w:b/>
          <w:i/>
          <w:szCs w:val="20"/>
          <w:lang w:val="en-US"/>
        </w:rPr>
      </w:pPr>
    </w:p>
    <w:p w:rsidR="004E2138" w:rsidRPr="004E2138" w:rsidRDefault="004E2138" w:rsidP="004E2138">
      <w:pPr>
        <w:rPr>
          <w:b/>
          <w:i/>
          <w:szCs w:val="20"/>
          <w:lang w:val="en-US"/>
        </w:rPr>
      </w:pPr>
      <w:r w:rsidRPr="004E2138">
        <w:rPr>
          <w:b/>
          <w:i/>
          <w:szCs w:val="20"/>
          <w:lang w:val="en-US"/>
        </w:rPr>
        <w:t>Educators</w:t>
      </w:r>
    </w:p>
    <w:p w:rsidR="004E2138" w:rsidRPr="004E2138" w:rsidRDefault="004E2138" w:rsidP="004E2138">
      <w:pPr>
        <w:rPr>
          <w:szCs w:val="20"/>
          <w:lang w:val="en-US"/>
        </w:rPr>
      </w:pPr>
      <w:r w:rsidRPr="004E2138">
        <w:rPr>
          <w:szCs w:val="20"/>
          <w:lang w:val="en-US"/>
        </w:rPr>
        <w:t xml:space="preserve">Education never stops, and educators should be looking at what skills are in growing demand and which jobs are emerging in the global workforce. They should then adapt curricula so students are equipped with relevant skills when they leave formal education. </w:t>
      </w:r>
    </w:p>
    <w:p w:rsidR="004E2138" w:rsidRPr="004E2138" w:rsidRDefault="004E2138" w:rsidP="004E2138">
      <w:pPr>
        <w:rPr>
          <w:b/>
          <w:i/>
          <w:szCs w:val="20"/>
          <w:lang w:val="en-US"/>
        </w:rPr>
      </w:pPr>
    </w:p>
    <w:p w:rsidR="004E2138" w:rsidRPr="004E2138" w:rsidRDefault="004E2138" w:rsidP="004E2138">
      <w:pPr>
        <w:rPr>
          <w:b/>
          <w:i/>
          <w:szCs w:val="20"/>
          <w:lang w:val="en-US"/>
        </w:rPr>
      </w:pPr>
      <w:r w:rsidRPr="004E2138">
        <w:rPr>
          <w:b/>
          <w:i/>
          <w:szCs w:val="20"/>
          <w:lang w:val="en-US"/>
        </w:rPr>
        <w:t>Governments</w:t>
      </w:r>
    </w:p>
    <w:p w:rsidR="004E2138" w:rsidRPr="004E2138" w:rsidRDefault="004E2138" w:rsidP="004E2138">
      <w:pPr>
        <w:rPr>
          <w:szCs w:val="20"/>
          <w:lang w:val="en-US"/>
        </w:rPr>
      </w:pPr>
      <w:r w:rsidRPr="004E2138">
        <w:rPr>
          <w:iCs/>
          <w:szCs w:val="20"/>
          <w:lang w:val="en-US"/>
        </w:rPr>
        <w:t>Governments should play an active role in shaping a national mind-set that values, nurtures and rewards adaptability. They need to use the levers at their disposal such as employment and immigration laws, as well as proactively shaping education and training systems.</w:t>
      </w:r>
    </w:p>
    <w:p w:rsidR="004E2138" w:rsidRPr="004E2138" w:rsidRDefault="004E2138">
      <w:pPr>
        <w:rPr>
          <w:szCs w:val="20"/>
        </w:rPr>
      </w:pPr>
    </w:p>
    <w:p w:rsidR="000F2424" w:rsidRDefault="000F2424">
      <w:pPr>
        <w:autoSpaceDE w:val="0"/>
        <w:autoSpaceDN w:val="0"/>
        <w:adjustRightInd w:val="0"/>
        <w:spacing w:line="240" w:lineRule="auto"/>
        <w:rPr>
          <w:rFonts w:cs="Arial"/>
          <w:b/>
          <w:bCs/>
          <w:color w:val="000000"/>
          <w:szCs w:val="20"/>
          <w:lang w:eastAsia="en-GB"/>
        </w:rPr>
      </w:pPr>
    </w:p>
    <w:p w:rsidR="00080D5B" w:rsidRPr="004E2138" w:rsidRDefault="004E2138">
      <w:pPr>
        <w:autoSpaceDE w:val="0"/>
        <w:autoSpaceDN w:val="0"/>
        <w:adjustRightInd w:val="0"/>
        <w:spacing w:line="240" w:lineRule="auto"/>
        <w:rPr>
          <w:rFonts w:cs="Arial"/>
          <w:b/>
          <w:bCs/>
          <w:color w:val="000000"/>
          <w:szCs w:val="20"/>
          <w:lang w:eastAsia="en-GB"/>
        </w:rPr>
      </w:pPr>
      <w:r w:rsidRPr="004E2138">
        <w:rPr>
          <w:rFonts w:cs="Arial"/>
          <w:b/>
          <w:bCs/>
          <w:color w:val="000000"/>
          <w:szCs w:val="20"/>
          <w:lang w:eastAsia="en-GB"/>
        </w:rPr>
        <w:t>ENDS</w:t>
      </w:r>
    </w:p>
    <w:p w:rsidR="004E2138" w:rsidRDefault="004E2138">
      <w:pPr>
        <w:autoSpaceDE w:val="0"/>
        <w:autoSpaceDN w:val="0"/>
        <w:adjustRightInd w:val="0"/>
        <w:spacing w:line="240" w:lineRule="auto"/>
        <w:rPr>
          <w:rFonts w:cs="Arial"/>
          <w:b/>
          <w:bCs/>
          <w:color w:val="000000"/>
          <w:szCs w:val="20"/>
          <w:lang w:eastAsia="en-GB"/>
        </w:rPr>
      </w:pPr>
    </w:p>
    <w:p w:rsidR="004E2138" w:rsidRPr="004E2138" w:rsidRDefault="004E2138">
      <w:pPr>
        <w:autoSpaceDE w:val="0"/>
        <w:autoSpaceDN w:val="0"/>
        <w:adjustRightInd w:val="0"/>
        <w:spacing w:line="240" w:lineRule="auto"/>
        <w:rPr>
          <w:rFonts w:cs="Arial"/>
          <w:b/>
          <w:bCs/>
          <w:color w:val="000000"/>
          <w:szCs w:val="20"/>
          <w:lang w:eastAsia="en-GB"/>
        </w:rPr>
      </w:pPr>
    </w:p>
    <w:p w:rsidR="004E2138" w:rsidRDefault="004E2138">
      <w:pPr>
        <w:autoSpaceDE w:val="0"/>
        <w:autoSpaceDN w:val="0"/>
        <w:adjustRightInd w:val="0"/>
        <w:spacing w:line="240" w:lineRule="auto"/>
        <w:rPr>
          <w:rFonts w:cs="Arial"/>
          <w:b/>
          <w:bCs/>
          <w:color w:val="000000"/>
          <w:szCs w:val="20"/>
          <w:lang w:eastAsia="en-GB"/>
        </w:rPr>
      </w:pPr>
    </w:p>
    <w:p w:rsidR="006A5C94" w:rsidRPr="000F2424" w:rsidRDefault="00492831" w:rsidP="000F2424">
      <w:pPr>
        <w:spacing w:line="240" w:lineRule="auto"/>
        <w:rPr>
          <w:rFonts w:cs="Arial"/>
          <w:b/>
          <w:bCs/>
          <w:color w:val="000000"/>
          <w:sz w:val="22"/>
          <w:szCs w:val="20"/>
          <w:lang w:eastAsia="en-GB"/>
        </w:rPr>
      </w:pPr>
      <w:r w:rsidRPr="00492831">
        <w:rPr>
          <w:rFonts w:cs="Arial"/>
          <w:b/>
          <w:bCs/>
          <w:color w:val="000000"/>
          <w:sz w:val="22"/>
          <w:szCs w:val="20"/>
          <w:lang w:eastAsia="en-GB"/>
        </w:rPr>
        <w:t>NOTES TO EDITORS</w:t>
      </w:r>
    </w:p>
    <w:p w:rsidR="004E2138" w:rsidRPr="00C506B0" w:rsidRDefault="004E2138" w:rsidP="004E2138">
      <w:pPr>
        <w:pStyle w:val="Normal1"/>
        <w:widowControl w:val="0"/>
        <w:spacing w:before="100" w:beforeAutospacing="1" w:after="120" w:line="240" w:lineRule="auto"/>
        <w:rPr>
          <w:rFonts w:ascii="Georgia" w:hAnsi="Georgia"/>
          <w:sz w:val="20"/>
          <w:szCs w:val="20"/>
        </w:rPr>
      </w:pPr>
      <w:r w:rsidRPr="00492831">
        <w:rPr>
          <w:rFonts w:ascii="Georgia" w:hAnsi="Georgia"/>
          <w:sz w:val="20"/>
          <w:szCs w:val="20"/>
        </w:rPr>
        <w:t xml:space="preserve">To explore the data further or download a copy of the report, please visit </w:t>
      </w:r>
      <w:hyperlink r:id="rId15" w:history="1">
        <w:r w:rsidR="00C506B0" w:rsidRPr="00C506B0">
          <w:rPr>
            <w:rFonts w:ascii="Georgia" w:hAnsi="Georgia" w:cs="Helvetica"/>
            <w:color w:val="386EFF"/>
            <w:sz w:val="20"/>
            <w:szCs w:val="20"/>
            <w:lang w:eastAsia="en-GB"/>
          </w:rPr>
          <w:t>www.pwc.com/talentadaptability</w:t>
        </w:r>
      </w:hyperlink>
    </w:p>
    <w:p w:rsidR="004E2138" w:rsidRPr="00492831" w:rsidRDefault="004E2138" w:rsidP="004E2138">
      <w:pPr>
        <w:spacing w:before="100" w:beforeAutospacing="1" w:after="120"/>
        <w:rPr>
          <w:b/>
          <w:szCs w:val="20"/>
          <w:u w:val="single"/>
        </w:rPr>
      </w:pPr>
      <w:r w:rsidRPr="00492831">
        <w:rPr>
          <w:rFonts w:eastAsia="Arial" w:cs="Arial"/>
          <w:b/>
          <w:color w:val="000000"/>
          <w:szCs w:val="20"/>
          <w:u w:val="single"/>
        </w:rPr>
        <w:t>Methodology</w:t>
      </w:r>
    </w:p>
    <w:p w:rsidR="00492831" w:rsidRDefault="004E2138" w:rsidP="00492831">
      <w:pPr>
        <w:pStyle w:val="Normal1"/>
        <w:numPr>
          <w:ilvl w:val="0"/>
          <w:numId w:val="45"/>
        </w:numPr>
        <w:spacing w:line="240" w:lineRule="auto"/>
        <w:ind w:left="0"/>
        <w:rPr>
          <w:rFonts w:ascii="Georgia" w:hAnsi="Georgia"/>
          <w:sz w:val="20"/>
          <w:szCs w:val="20"/>
        </w:rPr>
      </w:pPr>
      <w:r w:rsidRPr="00492831">
        <w:rPr>
          <w:rFonts w:ascii="Georgia" w:hAnsi="Georgia"/>
          <w:b/>
          <w:sz w:val="20"/>
          <w:szCs w:val="20"/>
        </w:rPr>
        <w:t>Productivity gain</w:t>
      </w:r>
    </w:p>
    <w:p w:rsidR="004E2138" w:rsidRPr="00492831" w:rsidRDefault="00DA0034" w:rsidP="00492831">
      <w:pPr>
        <w:pStyle w:val="Normal1"/>
        <w:spacing w:line="240" w:lineRule="auto"/>
        <w:rPr>
          <w:rFonts w:ascii="Georgia" w:hAnsi="Georgia"/>
          <w:sz w:val="20"/>
          <w:szCs w:val="20"/>
        </w:rPr>
      </w:pPr>
      <w:r>
        <w:rPr>
          <w:rFonts w:ascii="Georgia" w:hAnsi="Georgia"/>
          <w:sz w:val="20"/>
          <w:szCs w:val="20"/>
        </w:rPr>
        <w:t>PwC</w:t>
      </w:r>
      <w:r w:rsidRPr="00492831">
        <w:rPr>
          <w:rFonts w:ascii="Georgia" w:hAnsi="Georgia"/>
          <w:sz w:val="20"/>
          <w:szCs w:val="20"/>
        </w:rPr>
        <w:t xml:space="preserve"> </w:t>
      </w:r>
      <w:r w:rsidR="004E2138" w:rsidRPr="00492831">
        <w:rPr>
          <w:rFonts w:ascii="Georgia" w:hAnsi="Georgia"/>
          <w:sz w:val="20"/>
          <w:szCs w:val="20"/>
        </w:rPr>
        <w:t>first created a benchmark for adaptability based on five key variables - the Talent Adaptability Score - and then cross referenced this score with the stated productivity of employers in each of the 11 markets through PwC’s Saratoga database of 2,600 employers.</w:t>
      </w:r>
    </w:p>
    <w:p w:rsidR="004E2138" w:rsidRDefault="004E2138" w:rsidP="00492831">
      <w:pPr>
        <w:pStyle w:val="Normal1"/>
        <w:spacing w:line="240" w:lineRule="auto"/>
        <w:rPr>
          <w:rFonts w:ascii="Georgia" w:hAnsi="Georgia"/>
          <w:sz w:val="20"/>
          <w:szCs w:val="20"/>
        </w:rPr>
      </w:pPr>
      <w:r w:rsidRPr="00492831">
        <w:rPr>
          <w:rFonts w:ascii="Georgia" w:hAnsi="Georgia"/>
          <w:sz w:val="20"/>
          <w:szCs w:val="20"/>
        </w:rPr>
        <w:t xml:space="preserve">This allowed </w:t>
      </w:r>
      <w:r w:rsidR="00DA0034">
        <w:rPr>
          <w:rFonts w:ascii="Georgia" w:hAnsi="Georgia"/>
          <w:sz w:val="20"/>
          <w:szCs w:val="20"/>
        </w:rPr>
        <w:t>PwC</w:t>
      </w:r>
      <w:r w:rsidR="00DA0034" w:rsidRPr="00492831">
        <w:rPr>
          <w:rFonts w:ascii="Georgia" w:hAnsi="Georgia"/>
          <w:sz w:val="20"/>
          <w:szCs w:val="20"/>
        </w:rPr>
        <w:t xml:space="preserve"> </w:t>
      </w:r>
      <w:r w:rsidRPr="00492831">
        <w:rPr>
          <w:rFonts w:ascii="Georgia" w:hAnsi="Georgia"/>
          <w:sz w:val="20"/>
          <w:szCs w:val="20"/>
        </w:rPr>
        <w:t xml:space="preserve">to equate improvements in adaptability of each market’s workforce with increases in productivity. </w:t>
      </w:r>
      <w:r w:rsidR="00DA0034">
        <w:rPr>
          <w:rFonts w:ascii="Georgia" w:hAnsi="Georgia"/>
          <w:sz w:val="20"/>
          <w:szCs w:val="20"/>
        </w:rPr>
        <w:t xml:space="preserve">PwC </w:t>
      </w:r>
      <w:r w:rsidRPr="00492831">
        <w:rPr>
          <w:rFonts w:ascii="Georgia" w:hAnsi="Georgia"/>
          <w:sz w:val="20"/>
          <w:szCs w:val="20"/>
        </w:rPr>
        <w:t xml:space="preserve">have taken a conservative approach by asking “what productivity could be unlocked if everyone was as adaptable as the Netherlands?”.  If you apply their adaptability to each of the 11 markets in this study, there is approximately $130bn of potential productivity to be gained. </w:t>
      </w:r>
    </w:p>
    <w:p w:rsidR="00492831" w:rsidRPr="00492831" w:rsidRDefault="00492831" w:rsidP="00492831">
      <w:pPr>
        <w:pStyle w:val="Normal1"/>
        <w:spacing w:line="240" w:lineRule="auto"/>
        <w:rPr>
          <w:rFonts w:ascii="Georgia" w:hAnsi="Georgia"/>
          <w:sz w:val="20"/>
          <w:szCs w:val="20"/>
        </w:rPr>
      </w:pPr>
    </w:p>
    <w:p w:rsidR="004E2138" w:rsidRPr="00492831" w:rsidRDefault="00E32800" w:rsidP="00492831">
      <w:pPr>
        <w:pStyle w:val="Normal1"/>
        <w:numPr>
          <w:ilvl w:val="0"/>
          <w:numId w:val="45"/>
        </w:numPr>
        <w:spacing w:line="240" w:lineRule="auto"/>
        <w:ind w:left="0"/>
        <w:rPr>
          <w:rFonts w:ascii="Georgia" w:hAnsi="Georgia"/>
          <w:b/>
          <w:sz w:val="20"/>
          <w:szCs w:val="20"/>
        </w:rPr>
      </w:pPr>
      <w:r>
        <w:rPr>
          <w:rFonts w:ascii="Georgia" w:hAnsi="Georgia"/>
          <w:b/>
          <w:sz w:val="20"/>
          <w:szCs w:val="20"/>
        </w:rPr>
        <w:t>Avoidable recruitment costs</w:t>
      </w:r>
    </w:p>
    <w:p w:rsidR="004E2138" w:rsidRDefault="004E2138" w:rsidP="00492831">
      <w:pPr>
        <w:pStyle w:val="Normal1"/>
        <w:spacing w:line="240" w:lineRule="auto"/>
        <w:rPr>
          <w:rFonts w:ascii="Georgia" w:hAnsi="Georgia"/>
          <w:sz w:val="20"/>
          <w:szCs w:val="20"/>
        </w:rPr>
      </w:pPr>
      <w:r w:rsidRPr="00492831">
        <w:rPr>
          <w:rFonts w:ascii="Georgia" w:hAnsi="Georgia"/>
          <w:sz w:val="20"/>
          <w:szCs w:val="20"/>
        </w:rPr>
        <w:t>PwC's Saratoga database captures information on the amount of resignations that occur for people with less than one year of service.  This is widely regarded as unwanted, and often avoidable turnover, indicative of a mistake during the recruiting process resulting in a poorly ma</w:t>
      </w:r>
      <w:r w:rsidR="00FC2E62">
        <w:rPr>
          <w:rFonts w:ascii="Georgia" w:hAnsi="Georgia"/>
          <w:sz w:val="20"/>
          <w:szCs w:val="20"/>
        </w:rPr>
        <w:t xml:space="preserve">tched employee.  Through </w:t>
      </w:r>
      <w:r w:rsidR="00FC2E62">
        <w:rPr>
          <w:rFonts w:ascii="Georgia" w:hAnsi="Georgia"/>
          <w:sz w:val="20"/>
          <w:szCs w:val="20"/>
        </w:rPr>
        <w:lastRenderedPageBreak/>
        <w:t>the Sar</w:t>
      </w:r>
      <w:r w:rsidRPr="00492831">
        <w:rPr>
          <w:rFonts w:ascii="Georgia" w:hAnsi="Georgia"/>
          <w:sz w:val="20"/>
          <w:szCs w:val="20"/>
        </w:rPr>
        <w:t xml:space="preserve">atoga database, </w:t>
      </w:r>
      <w:r w:rsidR="00DA0034">
        <w:rPr>
          <w:rFonts w:ascii="Georgia" w:hAnsi="Georgia"/>
          <w:sz w:val="20"/>
          <w:szCs w:val="20"/>
        </w:rPr>
        <w:t>PwC</w:t>
      </w:r>
      <w:r w:rsidR="00DA0034" w:rsidRPr="00492831">
        <w:rPr>
          <w:rFonts w:ascii="Georgia" w:hAnsi="Georgia"/>
          <w:sz w:val="20"/>
          <w:szCs w:val="20"/>
        </w:rPr>
        <w:t xml:space="preserve"> </w:t>
      </w:r>
      <w:r w:rsidRPr="00492831">
        <w:rPr>
          <w:rFonts w:ascii="Georgia" w:hAnsi="Georgia"/>
          <w:sz w:val="20"/>
          <w:szCs w:val="20"/>
        </w:rPr>
        <w:t>were able to estimate the number of new hires made in a country in one year, and then determine how many of these resigned within 12 months.  </w:t>
      </w:r>
      <w:r w:rsidR="00DA0034">
        <w:rPr>
          <w:rFonts w:ascii="Georgia" w:hAnsi="Georgia"/>
          <w:sz w:val="20"/>
          <w:szCs w:val="20"/>
        </w:rPr>
        <w:t>PwC</w:t>
      </w:r>
      <w:r w:rsidR="00DA0034" w:rsidRPr="00492831">
        <w:rPr>
          <w:rFonts w:ascii="Georgia" w:hAnsi="Georgia"/>
          <w:sz w:val="20"/>
          <w:szCs w:val="20"/>
        </w:rPr>
        <w:t xml:space="preserve"> </w:t>
      </w:r>
      <w:r w:rsidRPr="00492831">
        <w:rPr>
          <w:rFonts w:ascii="Georgia" w:hAnsi="Georgia"/>
          <w:sz w:val="20"/>
          <w:szCs w:val="20"/>
        </w:rPr>
        <w:t xml:space="preserve">were also able to estimate how many hires would have resigned in the first year if they were performing as well as the Netherlands (4.8% first year resignation rate).  By taking the difference between the actual number currently happening, and the better performing number, then </w:t>
      </w:r>
      <w:r w:rsidR="00DA0034">
        <w:rPr>
          <w:rFonts w:ascii="Georgia" w:hAnsi="Georgia"/>
          <w:sz w:val="20"/>
          <w:szCs w:val="20"/>
        </w:rPr>
        <w:t>PwC</w:t>
      </w:r>
      <w:r w:rsidR="00DA0034" w:rsidRPr="00492831">
        <w:rPr>
          <w:rFonts w:ascii="Georgia" w:hAnsi="Georgia"/>
          <w:sz w:val="20"/>
          <w:szCs w:val="20"/>
        </w:rPr>
        <w:t xml:space="preserve"> </w:t>
      </w:r>
      <w:r w:rsidRPr="00492831">
        <w:rPr>
          <w:rFonts w:ascii="Georgia" w:hAnsi="Georgia"/>
          <w:sz w:val="20"/>
          <w:szCs w:val="20"/>
        </w:rPr>
        <w:t xml:space="preserve">could calculate the number of 'excess' hires in a given year.  Combining this with the cost per hire allows </w:t>
      </w:r>
      <w:r w:rsidR="00EC164C">
        <w:rPr>
          <w:rFonts w:ascii="Georgia" w:hAnsi="Georgia"/>
          <w:sz w:val="20"/>
          <w:szCs w:val="20"/>
        </w:rPr>
        <w:t>PwC</w:t>
      </w:r>
      <w:r w:rsidR="00EC164C" w:rsidRPr="00492831">
        <w:rPr>
          <w:rFonts w:ascii="Georgia" w:hAnsi="Georgia"/>
          <w:sz w:val="20"/>
          <w:szCs w:val="20"/>
        </w:rPr>
        <w:t xml:space="preserve"> </w:t>
      </w:r>
      <w:r w:rsidRPr="00492831">
        <w:rPr>
          <w:rFonts w:ascii="Georgia" w:hAnsi="Georgia"/>
          <w:sz w:val="20"/>
          <w:szCs w:val="20"/>
        </w:rPr>
        <w:t>to calculate the savings potential in the 11 markets analysed of US$19</w:t>
      </w:r>
      <w:r w:rsidR="00E32800">
        <w:rPr>
          <w:rFonts w:ascii="Georgia" w:hAnsi="Georgia"/>
          <w:sz w:val="20"/>
          <w:szCs w:val="20"/>
        </w:rPr>
        <w:t>.8</w:t>
      </w:r>
      <w:r w:rsidRPr="00492831">
        <w:rPr>
          <w:rFonts w:ascii="Georgia" w:hAnsi="Georgia"/>
          <w:sz w:val="20"/>
          <w:szCs w:val="20"/>
        </w:rPr>
        <w:t>bn.</w:t>
      </w:r>
    </w:p>
    <w:p w:rsidR="00492831" w:rsidRPr="00492831" w:rsidRDefault="00492831" w:rsidP="00492831">
      <w:pPr>
        <w:pStyle w:val="Normal1"/>
        <w:spacing w:line="240" w:lineRule="auto"/>
        <w:rPr>
          <w:rFonts w:ascii="Georgia" w:hAnsi="Georgia"/>
          <w:sz w:val="20"/>
          <w:szCs w:val="20"/>
        </w:rPr>
      </w:pPr>
    </w:p>
    <w:p w:rsidR="004E2138" w:rsidRPr="00492831" w:rsidRDefault="004E2138" w:rsidP="00492831">
      <w:pPr>
        <w:pStyle w:val="Normal1"/>
        <w:widowControl w:val="0"/>
        <w:numPr>
          <w:ilvl w:val="0"/>
          <w:numId w:val="45"/>
        </w:numPr>
        <w:spacing w:line="240" w:lineRule="auto"/>
        <w:ind w:left="0"/>
        <w:rPr>
          <w:rFonts w:ascii="Georgia" w:hAnsi="Georgia"/>
          <w:b/>
          <w:sz w:val="20"/>
          <w:szCs w:val="20"/>
        </w:rPr>
      </w:pPr>
      <w:r w:rsidRPr="00492831">
        <w:rPr>
          <w:rFonts w:ascii="Georgia" w:hAnsi="Georgia"/>
          <w:b/>
          <w:sz w:val="20"/>
          <w:szCs w:val="20"/>
        </w:rPr>
        <w:t>Talent Adaptability Score</w:t>
      </w:r>
    </w:p>
    <w:p w:rsidR="004E2138" w:rsidRPr="00492831" w:rsidRDefault="004E2138" w:rsidP="00492831">
      <w:pPr>
        <w:pStyle w:val="Normal1"/>
        <w:widowControl w:val="0"/>
        <w:spacing w:line="240" w:lineRule="auto"/>
        <w:rPr>
          <w:rFonts w:ascii="Georgia" w:hAnsi="Georgia"/>
          <w:sz w:val="20"/>
          <w:szCs w:val="20"/>
        </w:rPr>
      </w:pPr>
      <w:r w:rsidRPr="00492831">
        <w:rPr>
          <w:rFonts w:ascii="Georgia" w:hAnsi="Georgia"/>
          <w:sz w:val="20"/>
          <w:szCs w:val="20"/>
        </w:rPr>
        <w:t>Using evidence from LinkedIn profiles and metrics from PwC Saratoga to assess each country in five areas:</w:t>
      </w:r>
    </w:p>
    <w:p w:rsidR="004E2138" w:rsidRPr="00492831" w:rsidRDefault="004E2138" w:rsidP="00492831">
      <w:pPr>
        <w:pStyle w:val="Normal1"/>
        <w:widowControl w:val="0"/>
        <w:numPr>
          <w:ilvl w:val="0"/>
          <w:numId w:val="44"/>
        </w:numPr>
        <w:spacing w:before="100" w:beforeAutospacing="1" w:after="120" w:line="240" w:lineRule="auto"/>
        <w:ind w:left="426"/>
        <w:rPr>
          <w:rFonts w:ascii="Georgia" w:hAnsi="Georgia"/>
          <w:sz w:val="20"/>
          <w:szCs w:val="20"/>
        </w:rPr>
      </w:pPr>
      <w:r w:rsidRPr="00492831">
        <w:rPr>
          <w:rFonts w:ascii="Georgia" w:hAnsi="Georgia"/>
          <w:b/>
          <w:sz w:val="20"/>
          <w:szCs w:val="20"/>
        </w:rPr>
        <w:t>The promotion rate</w:t>
      </w:r>
      <w:r w:rsidRPr="00492831">
        <w:rPr>
          <w:rFonts w:ascii="Georgia" w:hAnsi="Georgia"/>
          <w:sz w:val="20"/>
          <w:szCs w:val="20"/>
        </w:rPr>
        <w:t xml:space="preserve"> (scaled to take account of growth in the home market) – which indicates the reward offered by employers as the value of talent increases</w:t>
      </w:r>
    </w:p>
    <w:p w:rsidR="004E2138" w:rsidRPr="00492831" w:rsidRDefault="004E2138" w:rsidP="00492831">
      <w:pPr>
        <w:pStyle w:val="Normal1"/>
        <w:widowControl w:val="0"/>
        <w:numPr>
          <w:ilvl w:val="0"/>
          <w:numId w:val="44"/>
        </w:numPr>
        <w:spacing w:before="100" w:beforeAutospacing="1" w:after="120" w:line="240" w:lineRule="auto"/>
        <w:ind w:left="426"/>
        <w:rPr>
          <w:rFonts w:ascii="Georgia" w:hAnsi="Georgia"/>
          <w:sz w:val="20"/>
          <w:szCs w:val="20"/>
        </w:rPr>
      </w:pPr>
      <w:r w:rsidRPr="00492831">
        <w:rPr>
          <w:rFonts w:ascii="Georgia" w:hAnsi="Georgia"/>
          <w:b/>
          <w:sz w:val="20"/>
          <w:szCs w:val="20"/>
        </w:rPr>
        <w:t>The market vacancy rate</w:t>
      </w:r>
      <w:r w:rsidRPr="00492831">
        <w:rPr>
          <w:rFonts w:ascii="Georgia" w:hAnsi="Georgia"/>
          <w:sz w:val="20"/>
          <w:szCs w:val="20"/>
        </w:rPr>
        <w:t xml:space="preserve"> – the lower the vacancy rate, the better the fit of talent to available jobs</w:t>
      </w:r>
    </w:p>
    <w:p w:rsidR="004E2138" w:rsidRPr="00492831" w:rsidRDefault="004E2138" w:rsidP="00492831">
      <w:pPr>
        <w:pStyle w:val="Normal1"/>
        <w:widowControl w:val="0"/>
        <w:numPr>
          <w:ilvl w:val="0"/>
          <w:numId w:val="44"/>
        </w:numPr>
        <w:spacing w:before="100" w:beforeAutospacing="1" w:after="120" w:line="240" w:lineRule="auto"/>
        <w:ind w:left="426"/>
        <w:rPr>
          <w:rFonts w:ascii="Georgia" w:hAnsi="Georgia"/>
          <w:sz w:val="20"/>
          <w:szCs w:val="20"/>
        </w:rPr>
      </w:pPr>
      <w:r w:rsidRPr="00492831">
        <w:rPr>
          <w:rFonts w:ascii="Georgia" w:hAnsi="Georgia"/>
          <w:b/>
          <w:sz w:val="20"/>
          <w:szCs w:val="20"/>
        </w:rPr>
        <w:t>Average number of profile positions</w:t>
      </w:r>
      <w:r w:rsidRPr="00492831">
        <w:rPr>
          <w:rFonts w:ascii="Georgia" w:hAnsi="Georgia"/>
          <w:sz w:val="20"/>
          <w:szCs w:val="20"/>
        </w:rPr>
        <w:t xml:space="preserve"> – the number of positions that professionals list on their LinkedIn profile, which is an indication of the liquidity within the given market</w:t>
      </w:r>
    </w:p>
    <w:p w:rsidR="004E2138" w:rsidRPr="00492831" w:rsidRDefault="004E2138" w:rsidP="00492831">
      <w:pPr>
        <w:pStyle w:val="Normal1"/>
        <w:widowControl w:val="0"/>
        <w:numPr>
          <w:ilvl w:val="0"/>
          <w:numId w:val="44"/>
        </w:numPr>
        <w:spacing w:before="100" w:beforeAutospacing="1" w:after="120" w:line="240" w:lineRule="auto"/>
        <w:ind w:left="426"/>
        <w:rPr>
          <w:rFonts w:ascii="Georgia" w:hAnsi="Georgia"/>
          <w:sz w:val="20"/>
          <w:szCs w:val="20"/>
        </w:rPr>
      </w:pPr>
      <w:r w:rsidRPr="00492831">
        <w:rPr>
          <w:rFonts w:ascii="Georgia" w:hAnsi="Georgia"/>
          <w:b/>
          <w:sz w:val="20"/>
          <w:szCs w:val="20"/>
        </w:rPr>
        <w:t>Average number of employers</w:t>
      </w:r>
      <w:r w:rsidRPr="00492831">
        <w:rPr>
          <w:rFonts w:ascii="Georgia" w:hAnsi="Georgia"/>
          <w:sz w:val="20"/>
          <w:szCs w:val="20"/>
        </w:rPr>
        <w:t xml:space="preserve"> – the average number of employers each individual has had, in any sector, which is a proxy for liquidity of opportunity</w:t>
      </w:r>
    </w:p>
    <w:p w:rsidR="004E2138" w:rsidRPr="00492831" w:rsidRDefault="004E2138" w:rsidP="00492831">
      <w:pPr>
        <w:pStyle w:val="Normal1"/>
        <w:widowControl w:val="0"/>
        <w:numPr>
          <w:ilvl w:val="0"/>
          <w:numId w:val="44"/>
        </w:numPr>
        <w:spacing w:before="100" w:beforeAutospacing="1" w:after="120" w:line="240" w:lineRule="auto"/>
        <w:ind w:left="426"/>
        <w:rPr>
          <w:rFonts w:ascii="Georgia" w:hAnsi="Georgia"/>
          <w:sz w:val="20"/>
          <w:szCs w:val="20"/>
        </w:rPr>
      </w:pPr>
      <w:r w:rsidRPr="00492831">
        <w:rPr>
          <w:rFonts w:ascii="Georgia" w:hAnsi="Georgia"/>
          <w:b/>
          <w:sz w:val="20"/>
          <w:szCs w:val="20"/>
        </w:rPr>
        <w:t>The industry switching rate</w:t>
      </w:r>
      <w:r w:rsidRPr="00492831">
        <w:rPr>
          <w:rFonts w:ascii="Georgia" w:hAnsi="Georgia"/>
          <w:sz w:val="20"/>
          <w:szCs w:val="20"/>
        </w:rPr>
        <w:t xml:space="preserve"> – the rate at which professionals switch between different sectors, which shows their willingness to apply their skills to different areas.</w:t>
      </w:r>
    </w:p>
    <w:p w:rsidR="004E2138" w:rsidRPr="00492831" w:rsidRDefault="004E2138" w:rsidP="00492831">
      <w:pPr>
        <w:pStyle w:val="Normal1"/>
        <w:widowControl w:val="0"/>
        <w:spacing w:line="240" w:lineRule="auto"/>
        <w:rPr>
          <w:rFonts w:ascii="Georgia" w:hAnsi="Georgia"/>
          <w:b/>
          <w:sz w:val="20"/>
          <w:szCs w:val="20"/>
        </w:rPr>
      </w:pPr>
      <w:r w:rsidRPr="00492831">
        <w:rPr>
          <w:rFonts w:ascii="Georgia" w:hAnsi="Georgia"/>
          <w:b/>
          <w:sz w:val="20"/>
          <w:szCs w:val="20"/>
        </w:rPr>
        <w:t>Method for overall ranking</w:t>
      </w:r>
    </w:p>
    <w:p w:rsidR="004E2138" w:rsidRPr="00492831" w:rsidRDefault="004E2138" w:rsidP="00492831">
      <w:pPr>
        <w:pStyle w:val="Normal1"/>
        <w:widowControl w:val="0"/>
        <w:spacing w:line="240" w:lineRule="auto"/>
        <w:rPr>
          <w:rFonts w:ascii="Georgia" w:hAnsi="Georgia"/>
          <w:sz w:val="20"/>
          <w:szCs w:val="20"/>
        </w:rPr>
      </w:pPr>
      <w:r w:rsidRPr="00492831">
        <w:rPr>
          <w:rFonts w:ascii="Georgia" w:hAnsi="Georgia"/>
          <w:sz w:val="20"/>
          <w:szCs w:val="20"/>
        </w:rPr>
        <w:t>Each country is assigned a percentile ranking (on a scale of 0-100) for each of the 5 metrics included. The overall score is then calculated by averaging the percentile ranks across all 5 metrics. To achieve an overall score of 100 would require the country to be best performing in each metric relative to the other countries.</w:t>
      </w:r>
    </w:p>
    <w:p w:rsidR="000F2424" w:rsidRDefault="000F2424" w:rsidP="000F2424">
      <w:pPr>
        <w:spacing w:line="240" w:lineRule="auto"/>
        <w:rPr>
          <w:b/>
          <w:szCs w:val="20"/>
        </w:rPr>
      </w:pPr>
    </w:p>
    <w:p w:rsidR="000F2424" w:rsidRDefault="000F2424" w:rsidP="000F2424">
      <w:pPr>
        <w:spacing w:line="240" w:lineRule="auto"/>
        <w:rPr>
          <w:b/>
          <w:szCs w:val="20"/>
        </w:rPr>
      </w:pPr>
    </w:p>
    <w:p w:rsidR="004E2138" w:rsidRPr="000F2424" w:rsidRDefault="004E2138" w:rsidP="000F2424">
      <w:pPr>
        <w:spacing w:line="240" w:lineRule="auto"/>
        <w:rPr>
          <w:rFonts w:eastAsia="Arial" w:cs="Arial"/>
          <w:b/>
          <w:color w:val="000000"/>
          <w:szCs w:val="20"/>
          <w:lang w:val="en-US" w:eastAsia="ja-JP"/>
        </w:rPr>
      </w:pPr>
      <w:r w:rsidRPr="00492831">
        <w:rPr>
          <w:b/>
          <w:szCs w:val="20"/>
        </w:rPr>
        <w:t>About PwC</w:t>
      </w:r>
    </w:p>
    <w:p w:rsidR="004E2138" w:rsidRPr="00492831" w:rsidRDefault="004E2138" w:rsidP="00492831">
      <w:pPr>
        <w:pStyle w:val="Normal1"/>
        <w:widowControl w:val="0"/>
        <w:spacing w:line="240" w:lineRule="auto"/>
        <w:rPr>
          <w:rFonts w:ascii="Georgia" w:hAnsi="Georgia"/>
          <w:sz w:val="20"/>
          <w:szCs w:val="20"/>
        </w:rPr>
      </w:pPr>
      <w:r w:rsidRPr="00492831">
        <w:rPr>
          <w:rFonts w:ascii="Georgia" w:hAnsi="Georgia"/>
          <w:sz w:val="20"/>
          <w:szCs w:val="20"/>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6" w:history="1">
        <w:r w:rsidRPr="00492831">
          <w:rPr>
            <w:rStyle w:val="Hyperlink"/>
            <w:rFonts w:ascii="Georgia" w:hAnsi="Georgia"/>
            <w:sz w:val="20"/>
            <w:szCs w:val="20"/>
          </w:rPr>
          <w:t>www.pwc.com</w:t>
        </w:r>
      </w:hyperlink>
      <w:r w:rsidRPr="00492831">
        <w:rPr>
          <w:rFonts w:ascii="Georgia" w:hAnsi="Georgia"/>
          <w:sz w:val="20"/>
          <w:szCs w:val="20"/>
        </w:rPr>
        <w:t>. PwC refers to the PwC network and/or one or more of its member firms, each of which is a separate legal entity. Please see www.pwc.com/structure for further details.</w:t>
      </w:r>
    </w:p>
    <w:p w:rsidR="00492831" w:rsidRDefault="00492831" w:rsidP="00492831">
      <w:pPr>
        <w:pStyle w:val="Normal1"/>
        <w:widowControl w:val="0"/>
        <w:spacing w:line="240" w:lineRule="auto"/>
        <w:rPr>
          <w:rFonts w:ascii="Georgia" w:hAnsi="Georgia"/>
          <w:b/>
          <w:i/>
          <w:sz w:val="20"/>
          <w:szCs w:val="20"/>
        </w:rPr>
      </w:pPr>
    </w:p>
    <w:p w:rsidR="004E2138" w:rsidRPr="00492831" w:rsidRDefault="004E2138" w:rsidP="00492831">
      <w:pPr>
        <w:pStyle w:val="Normal1"/>
        <w:widowControl w:val="0"/>
        <w:spacing w:line="240" w:lineRule="auto"/>
        <w:rPr>
          <w:rFonts w:ascii="Georgia" w:hAnsi="Georgia"/>
          <w:b/>
          <w:sz w:val="20"/>
          <w:szCs w:val="20"/>
        </w:rPr>
      </w:pPr>
      <w:r w:rsidRPr="00492831">
        <w:rPr>
          <w:rFonts w:ascii="Georgia" w:hAnsi="Georgia"/>
          <w:b/>
          <w:sz w:val="20"/>
          <w:szCs w:val="20"/>
        </w:rPr>
        <w:t>About LinkedIn</w:t>
      </w:r>
    </w:p>
    <w:p w:rsidR="00492831" w:rsidRPr="000F2424" w:rsidRDefault="004E2138" w:rsidP="000F2424">
      <w:pPr>
        <w:spacing w:line="240" w:lineRule="auto"/>
        <w:rPr>
          <w:b/>
          <w:i/>
          <w:szCs w:val="20"/>
        </w:rPr>
      </w:pPr>
      <w:r w:rsidRPr="00492831">
        <w:rPr>
          <w:rFonts w:eastAsia="Arial" w:cs="Arial"/>
          <w:color w:val="000000"/>
          <w:szCs w:val="20"/>
        </w:rPr>
        <w:t>Founded in 2003, LinkedIn connects the world’s professionals to make them more productive and successful. With more than 277 million members worldwide, including executives from every Fortune 500 company, LinkedIn is the world’s largest professional network on the Internet. The company has a diversified business model with revenues coming from member subscriptions, marketing solutions and hiring solutions. Headquartered in Silicon Valley, LinkedIn has offices across the</w:t>
      </w:r>
      <w:hyperlink r:id="rId17">
        <w:r w:rsidRPr="00492831">
          <w:rPr>
            <w:rFonts w:eastAsia="Arial" w:cs="Arial"/>
            <w:color w:val="000000"/>
            <w:szCs w:val="20"/>
          </w:rPr>
          <w:t xml:space="preserve"> </w:t>
        </w:r>
      </w:hyperlink>
      <w:hyperlink r:id="rId18">
        <w:r w:rsidRPr="00492831">
          <w:rPr>
            <w:rFonts w:eastAsia="Arial" w:cs="Arial"/>
            <w:color w:val="1155CC"/>
            <w:szCs w:val="20"/>
            <w:u w:val="single"/>
          </w:rPr>
          <w:t>globe</w:t>
        </w:r>
      </w:hyperlink>
      <w:r w:rsidRPr="00492831">
        <w:rPr>
          <w:rFonts w:eastAsia="Arial" w:cs="Arial"/>
          <w:color w:val="000000"/>
          <w:szCs w:val="20"/>
        </w:rPr>
        <w:t>.</w:t>
      </w:r>
    </w:p>
    <w:sectPr w:rsidR="00492831" w:rsidRPr="000F2424" w:rsidSect="004E2138">
      <w:headerReference w:type="even" r:id="rId19"/>
      <w:headerReference w:type="default" r:id="rId20"/>
      <w:footerReference w:type="even" r:id="rId21"/>
      <w:footerReference w:type="default" r:id="rId22"/>
      <w:headerReference w:type="first" r:id="rId23"/>
      <w:pgSz w:w="11907" w:h="16839"/>
      <w:pgMar w:top="2835" w:right="850" w:bottom="1170"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23" w:rsidRDefault="006C1B23">
      <w:pPr>
        <w:spacing w:line="240" w:lineRule="auto"/>
      </w:pPr>
      <w:r>
        <w:separator/>
      </w:r>
    </w:p>
  </w:endnote>
  <w:endnote w:type="continuationSeparator" w:id="0">
    <w:p w:rsidR="006C1B23" w:rsidRDefault="006C1B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05" w:rsidRDefault="00F02BE9">
    <w:pPr>
      <w:pStyle w:val="Footer"/>
    </w:pPr>
    <w:r>
      <w:fldChar w:fldCharType="begin"/>
    </w:r>
    <w:r w:rsidR="00595B05">
      <w:instrText xml:space="preserve"> PAGE  \* MERGEFORMAT </w:instrText>
    </w:r>
    <w:r>
      <w:fldChar w:fldCharType="separate"/>
    </w:r>
    <w:r w:rsidR="006E561D">
      <w:rPr>
        <w:noProof/>
      </w:rPr>
      <w:t>2</w:t>
    </w:r>
    <w:r>
      <w:rPr>
        <w:noProof/>
      </w:rPr>
      <w:fldChar w:fldCharType="end"/>
    </w:r>
    <w:r w:rsidR="00595B05">
      <w:t xml:space="preserve"> of </w:t>
    </w:r>
    <w:fldSimple w:instr=" NUMPAGES  \* MERGEFORMAT ">
      <w:r w:rsidR="006E561D">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05" w:rsidRDefault="00F02BE9">
    <w:pPr>
      <w:pStyle w:val="Footer"/>
    </w:pPr>
    <w:r>
      <w:fldChar w:fldCharType="begin"/>
    </w:r>
    <w:r w:rsidR="00595B05">
      <w:instrText xml:space="preserve"> PAGE  \* MERGEFORMAT </w:instrText>
    </w:r>
    <w:r>
      <w:fldChar w:fldCharType="separate"/>
    </w:r>
    <w:r w:rsidR="006E561D">
      <w:rPr>
        <w:noProof/>
      </w:rPr>
      <w:t>3</w:t>
    </w:r>
    <w:r>
      <w:rPr>
        <w:noProof/>
      </w:rPr>
      <w:fldChar w:fldCharType="end"/>
    </w:r>
    <w:r w:rsidR="00595B05">
      <w:t xml:space="preserve"> of </w:t>
    </w:r>
    <w:fldSimple w:instr=" NUMPAGES  \* MERGEFORMAT ">
      <w:r w:rsidR="006E561D">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23" w:rsidRDefault="006C1B23">
      <w:pPr>
        <w:spacing w:line="240" w:lineRule="auto"/>
      </w:pPr>
      <w:r>
        <w:separator/>
      </w:r>
    </w:p>
  </w:footnote>
  <w:footnote w:type="continuationSeparator" w:id="0">
    <w:p w:rsidR="006C1B23" w:rsidRDefault="006C1B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05" w:rsidRDefault="00595B05">
    <w:pPr>
      <w:pStyle w:val="Header"/>
    </w:pPr>
    <w:r>
      <w:tab/>
    </w:r>
  </w:p>
  <w:p w:rsidR="00595B05" w:rsidRDefault="00595B05">
    <w:pPr>
      <w:pStyle w:val="Header"/>
    </w:pPr>
  </w:p>
  <w:p w:rsidR="00595B05" w:rsidRDefault="00595B05">
    <w:pPr>
      <w:pStyle w:val="Header"/>
    </w:pPr>
  </w:p>
  <w:p w:rsidR="00595B05" w:rsidRDefault="00595B05">
    <w:pPr>
      <w:pStyle w:val="Header"/>
    </w:pPr>
  </w:p>
  <w:p w:rsidR="00595B05" w:rsidRDefault="00595B05">
    <w:pPr>
      <w:pStyle w:val="Header"/>
    </w:pPr>
    <w:r>
      <w:tab/>
    </w:r>
    <w:r>
      <w:tab/>
    </w: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595B05" w:rsidRDefault="00595B05" w:rsidP="00EF075A">
    <w:pPr>
      <w:pStyle w:val="Header"/>
      <w:ind w:firstLine="720"/>
    </w:pPr>
    <w:r>
      <w:tab/>
    </w:r>
    <w:r>
      <w:tab/>
    </w:r>
    <w:r>
      <w:rPr>
        <w:rFonts w:ascii="Helvetica" w:hAnsi="Helvetica" w:cs="Helvetica"/>
        <w:noProof/>
        <w:sz w:val="24"/>
        <w:szCs w:val="24"/>
        <w:lang w:val="en-US"/>
      </w:rPr>
      <w:drawing>
        <wp:inline distT="0" distB="0" distL="0" distR="0">
          <wp:extent cx="1672590" cy="409472"/>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2760" cy="409514"/>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05" w:rsidRDefault="00595B05">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595B05" w:rsidRDefault="00595B05">
    <w:pPr>
      <w:pStyle w:val="Header"/>
    </w:pPr>
  </w:p>
  <w:p w:rsidR="00595B05" w:rsidRDefault="00595B05">
    <w:pPr>
      <w:pStyle w:val="Header"/>
    </w:pPr>
  </w:p>
  <w:p w:rsidR="00595B05" w:rsidRDefault="00595B05">
    <w:pPr>
      <w:pStyle w:val="Header"/>
    </w:pPr>
  </w:p>
  <w:p w:rsidR="00595B05" w:rsidRDefault="00595B05">
    <w:pPr>
      <w:pStyle w:val="Header"/>
    </w:pPr>
    <w:r>
      <w:tab/>
    </w:r>
    <w:r>
      <w:tab/>
    </w:r>
    <w:r>
      <w:tab/>
    </w:r>
    <w:r>
      <w:tab/>
    </w:r>
    <w:r>
      <w:rPr>
        <w:rFonts w:ascii="Helvetica" w:hAnsi="Helvetica" w:cs="Helvetica"/>
        <w:noProof/>
        <w:sz w:val="24"/>
        <w:szCs w:val="24"/>
        <w:lang w:val="en-US"/>
      </w:rPr>
      <w:drawing>
        <wp:inline distT="0" distB="0" distL="0" distR="0">
          <wp:extent cx="1672590" cy="409472"/>
          <wp:effectExtent l="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2760" cy="40951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05" w:rsidRDefault="00595B05">
    <w:pPr>
      <w:pStyle w:val="Header"/>
    </w:pPr>
    <w:r>
      <w:tab/>
    </w:r>
  </w:p>
  <w:p w:rsidR="00595B05" w:rsidRDefault="00595B05">
    <w:pPr>
      <w:pStyle w:val="Header"/>
    </w:pPr>
  </w:p>
  <w:p w:rsidR="00595B05" w:rsidRDefault="00595B05">
    <w:pPr>
      <w:pStyle w:val="Header"/>
    </w:pPr>
  </w:p>
  <w:p w:rsidR="00595B05" w:rsidRDefault="00595B05">
    <w:pPr>
      <w:pStyle w:val="Header"/>
    </w:pPr>
  </w:p>
  <w:p w:rsidR="00595B05" w:rsidRDefault="00595B05">
    <w:pPr>
      <w:pStyle w:val="Header"/>
    </w:pPr>
  </w:p>
  <w:p w:rsidR="00595B05" w:rsidRDefault="00595B05">
    <w:pPr>
      <w:pStyle w:val="Header"/>
    </w:pPr>
    <w:r>
      <w:t xml:space="preserve">            </w:t>
    </w:r>
    <w:r>
      <w:tab/>
    </w:r>
    <w:r>
      <w:tab/>
    </w:r>
    <w:r>
      <w:rPr>
        <w:rFonts w:ascii="Helvetica" w:hAnsi="Helvetica" w:cs="Helvetica"/>
        <w:noProof/>
        <w:sz w:val="24"/>
        <w:szCs w:val="24"/>
        <w:lang w:val="en-US"/>
      </w:rPr>
      <w:drawing>
        <wp:inline distT="0" distB="0" distL="0" distR="0">
          <wp:extent cx="1672590" cy="409472"/>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2760" cy="409514"/>
                  </a:xfrm>
                  <a:prstGeom prst="rect">
                    <a:avLst/>
                  </a:prstGeom>
                  <a:noFill/>
                  <a:ln>
                    <a:noFill/>
                  </a:ln>
                </pic:spPr>
              </pic:pic>
            </a:graphicData>
          </a:graphic>
        </wp:inline>
      </w:drawing>
    </w: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2"/>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41B1"/>
    <w:multiLevelType w:val="hybridMultilevel"/>
    <w:tmpl w:val="AF36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87190"/>
    <w:multiLevelType w:val="hybridMultilevel"/>
    <w:tmpl w:val="D84A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92E7E"/>
    <w:multiLevelType w:val="hybridMultilevel"/>
    <w:tmpl w:val="8FC4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853171F"/>
    <w:multiLevelType w:val="hybridMultilevel"/>
    <w:tmpl w:val="E1AAF66A"/>
    <w:lvl w:ilvl="0" w:tplc="6D9443D6">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9F521D2"/>
    <w:multiLevelType w:val="hybridMultilevel"/>
    <w:tmpl w:val="039E4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B577D"/>
    <w:multiLevelType w:val="hybridMultilevel"/>
    <w:tmpl w:val="5EC2B29A"/>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D146730"/>
    <w:multiLevelType w:val="hybridMultilevel"/>
    <w:tmpl w:val="DDD4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1B3F03"/>
    <w:multiLevelType w:val="hybridMultilevel"/>
    <w:tmpl w:val="4B0C65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165F006C"/>
    <w:multiLevelType w:val="hybridMultilevel"/>
    <w:tmpl w:val="373AFF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BFC3691"/>
    <w:multiLevelType w:val="hybridMultilevel"/>
    <w:tmpl w:val="3DC86D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1934190"/>
    <w:multiLevelType w:val="hybridMultilevel"/>
    <w:tmpl w:val="06E84E38"/>
    <w:lvl w:ilvl="0" w:tplc="0807000F">
      <w:start w:val="1"/>
      <w:numFmt w:val="decimal"/>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6">
    <w:nsid w:val="228C7D0D"/>
    <w:multiLevelType w:val="hybridMultilevel"/>
    <w:tmpl w:val="70780B76"/>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6530700"/>
    <w:multiLevelType w:val="hybridMultilevel"/>
    <w:tmpl w:val="5652DF8E"/>
    <w:lvl w:ilvl="0" w:tplc="08070001">
      <w:start w:val="1"/>
      <w:numFmt w:val="bullet"/>
      <w:lvlText w:val=""/>
      <w:lvlJc w:val="left"/>
      <w:pPr>
        <w:ind w:left="2708" w:hanging="360"/>
      </w:pPr>
      <w:rPr>
        <w:rFonts w:ascii="Symbol" w:hAnsi="Symbol" w:hint="default"/>
      </w:rPr>
    </w:lvl>
    <w:lvl w:ilvl="1" w:tplc="08070003" w:tentative="1">
      <w:start w:val="1"/>
      <w:numFmt w:val="bullet"/>
      <w:lvlText w:val="o"/>
      <w:lvlJc w:val="left"/>
      <w:pPr>
        <w:ind w:left="3428" w:hanging="360"/>
      </w:pPr>
      <w:rPr>
        <w:rFonts w:ascii="Courier New" w:hAnsi="Courier New" w:cs="Courier New" w:hint="default"/>
      </w:rPr>
    </w:lvl>
    <w:lvl w:ilvl="2" w:tplc="08070005" w:tentative="1">
      <w:start w:val="1"/>
      <w:numFmt w:val="bullet"/>
      <w:lvlText w:val=""/>
      <w:lvlJc w:val="left"/>
      <w:pPr>
        <w:ind w:left="4148" w:hanging="360"/>
      </w:pPr>
      <w:rPr>
        <w:rFonts w:ascii="Wingdings" w:hAnsi="Wingdings" w:hint="default"/>
      </w:rPr>
    </w:lvl>
    <w:lvl w:ilvl="3" w:tplc="08070001" w:tentative="1">
      <w:start w:val="1"/>
      <w:numFmt w:val="bullet"/>
      <w:lvlText w:val=""/>
      <w:lvlJc w:val="left"/>
      <w:pPr>
        <w:ind w:left="4868" w:hanging="360"/>
      </w:pPr>
      <w:rPr>
        <w:rFonts w:ascii="Symbol" w:hAnsi="Symbol" w:hint="default"/>
      </w:rPr>
    </w:lvl>
    <w:lvl w:ilvl="4" w:tplc="08070003" w:tentative="1">
      <w:start w:val="1"/>
      <w:numFmt w:val="bullet"/>
      <w:lvlText w:val="o"/>
      <w:lvlJc w:val="left"/>
      <w:pPr>
        <w:ind w:left="5588" w:hanging="360"/>
      </w:pPr>
      <w:rPr>
        <w:rFonts w:ascii="Courier New" w:hAnsi="Courier New" w:cs="Courier New" w:hint="default"/>
      </w:rPr>
    </w:lvl>
    <w:lvl w:ilvl="5" w:tplc="08070005" w:tentative="1">
      <w:start w:val="1"/>
      <w:numFmt w:val="bullet"/>
      <w:lvlText w:val=""/>
      <w:lvlJc w:val="left"/>
      <w:pPr>
        <w:ind w:left="6308" w:hanging="360"/>
      </w:pPr>
      <w:rPr>
        <w:rFonts w:ascii="Wingdings" w:hAnsi="Wingdings" w:hint="default"/>
      </w:rPr>
    </w:lvl>
    <w:lvl w:ilvl="6" w:tplc="08070001" w:tentative="1">
      <w:start w:val="1"/>
      <w:numFmt w:val="bullet"/>
      <w:lvlText w:val=""/>
      <w:lvlJc w:val="left"/>
      <w:pPr>
        <w:ind w:left="7028" w:hanging="360"/>
      </w:pPr>
      <w:rPr>
        <w:rFonts w:ascii="Symbol" w:hAnsi="Symbol" w:hint="default"/>
      </w:rPr>
    </w:lvl>
    <w:lvl w:ilvl="7" w:tplc="08070003" w:tentative="1">
      <w:start w:val="1"/>
      <w:numFmt w:val="bullet"/>
      <w:lvlText w:val="o"/>
      <w:lvlJc w:val="left"/>
      <w:pPr>
        <w:ind w:left="7748" w:hanging="360"/>
      </w:pPr>
      <w:rPr>
        <w:rFonts w:ascii="Courier New" w:hAnsi="Courier New" w:cs="Courier New" w:hint="default"/>
      </w:rPr>
    </w:lvl>
    <w:lvl w:ilvl="8" w:tplc="08070005" w:tentative="1">
      <w:start w:val="1"/>
      <w:numFmt w:val="bullet"/>
      <w:lvlText w:val=""/>
      <w:lvlJc w:val="left"/>
      <w:pPr>
        <w:ind w:left="8468" w:hanging="360"/>
      </w:pPr>
      <w:rPr>
        <w:rFonts w:ascii="Wingdings" w:hAnsi="Wingdings" w:hint="default"/>
      </w:rPr>
    </w:lvl>
  </w:abstractNum>
  <w:abstractNum w:abstractNumId="18">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A41875"/>
    <w:multiLevelType w:val="hybridMultilevel"/>
    <w:tmpl w:val="FF3675D0"/>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02B1DBC"/>
    <w:multiLevelType w:val="hybridMultilevel"/>
    <w:tmpl w:val="FCA28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DD30E3"/>
    <w:multiLevelType w:val="hybridMultilevel"/>
    <w:tmpl w:val="431E34F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1E49C3"/>
    <w:multiLevelType w:val="hybridMultilevel"/>
    <w:tmpl w:val="21DC689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4">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8E67DA"/>
    <w:multiLevelType w:val="hybridMultilevel"/>
    <w:tmpl w:val="B0CE48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0345227"/>
    <w:multiLevelType w:val="hybridMultilevel"/>
    <w:tmpl w:val="42869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12158FC"/>
    <w:multiLevelType w:val="hybridMultilevel"/>
    <w:tmpl w:val="33686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5C5F74"/>
    <w:multiLevelType w:val="hybridMultilevel"/>
    <w:tmpl w:val="50868DF6"/>
    <w:lvl w:ilvl="0" w:tplc="D1F68300">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4D2A99"/>
    <w:multiLevelType w:val="hybridMultilevel"/>
    <w:tmpl w:val="B4269B6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CF6391"/>
    <w:multiLevelType w:val="hybridMultilevel"/>
    <w:tmpl w:val="EA5EA456"/>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1">
    <w:nsid w:val="59677C75"/>
    <w:multiLevelType w:val="hybridMultilevel"/>
    <w:tmpl w:val="E08E27B0"/>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2">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3">
    <w:nsid w:val="5C056CD3"/>
    <w:multiLevelType w:val="hybridMultilevel"/>
    <w:tmpl w:val="5150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35B2F"/>
    <w:multiLevelType w:val="hybridMultilevel"/>
    <w:tmpl w:val="A6BA9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309125B"/>
    <w:multiLevelType w:val="hybridMultilevel"/>
    <w:tmpl w:val="D64257E2"/>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3AA3EAC"/>
    <w:multiLevelType w:val="hybridMultilevel"/>
    <w:tmpl w:val="1CD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8">
    <w:nsid w:val="6C5C4A6D"/>
    <w:multiLevelType w:val="hybridMultilevel"/>
    <w:tmpl w:val="84B47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B138D7"/>
    <w:multiLevelType w:val="hybridMultilevel"/>
    <w:tmpl w:val="CB6ED1D4"/>
    <w:lvl w:ilvl="0" w:tplc="32541E2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7E707F"/>
    <w:multiLevelType w:val="hybridMultilevel"/>
    <w:tmpl w:val="F9248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E96B05"/>
    <w:multiLevelType w:val="hybridMultilevel"/>
    <w:tmpl w:val="DF16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57503"/>
    <w:multiLevelType w:val="hybridMultilevel"/>
    <w:tmpl w:val="6E7868D4"/>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7FC04C29"/>
    <w:multiLevelType w:val="hybridMultilevel"/>
    <w:tmpl w:val="E318B3C6"/>
    <w:lvl w:ilvl="0" w:tplc="23F48E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1"/>
  </w:num>
  <w:num w:numId="3">
    <w:abstractNumId w:val="18"/>
  </w:num>
  <w:num w:numId="4">
    <w:abstractNumId w:val="37"/>
  </w:num>
  <w:num w:numId="5">
    <w:abstractNumId w:val="37"/>
    <w:lvlOverride w:ilvl="0">
      <w:startOverride w:val="1"/>
    </w:lvlOverride>
  </w:num>
  <w:num w:numId="6">
    <w:abstractNumId w:val="8"/>
  </w:num>
  <w:num w:numId="7">
    <w:abstractNumId w:val="25"/>
  </w:num>
  <w:num w:numId="8">
    <w:abstractNumId w:val="26"/>
  </w:num>
  <w:num w:numId="9">
    <w:abstractNumId w:val="24"/>
  </w:num>
  <w:num w:numId="10">
    <w:abstractNumId w:val="0"/>
  </w:num>
  <w:num w:numId="11">
    <w:abstractNumId w:val="6"/>
  </w:num>
  <w:num w:numId="12">
    <w:abstractNumId w:val="21"/>
  </w:num>
  <w:num w:numId="13">
    <w:abstractNumId w:val="13"/>
  </w:num>
  <w:num w:numId="14">
    <w:abstractNumId w:val="32"/>
  </w:num>
  <w:num w:numId="15">
    <w:abstractNumId w:val="2"/>
  </w:num>
  <w:num w:numId="16">
    <w:abstractNumId w:val="40"/>
  </w:num>
  <w:num w:numId="17">
    <w:abstractNumId w:val="36"/>
  </w:num>
  <w:num w:numId="18">
    <w:abstractNumId w:val="39"/>
  </w:num>
  <w:num w:numId="19">
    <w:abstractNumId w:val="19"/>
  </w:num>
  <w:num w:numId="20">
    <w:abstractNumId w:val="16"/>
  </w:num>
  <w:num w:numId="21">
    <w:abstractNumId w:val="9"/>
  </w:num>
  <w:num w:numId="22">
    <w:abstractNumId w:val="22"/>
  </w:num>
  <w:num w:numId="23">
    <w:abstractNumId w:val="29"/>
  </w:num>
  <w:num w:numId="24">
    <w:abstractNumId w:val="20"/>
  </w:num>
  <w:num w:numId="25">
    <w:abstractNumId w:val="5"/>
  </w:num>
  <w:num w:numId="26">
    <w:abstractNumId w:val="27"/>
  </w:num>
  <w:num w:numId="27">
    <w:abstractNumId w:val="23"/>
  </w:num>
  <w:num w:numId="28">
    <w:abstractNumId w:val="31"/>
  </w:num>
  <w:num w:numId="29">
    <w:abstractNumId w:val="30"/>
  </w:num>
  <w:num w:numId="30">
    <w:abstractNumId w:val="33"/>
  </w:num>
  <w:num w:numId="31">
    <w:abstractNumId w:val="10"/>
  </w:num>
  <w:num w:numId="32">
    <w:abstractNumId w:val="3"/>
  </w:num>
  <w:num w:numId="33">
    <w:abstractNumId w:val="1"/>
  </w:num>
  <w:num w:numId="34">
    <w:abstractNumId w:val="34"/>
  </w:num>
  <w:num w:numId="35">
    <w:abstractNumId w:val="15"/>
  </w:num>
  <w:num w:numId="36">
    <w:abstractNumId w:val="17"/>
  </w:num>
  <w:num w:numId="37">
    <w:abstractNumId w:val="12"/>
  </w:num>
  <w:num w:numId="38">
    <w:abstractNumId w:val="14"/>
  </w:num>
  <w:num w:numId="39">
    <w:abstractNumId w:val="43"/>
  </w:num>
  <w:num w:numId="40">
    <w:abstractNumId w:val="35"/>
  </w:num>
  <w:num w:numId="41">
    <w:abstractNumId w:val="4"/>
  </w:num>
  <w:num w:numId="42">
    <w:abstractNumId w:val="42"/>
  </w:num>
  <w:num w:numId="43">
    <w:abstractNumId w:val="41"/>
  </w:num>
  <w:num w:numId="44">
    <w:abstractNumId w:val="28"/>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defaultTabStop w:val="720"/>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A5C94"/>
    <w:rsid w:val="00014652"/>
    <w:rsid w:val="000172EE"/>
    <w:rsid w:val="00026A59"/>
    <w:rsid w:val="0003560D"/>
    <w:rsid w:val="00040BA4"/>
    <w:rsid w:val="000454AA"/>
    <w:rsid w:val="000544D9"/>
    <w:rsid w:val="000558B3"/>
    <w:rsid w:val="000717ED"/>
    <w:rsid w:val="00080D5B"/>
    <w:rsid w:val="00092C7A"/>
    <w:rsid w:val="000931C3"/>
    <w:rsid w:val="000A5C17"/>
    <w:rsid w:val="000B657C"/>
    <w:rsid w:val="000C4BBE"/>
    <w:rsid w:val="000D42CF"/>
    <w:rsid w:val="000E2EF9"/>
    <w:rsid w:val="000F2424"/>
    <w:rsid w:val="000F34A3"/>
    <w:rsid w:val="00104A9A"/>
    <w:rsid w:val="001177C8"/>
    <w:rsid w:val="00120AC4"/>
    <w:rsid w:val="00123A06"/>
    <w:rsid w:val="00137AC5"/>
    <w:rsid w:val="00141A9D"/>
    <w:rsid w:val="001667BA"/>
    <w:rsid w:val="00172124"/>
    <w:rsid w:val="001942C0"/>
    <w:rsid w:val="001B1B76"/>
    <w:rsid w:val="001B77C1"/>
    <w:rsid w:val="001D250C"/>
    <w:rsid w:val="001E11DF"/>
    <w:rsid w:val="001E5E3D"/>
    <w:rsid w:val="001F0FF0"/>
    <w:rsid w:val="00201991"/>
    <w:rsid w:val="002206D7"/>
    <w:rsid w:val="0022398C"/>
    <w:rsid w:val="00227ABE"/>
    <w:rsid w:val="002345EB"/>
    <w:rsid w:val="002667B5"/>
    <w:rsid w:val="00271BEB"/>
    <w:rsid w:val="0029320F"/>
    <w:rsid w:val="002B4000"/>
    <w:rsid w:val="002C5006"/>
    <w:rsid w:val="002F4365"/>
    <w:rsid w:val="00311B2D"/>
    <w:rsid w:val="003341E5"/>
    <w:rsid w:val="00351373"/>
    <w:rsid w:val="00351EAE"/>
    <w:rsid w:val="00355BF8"/>
    <w:rsid w:val="003760EA"/>
    <w:rsid w:val="0038541E"/>
    <w:rsid w:val="003A712F"/>
    <w:rsid w:val="003B043D"/>
    <w:rsid w:val="003B3031"/>
    <w:rsid w:val="003C159D"/>
    <w:rsid w:val="003C250C"/>
    <w:rsid w:val="003C25EC"/>
    <w:rsid w:val="003C2E93"/>
    <w:rsid w:val="003C40F4"/>
    <w:rsid w:val="003C7EE9"/>
    <w:rsid w:val="003D2D73"/>
    <w:rsid w:val="003E0F0E"/>
    <w:rsid w:val="003F6435"/>
    <w:rsid w:val="00406985"/>
    <w:rsid w:val="004265EB"/>
    <w:rsid w:val="00454901"/>
    <w:rsid w:val="00462558"/>
    <w:rsid w:val="00473F18"/>
    <w:rsid w:val="00492831"/>
    <w:rsid w:val="004E2138"/>
    <w:rsid w:val="004E3528"/>
    <w:rsid w:val="004F3267"/>
    <w:rsid w:val="00511E90"/>
    <w:rsid w:val="00514845"/>
    <w:rsid w:val="00523F6E"/>
    <w:rsid w:val="00527CED"/>
    <w:rsid w:val="005531AC"/>
    <w:rsid w:val="0056156E"/>
    <w:rsid w:val="0057005C"/>
    <w:rsid w:val="00574D4B"/>
    <w:rsid w:val="0057623A"/>
    <w:rsid w:val="0057696D"/>
    <w:rsid w:val="00592A8F"/>
    <w:rsid w:val="00595B05"/>
    <w:rsid w:val="005B6C0B"/>
    <w:rsid w:val="005D11DA"/>
    <w:rsid w:val="005D1FDD"/>
    <w:rsid w:val="005E3A0F"/>
    <w:rsid w:val="005E3EF0"/>
    <w:rsid w:val="00607990"/>
    <w:rsid w:val="00624B5A"/>
    <w:rsid w:val="00627CDE"/>
    <w:rsid w:val="00656A3F"/>
    <w:rsid w:val="00682572"/>
    <w:rsid w:val="00696616"/>
    <w:rsid w:val="006A5C94"/>
    <w:rsid w:val="006B386C"/>
    <w:rsid w:val="006C1B23"/>
    <w:rsid w:val="006E561D"/>
    <w:rsid w:val="00711506"/>
    <w:rsid w:val="00721CA7"/>
    <w:rsid w:val="00776BEF"/>
    <w:rsid w:val="00777A2A"/>
    <w:rsid w:val="007A74FF"/>
    <w:rsid w:val="007C5656"/>
    <w:rsid w:val="007C5EDF"/>
    <w:rsid w:val="007C61CE"/>
    <w:rsid w:val="007D13DB"/>
    <w:rsid w:val="007F5E3F"/>
    <w:rsid w:val="0082462C"/>
    <w:rsid w:val="00855381"/>
    <w:rsid w:val="008603A8"/>
    <w:rsid w:val="00883AD2"/>
    <w:rsid w:val="00884BF5"/>
    <w:rsid w:val="00893A23"/>
    <w:rsid w:val="00897BE6"/>
    <w:rsid w:val="008C0C85"/>
    <w:rsid w:val="008C549A"/>
    <w:rsid w:val="008C6DDF"/>
    <w:rsid w:val="009007B4"/>
    <w:rsid w:val="00903793"/>
    <w:rsid w:val="00932C72"/>
    <w:rsid w:val="009345C2"/>
    <w:rsid w:val="00957377"/>
    <w:rsid w:val="00957B1E"/>
    <w:rsid w:val="00973279"/>
    <w:rsid w:val="00982F90"/>
    <w:rsid w:val="00991EDA"/>
    <w:rsid w:val="00993CF5"/>
    <w:rsid w:val="009D2135"/>
    <w:rsid w:val="009D794A"/>
    <w:rsid w:val="009E4207"/>
    <w:rsid w:val="00A105CA"/>
    <w:rsid w:val="00A367C7"/>
    <w:rsid w:val="00A50C3D"/>
    <w:rsid w:val="00A5156F"/>
    <w:rsid w:val="00A71F0C"/>
    <w:rsid w:val="00A8015B"/>
    <w:rsid w:val="00A875F4"/>
    <w:rsid w:val="00AA0E27"/>
    <w:rsid w:val="00AC17E7"/>
    <w:rsid w:val="00AD07B5"/>
    <w:rsid w:val="00B059CF"/>
    <w:rsid w:val="00B0756D"/>
    <w:rsid w:val="00B25CA6"/>
    <w:rsid w:val="00B263C9"/>
    <w:rsid w:val="00B37122"/>
    <w:rsid w:val="00B50C53"/>
    <w:rsid w:val="00B645E5"/>
    <w:rsid w:val="00B657B7"/>
    <w:rsid w:val="00B677A2"/>
    <w:rsid w:val="00B812D3"/>
    <w:rsid w:val="00B8351A"/>
    <w:rsid w:val="00BA2943"/>
    <w:rsid w:val="00BB0D77"/>
    <w:rsid w:val="00BD32E7"/>
    <w:rsid w:val="00BE212C"/>
    <w:rsid w:val="00C00CCB"/>
    <w:rsid w:val="00C02690"/>
    <w:rsid w:val="00C17114"/>
    <w:rsid w:val="00C37AE6"/>
    <w:rsid w:val="00C46D6C"/>
    <w:rsid w:val="00C506B0"/>
    <w:rsid w:val="00C7049B"/>
    <w:rsid w:val="00C7545A"/>
    <w:rsid w:val="00C817CB"/>
    <w:rsid w:val="00C85DB5"/>
    <w:rsid w:val="00C9294E"/>
    <w:rsid w:val="00C956FD"/>
    <w:rsid w:val="00CC3948"/>
    <w:rsid w:val="00CC7D7A"/>
    <w:rsid w:val="00CD7074"/>
    <w:rsid w:val="00D05650"/>
    <w:rsid w:val="00D3070B"/>
    <w:rsid w:val="00D3785C"/>
    <w:rsid w:val="00D65F6D"/>
    <w:rsid w:val="00D73EE9"/>
    <w:rsid w:val="00DA0034"/>
    <w:rsid w:val="00DB0672"/>
    <w:rsid w:val="00DC38CB"/>
    <w:rsid w:val="00DC45CB"/>
    <w:rsid w:val="00DD2552"/>
    <w:rsid w:val="00DE6357"/>
    <w:rsid w:val="00DF1CB4"/>
    <w:rsid w:val="00E00AF9"/>
    <w:rsid w:val="00E031DE"/>
    <w:rsid w:val="00E064E9"/>
    <w:rsid w:val="00E0720F"/>
    <w:rsid w:val="00E116B1"/>
    <w:rsid w:val="00E32800"/>
    <w:rsid w:val="00E361FE"/>
    <w:rsid w:val="00E540F6"/>
    <w:rsid w:val="00E82241"/>
    <w:rsid w:val="00EA0520"/>
    <w:rsid w:val="00EB24D6"/>
    <w:rsid w:val="00EB4682"/>
    <w:rsid w:val="00EC164C"/>
    <w:rsid w:val="00EC54C9"/>
    <w:rsid w:val="00ED36A7"/>
    <w:rsid w:val="00ED42C7"/>
    <w:rsid w:val="00ED4ED9"/>
    <w:rsid w:val="00EE0304"/>
    <w:rsid w:val="00EE7DA2"/>
    <w:rsid w:val="00EF075A"/>
    <w:rsid w:val="00EF2107"/>
    <w:rsid w:val="00F0218C"/>
    <w:rsid w:val="00F02BE9"/>
    <w:rsid w:val="00F179F5"/>
    <w:rsid w:val="00F21D63"/>
    <w:rsid w:val="00F305A4"/>
    <w:rsid w:val="00F5027F"/>
    <w:rsid w:val="00F560FB"/>
    <w:rsid w:val="00F721FF"/>
    <w:rsid w:val="00FB0C9F"/>
    <w:rsid w:val="00FB34A4"/>
    <w:rsid w:val="00FC2E62"/>
    <w:rsid w:val="00FC3F23"/>
    <w:rsid w:val="00FC6191"/>
    <w:rsid w:val="00FF2AF9"/>
    <w:rsid w:val="00FF5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A5C94"/>
    <w:rPr>
      <w:vertAlign w:val="superscript"/>
    </w:rPr>
  </w:style>
  <w:style w:type="paragraph" w:styleId="NormalWeb">
    <w:name w:val="Normal (Web)"/>
    <w:basedOn w:val="Normal"/>
    <w:uiPriority w:val="99"/>
    <w:rsid w:val="00026A59"/>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092C7A"/>
    <w:pPr>
      <w:spacing w:line="240" w:lineRule="auto"/>
    </w:pPr>
    <w:rPr>
      <w:rFonts w:asciiTheme="minorHAnsi" w:eastAsiaTheme="minorHAnsi" w:hAnsiTheme="minorHAnsi" w:cstheme="minorBidi"/>
      <w:szCs w:val="20"/>
      <w:lang w:val="en-IE"/>
    </w:rPr>
  </w:style>
  <w:style w:type="character" w:customStyle="1" w:styleId="FootnoteTextChar">
    <w:name w:val="Footnote Text Char"/>
    <w:basedOn w:val="DefaultParagraphFont"/>
    <w:link w:val="FootnoteText"/>
    <w:uiPriority w:val="99"/>
    <w:semiHidden/>
    <w:rsid w:val="00092C7A"/>
    <w:rPr>
      <w:rFonts w:asciiTheme="minorHAnsi" w:eastAsiaTheme="minorHAnsi" w:hAnsiTheme="minorHAnsi" w:cstheme="minorBidi"/>
      <w:sz w:val="20"/>
      <w:szCs w:val="20"/>
      <w:lang w:val="en-IE" w:eastAsia="en-US"/>
    </w:rPr>
  </w:style>
  <w:style w:type="character" w:styleId="FollowedHyperlink">
    <w:name w:val="FollowedHyperlink"/>
    <w:basedOn w:val="DefaultParagraphFont"/>
    <w:uiPriority w:val="99"/>
    <w:semiHidden/>
    <w:unhideWhenUsed/>
    <w:rsid w:val="00DC38CB"/>
    <w:rPr>
      <w:color w:val="800080" w:themeColor="followedHyperlink"/>
      <w:u w:val="single"/>
    </w:rPr>
  </w:style>
  <w:style w:type="paragraph" w:customStyle="1" w:styleId="Normal1">
    <w:name w:val="Normal1"/>
    <w:rsid w:val="004E2138"/>
    <w:pPr>
      <w:spacing w:line="276" w:lineRule="auto"/>
    </w:pPr>
    <w:rPr>
      <w:rFonts w:ascii="Arial" w:eastAsia="Arial" w:hAnsi="Arial" w:cs="Arial"/>
      <w:color w:val="000000"/>
      <w:szCs w:val="24"/>
      <w:lang w:val="en-US" w:eastAsia="ja-JP"/>
    </w:rPr>
  </w:style>
  <w:style w:type="table" w:styleId="MediumList2">
    <w:name w:val="Medium List 2"/>
    <w:basedOn w:val="TableNormal"/>
    <w:uiPriority w:val="66"/>
    <w:rsid w:val="004E213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A5C94"/>
    <w:rPr>
      <w:vertAlign w:val="superscript"/>
    </w:rPr>
  </w:style>
  <w:style w:type="paragraph" w:styleId="NormalWeb">
    <w:name w:val="Normal (Web)"/>
    <w:basedOn w:val="Normal"/>
    <w:uiPriority w:val="99"/>
    <w:rsid w:val="00026A59"/>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092C7A"/>
    <w:pPr>
      <w:spacing w:line="240" w:lineRule="auto"/>
    </w:pPr>
    <w:rPr>
      <w:rFonts w:asciiTheme="minorHAnsi" w:eastAsiaTheme="minorHAnsi" w:hAnsiTheme="minorHAnsi" w:cstheme="minorBidi"/>
      <w:szCs w:val="20"/>
      <w:lang w:val="en-IE"/>
    </w:rPr>
  </w:style>
  <w:style w:type="character" w:customStyle="1" w:styleId="FootnoteTextChar">
    <w:name w:val="Footnote Text Char"/>
    <w:basedOn w:val="DefaultParagraphFont"/>
    <w:link w:val="FootnoteText"/>
    <w:uiPriority w:val="99"/>
    <w:semiHidden/>
    <w:rsid w:val="00092C7A"/>
    <w:rPr>
      <w:rFonts w:asciiTheme="minorHAnsi" w:eastAsiaTheme="minorHAnsi" w:hAnsiTheme="minorHAnsi" w:cstheme="minorBidi"/>
      <w:sz w:val="20"/>
      <w:szCs w:val="20"/>
      <w:lang w:val="en-IE" w:eastAsia="en-US"/>
    </w:rPr>
  </w:style>
  <w:style w:type="character" w:styleId="FollowedHyperlink">
    <w:name w:val="FollowedHyperlink"/>
    <w:basedOn w:val="DefaultParagraphFont"/>
    <w:uiPriority w:val="99"/>
    <w:semiHidden/>
    <w:unhideWhenUsed/>
    <w:rsid w:val="00DC38CB"/>
    <w:rPr>
      <w:color w:val="800080" w:themeColor="followedHyperlink"/>
      <w:u w:val="single"/>
    </w:rPr>
  </w:style>
  <w:style w:type="paragraph" w:customStyle="1" w:styleId="Normal1">
    <w:name w:val="Normal1"/>
    <w:rsid w:val="004E2138"/>
    <w:pPr>
      <w:spacing w:line="276" w:lineRule="auto"/>
    </w:pPr>
    <w:rPr>
      <w:rFonts w:ascii="Arial" w:eastAsia="Arial" w:hAnsi="Arial" w:cs="Arial"/>
      <w:color w:val="000000"/>
      <w:szCs w:val="24"/>
      <w:lang w:val="en-US" w:eastAsia="ja-JP"/>
    </w:rPr>
  </w:style>
  <w:style w:type="table" w:styleId="MediumList2">
    <w:name w:val="Medium List 2"/>
    <w:basedOn w:val="TableNormal"/>
    <w:uiPriority w:val="66"/>
    <w:rsid w:val="004E213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edin@firstlightpr.com" TargetMode="External"/><Relationship Id="rId13" Type="http://schemas.openxmlformats.org/officeDocument/2006/relationships/hyperlink" Target="http://www.linkedin.com/in/davidalyncohen" TargetMode="External"/><Relationship Id="rId18" Type="http://schemas.openxmlformats.org/officeDocument/2006/relationships/hyperlink" Target="http://press.linkedin.com/about"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nkedin.com/profile/view?id=48277605&amp;locale=en_US&amp;trk=tyah&amp;trkInfo=tarId%3A1396437730527%2Ctas%3Amichael%20rende%2Cidx%3A1-1-1" TargetMode="External"/><Relationship Id="rId17" Type="http://schemas.openxmlformats.org/officeDocument/2006/relationships/hyperlink" Target="http://press.linkedin.com/abou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w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talentadaptabil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x-webdoc://618C51B0-9F4B-4FF2-94FE-D579324A1330/www.pwc.com/talentadaptability" TargetMode="External"/><Relationship Id="rId23" Type="http://schemas.openxmlformats.org/officeDocument/2006/relationships/header" Target="header3.xml"/><Relationship Id="rId10" Type="http://schemas.openxmlformats.org/officeDocument/2006/relationships/hyperlink" Target="http://www.linkedin.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c.com/" TargetMode="External"/><Relationship Id="rId14" Type="http://schemas.openxmlformats.org/officeDocument/2006/relationships/hyperlink" Target="x-webdoc://618C51B0-9F4B-4FF2-94FE-D579324A1330/www.pwc.com/talentadaptabilit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D9C71-E7B0-4767-AAA1-67FA559A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4</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timothy.specce</cp:lastModifiedBy>
  <cp:revision>2</cp:revision>
  <cp:lastPrinted>2014-04-04T12:14:00Z</cp:lastPrinted>
  <dcterms:created xsi:type="dcterms:W3CDTF">2014-04-08T10:52:00Z</dcterms:created>
  <dcterms:modified xsi:type="dcterms:W3CDTF">2014-04-08T10:52:00Z</dcterms:modified>
</cp:coreProperties>
</file>