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616" w:rsidRPr="009B7A2B" w:rsidRDefault="0020371F">
      <w:pPr>
        <w:rPr>
          <w:szCs w:val="20"/>
        </w:rPr>
      </w:pPr>
      <w:r w:rsidRPr="009B7A2B">
        <w:rPr>
          <w:noProof/>
          <w:szCs w:val="20"/>
          <w:lang w:val="en-US"/>
        </w:rPr>
        <mc:AlternateContent>
          <mc:Choice Requires="wps">
            <w:drawing>
              <wp:anchor distT="0" distB="0" distL="114300" distR="114300" simplePos="0" relativeHeight="251657728" behindDoc="0" locked="1" layoutInCell="1" allowOverlap="1" wp14:anchorId="5404C675" wp14:editId="563E4D45">
                <wp:simplePos x="0" y="0"/>
                <wp:positionH relativeFrom="page">
                  <wp:posOffset>1115695</wp:posOffset>
                </wp:positionH>
                <wp:positionV relativeFrom="page">
                  <wp:posOffset>9792335</wp:posOffset>
                </wp:positionV>
                <wp:extent cx="5905500" cy="144145"/>
                <wp:effectExtent l="10795" t="10160" r="8255" b="7620"/>
                <wp:wrapNone/>
                <wp:docPr id="3" name="Freeform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905500" cy="144145"/>
                        </a:xfrm>
                        <a:custGeom>
                          <a:avLst/>
                          <a:gdLst>
                            <a:gd name="T0" fmla="*/ 0 w 9301"/>
                            <a:gd name="T1" fmla="*/ 228 h 228"/>
                            <a:gd name="T2" fmla="*/ 0 w 9301"/>
                            <a:gd name="T3" fmla="*/ 0 h 228"/>
                            <a:gd name="T4" fmla="*/ 9301 w 9301"/>
                            <a:gd name="T5" fmla="*/ 0 h 228"/>
                          </a:gdLst>
                          <a:ahLst/>
                          <a:cxnLst>
                            <a:cxn ang="0">
                              <a:pos x="T0" y="T1"/>
                            </a:cxn>
                            <a:cxn ang="0">
                              <a:pos x="T2" y="T3"/>
                            </a:cxn>
                            <a:cxn ang="0">
                              <a:pos x="T4" y="T5"/>
                            </a:cxn>
                          </a:cxnLst>
                          <a:rect l="0" t="0" r="r" b="b"/>
                          <a:pathLst>
                            <a:path w="9301" h="228">
                              <a:moveTo>
                                <a:pt x="0" y="228"/>
                              </a:moveTo>
                              <a:lnTo>
                                <a:pt x="0" y="0"/>
                              </a:lnTo>
                              <a:lnTo>
                                <a:pt x="9301" y="0"/>
                              </a:lnTo>
                            </a:path>
                          </a:pathLst>
                        </a:custGeom>
                        <a:noFill/>
                        <a:ln w="12700" cap="rnd">
                          <a:solidFill>
                            <a:srgbClr val="DC69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87.85pt;margin-top:771.05pt;width:465pt;height:11.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01,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TVQwMAAGQHAAAOAAAAZHJzL2Uyb0RvYy54bWysVV1v2jAUfZ+0/2D5cRLNB6GFqKGqCEyT&#10;uq1S2Q8wsUOiJbZnGwKb9t937SQQ2nWapvGQ2LmH63PPtY9v7w51hfZM6VLwBAdXPkaMZ4KWfJvg&#10;L+vVaIqRNoRTUgnOEnxkGt/N3765bWTMQlGIijKFIAnXcSMTXBgjY8/TWcFqoq+EZByCuVA1MTBV&#10;W48q0kD2uvJC37/2GqGoVCJjWsPXtA3iucuf5ywzn/NcM4OqBAM3457KPTf26c1vSbxVRBZl1tEg&#10;/8CiJiWHRU+pUmII2qnyRaq6zJTQIjdXmag9kedlxlwNUE3gP6vmqSCSuVpAHC1PMun/lzb7tH9U&#10;qKQJHmPESQ0tWinGrOAotOo0UscAepKPytan5YPIvmrExaIgfMvutQSNofMW612A7UTD39Cm+Sgo&#10;JCY7I5xIh1zVNhmUjw6uF8dTL9jBoAw+Tmb+ZOJDyzKIBVEURBO3BIn7f2c7bd4z4TKR/YM2bS8p&#10;jFwnaFfPGpLkdQVtfechHzVoNvYdXejWCRMMMGE4RQWCZ7c7TqBwAHotEcg4WOy3aaIBxHJ5hdJk&#10;APPPhDxLu6uRFH3Z2YF332CEoDNWUCuDFNpqbEUAIddtn0gMKBt9BQyFWvC4U/zPYCjHgvv2ODCQ&#10;hHfHSMEOeX7+FEZw/jatwpIYW4ijC0PUJNj1CBUJtm2wgVrs2Vo4iDlvmq5JsNw5XvGXOHfQAdXH&#10;+rd0udrFoIhLGOAtM9jX7cBRhPFw43GxKqvK7byKW+JBeON2LQEzU5w67lpUJbU4S1+r7WZRKbQn&#10;YEnp4noGcHt2IDKESaVNSnTR4vRRp8K0aimx49StWDBCl93YkLJqx5Cpcs2Fo9Spag+Vc6MfM3+2&#10;nC6n0SgKr5ejyE/T0f1qEY2uV8HNJB2ni0Ua/LSkgyguSkoZt7x7Zwyiv3OezqNbTzt540V9FzKs&#10;3O+lDN4lDacS1NK/24b0PtN61UbQI3iOEq3Vw9UEg0Ko7xg1YPMJ1t92RDGMqg8cfHQG1mLvBTeJ&#10;JjchTNQwshlGCM8gVYINhiNmhwvT3iU7qcpt4XzQ9piLe/C6vLSW5EyxZdVNwMpdBd21Y++K4dyh&#10;zpfj/BcAAAD//wMAUEsDBBQABgAIAAAAIQCGT8mz5AAAAA4BAAAPAAAAZHJzL2Rvd25yZXYueG1s&#10;TI/NTsMwEITvSLyDtUhcUOuk6h8hToWA0gNUFS1C4ubGSxI1Xkex26Zvz+YEt53Z0ey36aKztThh&#10;6ytHCuJhBAIpd6aiQsHnbjmYg/BBk9G1I1RwQQ+L7Poq1YlxZ/rA0zYUgkvIJ1pBGUKTSOnzEq32&#10;Q9cg8e7HtVYHlm0hTavPXG5rOYqiqbS6Ir5Q6gafSswP26NV8Hyo37/k6v7Ffe9el/YO16u3zVqp&#10;25vu8QFEwC78haHHZ3TImGnvjmS8qFnPJjOO8jAZj2IQfSSOem/fe9PxHGSWyv9vZL8AAAD//wMA&#10;UEsBAi0AFAAGAAgAAAAhALaDOJL+AAAA4QEAABMAAAAAAAAAAAAAAAAAAAAAAFtDb250ZW50X1R5&#10;cGVzXS54bWxQSwECLQAUAAYACAAAACEAOP0h/9YAAACUAQAACwAAAAAAAAAAAAAAAAAvAQAAX3Jl&#10;bHMvLnJlbHNQSwECLQAUAAYACAAAACEACXm01UMDAABkBwAADgAAAAAAAAAAAAAAAAAuAgAAZHJz&#10;L2Uyb0RvYy54bWxQSwECLQAUAAYACAAAACEAhk/Js+QAAAAOAQAADwAAAAAAAAAAAAAAAACdBQAA&#10;ZHJzL2Rvd25yZXYueG1sUEsFBgAAAAAEAAQA8wAAAK4GAAAAAA==&#10;" path="m,228l,,9301,e" filled="f" strokecolor="#dc6900" strokeweight="1pt">
                <v:stroke dashstyle="1 1" endcap="round"/>
                <v:path arrowok="t" o:connecttype="custom" o:connectlocs="0,144145;0,0;5905500,0" o:connectangles="0,0,0"/>
                <o:lock v:ext="edit" aspectratio="t"/>
                <w10:wrap anchorx="page" anchory="page"/>
                <w10:anchorlock/>
              </v:shape>
            </w:pict>
          </mc:Fallback>
        </mc:AlternateContent>
      </w:r>
    </w:p>
    <w:p w:rsidR="00297616" w:rsidRPr="009B7A2B" w:rsidRDefault="005E6081">
      <w:pPr>
        <w:pStyle w:val="Title"/>
        <w:spacing w:after="0"/>
        <w:rPr>
          <w:rFonts w:ascii="Georgia" w:hAnsi="Georgia"/>
          <w:sz w:val="20"/>
          <w:szCs w:val="20"/>
        </w:rPr>
      </w:pPr>
      <w:r w:rsidRPr="009B7A2B">
        <w:rPr>
          <w:rFonts w:ascii="Georgia" w:hAnsi="Georgia"/>
          <w:sz w:val="20"/>
          <w:szCs w:val="20"/>
        </w:rPr>
        <w:t>News release</w:t>
      </w:r>
    </w:p>
    <w:p w:rsidR="00297616" w:rsidRPr="009B7A2B" w:rsidRDefault="00297616">
      <w:pPr>
        <w:rPr>
          <w:szCs w:val="20"/>
        </w:rPr>
      </w:pPr>
    </w:p>
    <w:tbl>
      <w:tblPr>
        <w:tblW w:w="0" w:type="auto"/>
        <w:tblLayout w:type="fixed"/>
        <w:tblLook w:val="0000" w:firstRow="0" w:lastRow="0" w:firstColumn="0" w:lastColumn="0" w:noHBand="0" w:noVBand="0"/>
      </w:tblPr>
      <w:tblGrid>
        <w:gridCol w:w="2268"/>
        <w:gridCol w:w="5220"/>
      </w:tblGrid>
      <w:tr w:rsidR="00297616" w:rsidRPr="009B7A2B" w:rsidTr="009B7A2B">
        <w:tc>
          <w:tcPr>
            <w:tcW w:w="2268" w:type="dxa"/>
            <w:shd w:val="clear" w:color="auto" w:fill="auto"/>
          </w:tcPr>
          <w:p w:rsidR="00297616" w:rsidRPr="009B7A2B" w:rsidRDefault="00864309">
            <w:pPr>
              <w:spacing w:line="240" w:lineRule="auto"/>
              <w:rPr>
                <w:i/>
                <w:szCs w:val="20"/>
              </w:rPr>
            </w:pPr>
            <w:r w:rsidRPr="009B7A2B">
              <w:rPr>
                <w:i/>
                <w:szCs w:val="20"/>
              </w:rPr>
              <w:t>Date</w:t>
            </w:r>
          </w:p>
        </w:tc>
        <w:tc>
          <w:tcPr>
            <w:tcW w:w="5220" w:type="dxa"/>
            <w:shd w:val="clear" w:color="auto" w:fill="auto"/>
          </w:tcPr>
          <w:p w:rsidR="00297616" w:rsidRPr="009B7A2B" w:rsidRDefault="008475D0" w:rsidP="00A50CF6">
            <w:pPr>
              <w:spacing w:line="240" w:lineRule="auto"/>
              <w:rPr>
                <w:color w:val="000000" w:themeColor="text1"/>
                <w:szCs w:val="20"/>
              </w:rPr>
            </w:pPr>
            <w:r w:rsidRPr="009B7A2B">
              <w:rPr>
                <w:color w:val="000000" w:themeColor="text1"/>
                <w:szCs w:val="20"/>
              </w:rPr>
              <w:t xml:space="preserve">Embargoed until </w:t>
            </w:r>
            <w:r w:rsidR="003B093D" w:rsidRPr="009B7A2B">
              <w:rPr>
                <w:color w:val="000000" w:themeColor="text1"/>
                <w:szCs w:val="20"/>
              </w:rPr>
              <w:t>00.01 hrs</w:t>
            </w:r>
            <w:r w:rsidRPr="009B7A2B">
              <w:rPr>
                <w:color w:val="000000" w:themeColor="text1"/>
                <w:szCs w:val="20"/>
              </w:rPr>
              <w:t xml:space="preserve"> GMT,</w:t>
            </w:r>
            <w:r w:rsidR="008D4731" w:rsidRPr="009B7A2B">
              <w:rPr>
                <w:color w:val="000000" w:themeColor="text1"/>
                <w:szCs w:val="20"/>
              </w:rPr>
              <w:t xml:space="preserve"> </w:t>
            </w:r>
            <w:r w:rsidR="009B7A2B" w:rsidRPr="009B7A2B">
              <w:rPr>
                <w:color w:val="000000" w:themeColor="text1"/>
                <w:szCs w:val="20"/>
              </w:rPr>
              <w:br/>
            </w:r>
            <w:r w:rsidR="00A50CF6" w:rsidRPr="009B7A2B">
              <w:rPr>
                <w:color w:val="000000" w:themeColor="text1"/>
                <w:szCs w:val="20"/>
              </w:rPr>
              <w:t>Thursday 27</w:t>
            </w:r>
            <w:r w:rsidR="003B093D" w:rsidRPr="009B7A2B">
              <w:rPr>
                <w:color w:val="000000" w:themeColor="text1"/>
                <w:szCs w:val="20"/>
              </w:rPr>
              <w:t xml:space="preserve"> February 2014</w:t>
            </w:r>
          </w:p>
          <w:p w:rsidR="009B7A2B" w:rsidRPr="009B7A2B" w:rsidRDefault="009B7A2B" w:rsidP="00A50CF6">
            <w:pPr>
              <w:spacing w:line="240" w:lineRule="auto"/>
              <w:rPr>
                <w:color w:val="000000" w:themeColor="text1"/>
                <w:szCs w:val="20"/>
              </w:rPr>
            </w:pPr>
          </w:p>
        </w:tc>
      </w:tr>
      <w:tr w:rsidR="00297616" w:rsidRPr="009B7A2B" w:rsidTr="009B7A2B">
        <w:tc>
          <w:tcPr>
            <w:tcW w:w="2268" w:type="dxa"/>
            <w:shd w:val="clear" w:color="auto" w:fill="auto"/>
          </w:tcPr>
          <w:p w:rsidR="00297616" w:rsidRPr="009B7A2B" w:rsidRDefault="00864309">
            <w:pPr>
              <w:spacing w:line="240" w:lineRule="auto"/>
              <w:rPr>
                <w:i/>
                <w:szCs w:val="20"/>
              </w:rPr>
            </w:pPr>
            <w:r w:rsidRPr="009B7A2B">
              <w:rPr>
                <w:i/>
                <w:szCs w:val="20"/>
              </w:rPr>
              <w:t>Contact</w:t>
            </w:r>
          </w:p>
        </w:tc>
        <w:tc>
          <w:tcPr>
            <w:tcW w:w="5220" w:type="dxa"/>
            <w:shd w:val="clear" w:color="auto" w:fill="auto"/>
          </w:tcPr>
          <w:p w:rsidR="00297616" w:rsidRPr="009B7A2B" w:rsidRDefault="00DF13B6">
            <w:pPr>
              <w:spacing w:line="240" w:lineRule="auto"/>
              <w:rPr>
                <w:szCs w:val="20"/>
                <w:lang w:val="it-IT"/>
              </w:rPr>
            </w:pPr>
            <w:r w:rsidRPr="009B7A2B">
              <w:rPr>
                <w:szCs w:val="20"/>
                <w:lang w:val="it-IT"/>
              </w:rPr>
              <w:t>Hilary Downes</w:t>
            </w:r>
            <w:r w:rsidR="00864309" w:rsidRPr="009B7A2B">
              <w:rPr>
                <w:szCs w:val="20"/>
                <w:lang w:val="it-IT"/>
              </w:rPr>
              <w:t xml:space="preserve">, </w:t>
            </w:r>
            <w:r w:rsidR="005204F6" w:rsidRPr="009B7A2B">
              <w:rPr>
                <w:szCs w:val="20"/>
                <w:lang w:val="it-IT"/>
              </w:rPr>
              <w:t xml:space="preserve">media relations, </w:t>
            </w:r>
            <w:r w:rsidR="00864309" w:rsidRPr="009B7A2B">
              <w:rPr>
                <w:szCs w:val="20"/>
                <w:lang w:val="it-IT"/>
              </w:rPr>
              <w:t>PwC</w:t>
            </w:r>
          </w:p>
          <w:p w:rsidR="00297616" w:rsidRPr="009B7A2B" w:rsidRDefault="00D00C86">
            <w:pPr>
              <w:tabs>
                <w:tab w:val="left" w:pos="1440"/>
              </w:tabs>
              <w:ind w:left="1440" w:hanging="1440"/>
              <w:rPr>
                <w:rFonts w:cs="Arial"/>
                <w:szCs w:val="20"/>
                <w:lang w:val="it-IT"/>
              </w:rPr>
            </w:pPr>
            <w:r w:rsidRPr="009B7A2B">
              <w:rPr>
                <w:rFonts w:cs="Arial"/>
                <w:szCs w:val="20"/>
                <w:lang w:val="it-IT"/>
              </w:rPr>
              <w:t xml:space="preserve">Tel: +44 </w:t>
            </w:r>
            <w:r w:rsidR="00C77DD3" w:rsidRPr="009B7A2B">
              <w:rPr>
                <w:rFonts w:cs="Arial"/>
                <w:szCs w:val="20"/>
                <w:lang w:val="it-IT"/>
              </w:rPr>
              <w:t>(0)</w:t>
            </w:r>
            <w:r w:rsidRPr="009B7A2B">
              <w:rPr>
                <w:rFonts w:cs="Arial"/>
                <w:szCs w:val="20"/>
                <w:lang w:val="it-IT"/>
              </w:rPr>
              <w:t xml:space="preserve">207 </w:t>
            </w:r>
            <w:r w:rsidR="00DF13B6" w:rsidRPr="009B7A2B">
              <w:rPr>
                <w:rFonts w:cs="Arial"/>
                <w:szCs w:val="20"/>
                <w:lang w:val="it-IT"/>
              </w:rPr>
              <w:t>213 4706</w:t>
            </w:r>
            <w:r w:rsidR="009B7A2B" w:rsidRPr="009B7A2B">
              <w:rPr>
                <w:rFonts w:cs="Arial"/>
                <w:szCs w:val="20"/>
                <w:lang w:val="it-IT"/>
              </w:rPr>
              <w:t xml:space="preserve"> / </w:t>
            </w:r>
            <w:r w:rsidR="00C77DD3" w:rsidRPr="009B7A2B">
              <w:rPr>
                <w:rFonts w:cs="Arial"/>
                <w:szCs w:val="20"/>
                <w:lang w:val="it-IT"/>
              </w:rPr>
              <w:t>+44 (</w:t>
            </w:r>
            <w:r w:rsidR="00DF13B6" w:rsidRPr="009B7A2B">
              <w:rPr>
                <w:rFonts w:cs="Arial"/>
                <w:szCs w:val="20"/>
                <w:lang w:val="it-IT"/>
              </w:rPr>
              <w:t>0</w:t>
            </w:r>
            <w:r w:rsidR="00C77DD3" w:rsidRPr="009B7A2B">
              <w:rPr>
                <w:rFonts w:cs="Arial"/>
                <w:szCs w:val="20"/>
                <w:lang w:val="it-IT"/>
              </w:rPr>
              <w:t>)</w:t>
            </w:r>
            <w:r w:rsidR="00DF13B6" w:rsidRPr="009B7A2B">
              <w:rPr>
                <w:rFonts w:cs="Arial"/>
                <w:szCs w:val="20"/>
                <w:lang w:val="it-IT"/>
              </w:rPr>
              <w:t>7718 340 113</w:t>
            </w:r>
          </w:p>
          <w:p w:rsidR="00297616" w:rsidRPr="009B7A2B" w:rsidRDefault="009B7A2B" w:rsidP="002E4883">
            <w:pPr>
              <w:spacing w:line="276" w:lineRule="auto"/>
              <w:rPr>
                <w:rFonts w:cs="Arial"/>
                <w:szCs w:val="20"/>
                <w:lang w:val="it-IT"/>
              </w:rPr>
            </w:pPr>
            <w:r w:rsidRPr="009B7A2B">
              <w:rPr>
                <w:rFonts w:cs="Arial"/>
                <w:szCs w:val="20"/>
                <w:lang w:val="it-IT"/>
              </w:rPr>
              <w:t>E</w:t>
            </w:r>
            <w:r w:rsidR="002E4883" w:rsidRPr="009B7A2B">
              <w:rPr>
                <w:rFonts w:cs="Arial"/>
                <w:szCs w:val="20"/>
                <w:lang w:val="it-IT"/>
              </w:rPr>
              <w:t xml:space="preserve">-mail: </w:t>
            </w:r>
            <w:hyperlink r:id="rId9" w:history="1">
              <w:r w:rsidRPr="009B7A2B">
                <w:rPr>
                  <w:rStyle w:val="Hyperlink"/>
                  <w:rFonts w:cs="Arial"/>
                  <w:szCs w:val="20"/>
                  <w:lang w:val="it-IT"/>
                </w:rPr>
                <w:t>hilary.n.downes@uk.pwc.com</w:t>
              </w:r>
            </w:hyperlink>
          </w:p>
          <w:p w:rsidR="009B7A2B" w:rsidRPr="009B7A2B" w:rsidRDefault="009B7A2B" w:rsidP="002E4883">
            <w:pPr>
              <w:spacing w:line="276" w:lineRule="auto"/>
              <w:rPr>
                <w:szCs w:val="20"/>
                <w:lang w:val="it-IT"/>
              </w:rPr>
            </w:pPr>
          </w:p>
        </w:tc>
      </w:tr>
    </w:tbl>
    <w:p w:rsidR="00297616" w:rsidRPr="009B7A2B" w:rsidRDefault="00297616" w:rsidP="009B7A2B">
      <w:pPr>
        <w:pStyle w:val="Title"/>
        <w:spacing w:after="0"/>
        <w:rPr>
          <w:rFonts w:ascii="Georgia" w:eastAsia="SimSun" w:hAnsi="Georgia" w:cs="Arial"/>
          <w:bCs/>
          <w:i w:val="0"/>
          <w:color w:val="auto"/>
          <w:spacing w:val="0"/>
          <w:kern w:val="0"/>
          <w:sz w:val="20"/>
          <w:szCs w:val="20"/>
          <w:lang w:val="fr-FR"/>
        </w:rPr>
      </w:pPr>
    </w:p>
    <w:p w:rsidR="00224D65" w:rsidRPr="009B7A2B" w:rsidRDefault="00826AD9" w:rsidP="00224D65">
      <w:pPr>
        <w:rPr>
          <w:b/>
          <w:sz w:val="22"/>
        </w:rPr>
      </w:pPr>
      <w:r w:rsidRPr="009B7A2B">
        <w:rPr>
          <w:b/>
          <w:sz w:val="22"/>
        </w:rPr>
        <w:t>G</w:t>
      </w:r>
      <w:r w:rsidR="00A50CF6" w:rsidRPr="009B7A2B">
        <w:rPr>
          <w:b/>
          <w:sz w:val="22"/>
        </w:rPr>
        <w:t xml:space="preserve">lobal </w:t>
      </w:r>
      <w:r w:rsidR="007C1F4D" w:rsidRPr="009B7A2B">
        <w:rPr>
          <w:b/>
          <w:sz w:val="22"/>
        </w:rPr>
        <w:t>investable r</w:t>
      </w:r>
      <w:r w:rsidR="00A50CF6" w:rsidRPr="009B7A2B">
        <w:rPr>
          <w:b/>
          <w:sz w:val="22"/>
        </w:rPr>
        <w:t xml:space="preserve">eal estate to grow by </w:t>
      </w:r>
      <w:r w:rsidR="002F5297" w:rsidRPr="009B7A2B">
        <w:rPr>
          <w:b/>
          <w:sz w:val="22"/>
        </w:rPr>
        <w:t xml:space="preserve">more than </w:t>
      </w:r>
      <w:r w:rsidR="00A50CF6" w:rsidRPr="009B7A2B">
        <w:rPr>
          <w:b/>
          <w:sz w:val="22"/>
        </w:rPr>
        <w:t>55% to US</w:t>
      </w:r>
      <w:r w:rsidR="007C1F4D" w:rsidRPr="009B7A2B">
        <w:rPr>
          <w:b/>
          <w:sz w:val="22"/>
        </w:rPr>
        <w:t>$45</w:t>
      </w:r>
      <w:r w:rsidRPr="009B7A2B">
        <w:rPr>
          <w:b/>
          <w:sz w:val="22"/>
        </w:rPr>
        <w:t xml:space="preserve"> trillion</w:t>
      </w:r>
      <w:r w:rsidR="007C1F4D" w:rsidRPr="009B7A2B">
        <w:rPr>
          <w:b/>
          <w:sz w:val="22"/>
        </w:rPr>
        <w:t xml:space="preserve"> by 2020</w:t>
      </w:r>
    </w:p>
    <w:p w:rsidR="00224D65" w:rsidRPr="009B7A2B" w:rsidRDefault="00224D65" w:rsidP="00224D65">
      <w:pPr>
        <w:rPr>
          <w:sz w:val="22"/>
        </w:rPr>
      </w:pPr>
    </w:p>
    <w:p w:rsidR="00435AD1" w:rsidRPr="009B7A2B" w:rsidRDefault="009B7A2B" w:rsidP="00435AD1">
      <w:pPr>
        <w:rPr>
          <w:szCs w:val="20"/>
        </w:rPr>
      </w:pPr>
      <w:r w:rsidRPr="009B7A2B">
        <w:rPr>
          <w:b/>
          <w:szCs w:val="20"/>
        </w:rPr>
        <w:t>London, 27 Feb 2014</w:t>
      </w:r>
      <w:r w:rsidRPr="009B7A2B">
        <w:rPr>
          <w:szCs w:val="20"/>
        </w:rPr>
        <w:noBreakHyphen/>
      </w:r>
      <w:r w:rsidRPr="009B7A2B">
        <w:rPr>
          <w:szCs w:val="20"/>
        </w:rPr>
        <w:noBreakHyphen/>
      </w:r>
      <w:r w:rsidR="00435AD1" w:rsidRPr="009B7A2B">
        <w:rPr>
          <w:szCs w:val="20"/>
        </w:rPr>
        <w:t xml:space="preserve">Rapid urbanisation and demographic changes, especially within emerging markets, will lead to substantial growth in the real estate investment industry over the next six years, according to </w:t>
      </w:r>
      <w:r w:rsidR="00435AD1" w:rsidRPr="009B7A2B">
        <w:rPr>
          <w:i/>
          <w:szCs w:val="20"/>
        </w:rPr>
        <w:t>Real Estate 2020: Building the future</w:t>
      </w:r>
      <w:r w:rsidR="00435AD1" w:rsidRPr="009B7A2B">
        <w:rPr>
          <w:szCs w:val="20"/>
        </w:rPr>
        <w:t>, a new report from PwC. At the same time as the industry’s opportunities grow, so too will assets invested into the sector.</w:t>
      </w:r>
    </w:p>
    <w:p w:rsidR="00435AD1" w:rsidRPr="009B7A2B" w:rsidRDefault="00435AD1" w:rsidP="00435AD1">
      <w:pPr>
        <w:rPr>
          <w:szCs w:val="20"/>
        </w:rPr>
      </w:pPr>
    </w:p>
    <w:p w:rsidR="00177731" w:rsidRPr="009B7A2B" w:rsidRDefault="00177731" w:rsidP="00177731">
      <w:pPr>
        <w:rPr>
          <w:szCs w:val="20"/>
        </w:rPr>
      </w:pPr>
      <w:r w:rsidRPr="009B7A2B">
        <w:rPr>
          <w:szCs w:val="20"/>
        </w:rPr>
        <w:t xml:space="preserve">The report predicts that the global stock of investable real estate will rise by more than 55% to around $45.3 trillion by 2020, from a 2012 total of $29.0 trillion and will expand again by a similar proportion by 2030. The expansion will be greatest in emerging economies, where economic development will lead to better tenant quality and, in some countries, clearer property rights and will play out across housing, commercial real estate and infrastructure. </w:t>
      </w:r>
    </w:p>
    <w:p w:rsidR="009B7A2B" w:rsidRPr="009B7A2B" w:rsidRDefault="009B7A2B" w:rsidP="00177731">
      <w:pPr>
        <w:rPr>
          <w:szCs w:val="20"/>
        </w:rPr>
      </w:pPr>
    </w:p>
    <w:p w:rsidR="00177731" w:rsidRPr="009B7A2B" w:rsidRDefault="00177731" w:rsidP="00177731">
      <w:pPr>
        <w:rPr>
          <w:szCs w:val="20"/>
        </w:rPr>
      </w:pPr>
      <w:r w:rsidRPr="009B7A2B">
        <w:rPr>
          <w:szCs w:val="20"/>
        </w:rPr>
        <w:t>The report also finds that private capital will play a critical role in funding the growing and changing need for real estate and its supporting infrastructure.</w:t>
      </w:r>
    </w:p>
    <w:p w:rsidR="00177731" w:rsidRPr="009B7A2B" w:rsidRDefault="00177731" w:rsidP="00177731">
      <w:pPr>
        <w:rPr>
          <w:szCs w:val="20"/>
        </w:rPr>
      </w:pPr>
    </w:p>
    <w:p w:rsidR="007C425D" w:rsidRPr="009B7A2B" w:rsidRDefault="00435AD1" w:rsidP="00435AD1">
      <w:pPr>
        <w:rPr>
          <w:szCs w:val="20"/>
        </w:rPr>
      </w:pPr>
      <w:r w:rsidRPr="009B7A2B">
        <w:rPr>
          <w:szCs w:val="20"/>
        </w:rPr>
        <w:t>Intense competition for prime real estate will force real estate managers and investors to seek out new opportunities for yield. Yet the growing and changing real estate world will present them with a far wider range of risks, which they must be equipped to manage.</w:t>
      </w:r>
    </w:p>
    <w:p w:rsidR="009751D7" w:rsidRPr="009B7A2B" w:rsidRDefault="009751D7" w:rsidP="00224D65">
      <w:pPr>
        <w:rPr>
          <w:szCs w:val="20"/>
        </w:rPr>
      </w:pPr>
    </w:p>
    <w:p w:rsidR="00586480" w:rsidRPr="009B7A2B" w:rsidRDefault="00586480" w:rsidP="00586480">
      <w:pPr>
        <w:rPr>
          <w:szCs w:val="20"/>
        </w:rPr>
      </w:pPr>
      <w:r w:rsidRPr="009B7A2B">
        <w:rPr>
          <w:szCs w:val="20"/>
        </w:rPr>
        <w:t>Kees Hage, global real estate leader at PwC, said:</w:t>
      </w:r>
    </w:p>
    <w:p w:rsidR="00586480" w:rsidRPr="009B7A2B" w:rsidRDefault="00586480" w:rsidP="00586480">
      <w:pPr>
        <w:rPr>
          <w:szCs w:val="20"/>
        </w:rPr>
      </w:pPr>
    </w:p>
    <w:p w:rsidR="00586480" w:rsidRPr="009B7A2B" w:rsidRDefault="00586480" w:rsidP="009B7A2B">
      <w:pPr>
        <w:rPr>
          <w:szCs w:val="20"/>
        </w:rPr>
      </w:pPr>
      <w:r w:rsidRPr="009B7A2B">
        <w:rPr>
          <w:szCs w:val="20"/>
        </w:rPr>
        <w:t xml:space="preserve">“The real estate industry is at the centre of rapid economic and social change, which is transforming the built environment. Already thousands of people migrate from country to city across Asia, the Middle East, Latin America and Africa, attracted by the wealth of these new economies. By 2020, this migration will be </w:t>
      </w:r>
      <w:r w:rsidR="00415A45" w:rsidRPr="009B7A2B">
        <w:rPr>
          <w:szCs w:val="20"/>
        </w:rPr>
        <w:t>firmly established</w:t>
      </w:r>
      <w:r w:rsidRPr="009B7A2B">
        <w:rPr>
          <w:szCs w:val="20"/>
        </w:rPr>
        <w:t xml:space="preserve">. Cities in these regions will swell and some entirely new ones will spring up. </w:t>
      </w:r>
    </w:p>
    <w:p w:rsidR="00586480" w:rsidRPr="009B7A2B" w:rsidRDefault="00586480" w:rsidP="009B7A2B">
      <w:pPr>
        <w:rPr>
          <w:szCs w:val="20"/>
        </w:rPr>
      </w:pPr>
    </w:p>
    <w:p w:rsidR="00586480" w:rsidRPr="009B7A2B" w:rsidRDefault="00586480" w:rsidP="009B7A2B">
      <w:pPr>
        <w:rPr>
          <w:szCs w:val="20"/>
        </w:rPr>
      </w:pPr>
      <w:r w:rsidRPr="009B7A2B">
        <w:rPr>
          <w:szCs w:val="20"/>
        </w:rPr>
        <w:t>“Meanwhile, the growing middle class and ageing populations in these emerging economies are increasing demand for specific types of real estate such as affordable housing, retirement accommodation, gated communities outside cities for families and smaller urban apartments without kitchens or car parking for young professionals.</w:t>
      </w:r>
    </w:p>
    <w:p w:rsidR="00586480" w:rsidRPr="009B7A2B" w:rsidRDefault="00586480" w:rsidP="009B7A2B">
      <w:pPr>
        <w:rPr>
          <w:szCs w:val="20"/>
        </w:rPr>
      </w:pPr>
    </w:p>
    <w:p w:rsidR="00586480" w:rsidRPr="009B7A2B" w:rsidRDefault="00586480" w:rsidP="009B7A2B">
      <w:pPr>
        <w:rPr>
          <w:szCs w:val="20"/>
        </w:rPr>
      </w:pPr>
      <w:r w:rsidRPr="009B7A2B">
        <w:rPr>
          <w:szCs w:val="20"/>
        </w:rPr>
        <w:t>“As real estate is a business with long development cycles, now is the time to plan for these changes.</w:t>
      </w:r>
      <w:r w:rsidR="00175487" w:rsidRPr="009B7A2B">
        <w:rPr>
          <w:szCs w:val="20"/>
        </w:rPr>
        <w:t>”</w:t>
      </w:r>
    </w:p>
    <w:p w:rsidR="00BE2F9D" w:rsidRPr="009B7A2B" w:rsidRDefault="00BE2F9D" w:rsidP="00A50CF6">
      <w:pPr>
        <w:rPr>
          <w:szCs w:val="20"/>
        </w:rPr>
      </w:pPr>
    </w:p>
    <w:p w:rsidR="009B7A2B" w:rsidRDefault="009B7A2B">
      <w:pPr>
        <w:spacing w:line="240" w:lineRule="auto"/>
        <w:rPr>
          <w:szCs w:val="20"/>
        </w:rPr>
      </w:pPr>
      <w:r>
        <w:rPr>
          <w:szCs w:val="20"/>
        </w:rPr>
        <w:br w:type="page"/>
      </w:r>
    </w:p>
    <w:p w:rsidR="00BE2F9D" w:rsidRPr="009B7A2B" w:rsidRDefault="00BE2F9D" w:rsidP="00A50CF6">
      <w:pPr>
        <w:rPr>
          <w:szCs w:val="20"/>
        </w:rPr>
      </w:pPr>
      <w:r w:rsidRPr="009B7A2B">
        <w:rPr>
          <w:szCs w:val="20"/>
        </w:rPr>
        <w:lastRenderedPageBreak/>
        <w:t xml:space="preserve">Other </w:t>
      </w:r>
      <w:r w:rsidR="00E953F2" w:rsidRPr="009B7A2B">
        <w:rPr>
          <w:szCs w:val="20"/>
        </w:rPr>
        <w:t>changes in real estate by 2020 will</w:t>
      </w:r>
      <w:r w:rsidRPr="009B7A2B">
        <w:rPr>
          <w:szCs w:val="20"/>
        </w:rPr>
        <w:t xml:space="preserve"> include:</w:t>
      </w:r>
    </w:p>
    <w:p w:rsidR="00BE2F9D" w:rsidRPr="009B7A2B" w:rsidRDefault="00BE2F9D" w:rsidP="00A50CF6">
      <w:pPr>
        <w:rPr>
          <w:szCs w:val="20"/>
        </w:rPr>
      </w:pPr>
    </w:p>
    <w:p w:rsidR="00E953F2" w:rsidRPr="009B7A2B" w:rsidRDefault="00586480" w:rsidP="009B7A2B">
      <w:pPr>
        <w:pStyle w:val="ListParagraph"/>
        <w:numPr>
          <w:ilvl w:val="0"/>
          <w:numId w:val="18"/>
        </w:numPr>
        <w:ind w:left="567" w:hanging="283"/>
        <w:rPr>
          <w:rFonts w:ascii="Georgia" w:hAnsi="Georgia"/>
          <w:sz w:val="20"/>
          <w:szCs w:val="20"/>
        </w:rPr>
      </w:pPr>
      <w:r w:rsidRPr="009B7A2B">
        <w:rPr>
          <w:rFonts w:ascii="Georgia" w:hAnsi="Georgia"/>
          <w:sz w:val="20"/>
          <w:szCs w:val="20"/>
        </w:rPr>
        <w:t>A</w:t>
      </w:r>
      <w:r w:rsidR="00E953F2" w:rsidRPr="009B7A2B">
        <w:rPr>
          <w:rFonts w:ascii="Georgia" w:hAnsi="Georgia"/>
          <w:sz w:val="20"/>
          <w:szCs w:val="20"/>
        </w:rPr>
        <w:t xml:space="preserve"> h</w:t>
      </w:r>
      <w:r w:rsidR="00BE2F9D" w:rsidRPr="009B7A2B">
        <w:rPr>
          <w:rFonts w:ascii="Georgia" w:hAnsi="Georgia"/>
          <w:sz w:val="20"/>
          <w:szCs w:val="20"/>
        </w:rPr>
        <w:t xml:space="preserve">uge expansion in cities, with mixed results. By 2020, the 21st century’s great migration to the cities will be well underway. Cities will </w:t>
      </w:r>
      <w:r w:rsidR="00175487" w:rsidRPr="009B7A2B">
        <w:rPr>
          <w:rFonts w:ascii="Georgia" w:hAnsi="Georgia"/>
          <w:sz w:val="20"/>
          <w:szCs w:val="20"/>
        </w:rPr>
        <w:t>swell</w:t>
      </w:r>
      <w:r w:rsidR="00BE2F9D" w:rsidRPr="009B7A2B">
        <w:rPr>
          <w:rFonts w:ascii="Georgia" w:hAnsi="Georgia"/>
          <w:sz w:val="20"/>
          <w:szCs w:val="20"/>
        </w:rPr>
        <w:t xml:space="preserve"> across the fast-growing countries of Asia, Africa, the Middle East and Latin America. Even the developed Western countries will be urbanising, albeit at a slower pace. Come 2020, cities will be competing fiercely with each other. But while some cities will become </w:t>
      </w:r>
      <w:r w:rsidR="00BE2F9D" w:rsidRPr="009B7A2B">
        <w:rPr>
          <w:rFonts w:ascii="Georgia" w:hAnsi="Georgia"/>
          <w:sz w:val="20"/>
          <w:szCs w:val="20"/>
          <w:lang w:val="en-GB"/>
        </w:rPr>
        <w:t>centres</w:t>
      </w:r>
      <w:r w:rsidR="00BE2F9D" w:rsidRPr="009B7A2B">
        <w:rPr>
          <w:rFonts w:ascii="Georgia" w:hAnsi="Georgia"/>
          <w:sz w:val="20"/>
          <w:szCs w:val="20"/>
        </w:rPr>
        <w:t xml:space="preserve"> of wealth creation in a multipolar world, others are likely to fail. Those that emerge as their region’s leading cities are likely to provide opportunities for attractive returns.</w:t>
      </w:r>
      <w:r w:rsidR="009B7A2B" w:rsidRPr="009B7A2B">
        <w:rPr>
          <w:rFonts w:ascii="Georgia" w:hAnsi="Georgia"/>
          <w:sz w:val="20"/>
          <w:szCs w:val="20"/>
        </w:rPr>
        <w:br/>
      </w:r>
    </w:p>
    <w:p w:rsidR="00E953F2" w:rsidRPr="009B7A2B" w:rsidRDefault="00E953F2" w:rsidP="009B7A2B">
      <w:pPr>
        <w:pStyle w:val="ListParagraph"/>
        <w:numPr>
          <w:ilvl w:val="0"/>
          <w:numId w:val="18"/>
        </w:numPr>
        <w:ind w:left="567" w:hanging="283"/>
        <w:rPr>
          <w:rFonts w:ascii="Georgia" w:hAnsi="Georgia"/>
          <w:sz w:val="20"/>
          <w:szCs w:val="20"/>
        </w:rPr>
      </w:pPr>
      <w:r w:rsidRPr="009B7A2B">
        <w:rPr>
          <w:rFonts w:ascii="Georgia" w:hAnsi="Georgia"/>
          <w:sz w:val="20"/>
          <w:szCs w:val="20"/>
        </w:rPr>
        <w:t xml:space="preserve">Growth in emerging markets will </w:t>
      </w:r>
      <w:r w:rsidR="00BE2F9D" w:rsidRPr="009B7A2B">
        <w:rPr>
          <w:rFonts w:ascii="Georgia" w:hAnsi="Georgia"/>
          <w:sz w:val="20"/>
          <w:szCs w:val="20"/>
        </w:rPr>
        <w:t>ratc</w:t>
      </w:r>
      <w:r w:rsidRPr="009B7A2B">
        <w:rPr>
          <w:rFonts w:ascii="Georgia" w:hAnsi="Georgia"/>
          <w:sz w:val="20"/>
          <w:szCs w:val="20"/>
        </w:rPr>
        <w:t>het</w:t>
      </w:r>
      <w:r w:rsidR="00BE2F9D" w:rsidRPr="009B7A2B">
        <w:rPr>
          <w:rFonts w:ascii="Georgia" w:hAnsi="Georgia"/>
          <w:sz w:val="20"/>
          <w:szCs w:val="20"/>
        </w:rPr>
        <w:t xml:space="preserve"> up competition for </w:t>
      </w:r>
      <w:r w:rsidRPr="009B7A2B">
        <w:rPr>
          <w:rFonts w:ascii="Georgia" w:hAnsi="Georgia"/>
          <w:sz w:val="20"/>
          <w:szCs w:val="20"/>
        </w:rPr>
        <w:t xml:space="preserve">real estate </w:t>
      </w:r>
      <w:r w:rsidR="00BE2F9D" w:rsidRPr="009B7A2B">
        <w:rPr>
          <w:rFonts w:ascii="Georgia" w:hAnsi="Georgia"/>
          <w:sz w:val="20"/>
          <w:szCs w:val="20"/>
        </w:rPr>
        <w:t>assets</w:t>
      </w:r>
      <w:r w:rsidRPr="009B7A2B">
        <w:rPr>
          <w:rFonts w:ascii="Georgia" w:hAnsi="Georgia"/>
          <w:sz w:val="20"/>
          <w:szCs w:val="20"/>
        </w:rPr>
        <w:t xml:space="preserve"> and competition </w:t>
      </w:r>
      <w:r w:rsidR="00175487" w:rsidRPr="009B7A2B">
        <w:rPr>
          <w:rFonts w:ascii="Georgia" w:hAnsi="Georgia"/>
          <w:sz w:val="20"/>
          <w:szCs w:val="20"/>
        </w:rPr>
        <w:t>between</w:t>
      </w:r>
      <w:r w:rsidRPr="009B7A2B">
        <w:rPr>
          <w:rFonts w:ascii="Georgia" w:hAnsi="Georgia"/>
          <w:sz w:val="20"/>
          <w:szCs w:val="20"/>
        </w:rPr>
        <w:t xml:space="preserve"> real estate </w:t>
      </w:r>
      <w:r w:rsidR="00175487" w:rsidRPr="009B7A2B">
        <w:rPr>
          <w:rFonts w:ascii="Georgia" w:hAnsi="Georgia"/>
          <w:sz w:val="20"/>
          <w:szCs w:val="20"/>
          <w:lang w:val="en-GB"/>
        </w:rPr>
        <w:t>organisations</w:t>
      </w:r>
      <w:r w:rsidR="00BE2F9D" w:rsidRPr="009B7A2B">
        <w:rPr>
          <w:rFonts w:ascii="Georgia" w:hAnsi="Georgia"/>
          <w:sz w:val="20"/>
          <w:szCs w:val="20"/>
        </w:rPr>
        <w:t>.</w:t>
      </w:r>
      <w:r w:rsidR="009B7A2B" w:rsidRPr="009B7A2B">
        <w:rPr>
          <w:rFonts w:ascii="Georgia" w:hAnsi="Georgia"/>
          <w:sz w:val="20"/>
          <w:szCs w:val="20"/>
        </w:rPr>
        <w:br/>
      </w:r>
    </w:p>
    <w:p w:rsidR="00E953F2" w:rsidRPr="009B7A2B" w:rsidRDefault="00E953F2" w:rsidP="009B7A2B">
      <w:pPr>
        <w:pStyle w:val="ListParagraph"/>
        <w:numPr>
          <w:ilvl w:val="0"/>
          <w:numId w:val="18"/>
        </w:numPr>
        <w:ind w:left="567" w:hanging="283"/>
        <w:rPr>
          <w:rFonts w:ascii="Georgia" w:hAnsi="Georgia"/>
          <w:sz w:val="20"/>
          <w:szCs w:val="20"/>
        </w:rPr>
      </w:pPr>
      <w:r w:rsidRPr="009B7A2B">
        <w:rPr>
          <w:rFonts w:ascii="Georgia" w:hAnsi="Georgia"/>
          <w:sz w:val="20"/>
          <w:szCs w:val="20"/>
        </w:rPr>
        <w:t xml:space="preserve"> </w:t>
      </w:r>
      <w:r w:rsidR="00BE2F9D" w:rsidRPr="009B7A2B">
        <w:rPr>
          <w:rFonts w:ascii="Georgia" w:hAnsi="Georgia"/>
          <w:sz w:val="20"/>
          <w:szCs w:val="20"/>
        </w:rPr>
        <w:t>Su</w:t>
      </w:r>
      <w:r w:rsidRPr="009B7A2B">
        <w:rPr>
          <w:rFonts w:ascii="Georgia" w:hAnsi="Georgia"/>
          <w:sz w:val="20"/>
          <w:szCs w:val="20"/>
        </w:rPr>
        <w:t>stainability will transform design of buildings and developments</w:t>
      </w:r>
      <w:r w:rsidR="00175487" w:rsidRPr="009B7A2B">
        <w:rPr>
          <w:rFonts w:ascii="Georgia" w:hAnsi="Georgia"/>
          <w:sz w:val="20"/>
          <w:szCs w:val="20"/>
        </w:rPr>
        <w:t>,</w:t>
      </w:r>
      <w:r w:rsidRPr="009B7A2B">
        <w:rPr>
          <w:rFonts w:ascii="Georgia" w:hAnsi="Georgia"/>
          <w:sz w:val="20"/>
          <w:szCs w:val="20"/>
        </w:rPr>
        <w:t xml:space="preserve"> presenting opportunities and risks for real estate asset managers.</w:t>
      </w:r>
      <w:r w:rsidR="009B7A2B" w:rsidRPr="009B7A2B">
        <w:rPr>
          <w:rFonts w:ascii="Georgia" w:hAnsi="Georgia"/>
          <w:sz w:val="20"/>
          <w:szCs w:val="20"/>
        </w:rPr>
        <w:br/>
      </w:r>
    </w:p>
    <w:p w:rsidR="00E953F2" w:rsidRPr="009B7A2B" w:rsidRDefault="00BE2F9D" w:rsidP="009B7A2B">
      <w:pPr>
        <w:pStyle w:val="ListParagraph"/>
        <w:numPr>
          <w:ilvl w:val="0"/>
          <w:numId w:val="18"/>
        </w:numPr>
        <w:ind w:left="567" w:hanging="283"/>
        <w:rPr>
          <w:rFonts w:ascii="Georgia" w:hAnsi="Georgia"/>
          <w:sz w:val="20"/>
          <w:szCs w:val="20"/>
        </w:rPr>
      </w:pPr>
      <w:r w:rsidRPr="009B7A2B">
        <w:rPr>
          <w:rFonts w:ascii="Georgia" w:hAnsi="Georgia"/>
          <w:sz w:val="20"/>
          <w:szCs w:val="20"/>
        </w:rPr>
        <w:t xml:space="preserve">Technology </w:t>
      </w:r>
      <w:r w:rsidR="00E953F2" w:rsidRPr="009B7A2B">
        <w:rPr>
          <w:rFonts w:ascii="Georgia" w:hAnsi="Georgia"/>
          <w:sz w:val="20"/>
          <w:szCs w:val="20"/>
        </w:rPr>
        <w:t>will disrupt</w:t>
      </w:r>
      <w:r w:rsidRPr="009B7A2B">
        <w:rPr>
          <w:rFonts w:ascii="Georgia" w:hAnsi="Georgia"/>
          <w:sz w:val="20"/>
          <w:szCs w:val="20"/>
        </w:rPr>
        <w:t xml:space="preserve"> real estate e</w:t>
      </w:r>
      <w:r w:rsidR="00175487" w:rsidRPr="009B7A2B">
        <w:rPr>
          <w:rFonts w:ascii="Georgia" w:hAnsi="Georgia"/>
          <w:sz w:val="20"/>
          <w:szCs w:val="20"/>
        </w:rPr>
        <w:t>c</w:t>
      </w:r>
      <w:r w:rsidR="005A3C70" w:rsidRPr="009B7A2B">
        <w:rPr>
          <w:rFonts w:ascii="Georgia" w:hAnsi="Georgia"/>
          <w:sz w:val="20"/>
          <w:szCs w:val="20"/>
        </w:rPr>
        <w:t>onomics: growth in online shopping will continue to reduce</w:t>
      </w:r>
      <w:r w:rsidR="00175487" w:rsidRPr="009B7A2B">
        <w:rPr>
          <w:rFonts w:ascii="Georgia" w:hAnsi="Georgia"/>
          <w:sz w:val="20"/>
          <w:szCs w:val="20"/>
        </w:rPr>
        <w:t xml:space="preserve"> the need for retail space but shorter delivery times increase the need for warehouse space close to customers. And as workers increasingly work from home or satellite offices, the need for office space will decrease. For developers, technology advances will make eco-efficient building more </w:t>
      </w:r>
      <w:r w:rsidR="005E4F79" w:rsidRPr="009B7A2B">
        <w:rPr>
          <w:rFonts w:ascii="Georgia" w:hAnsi="Georgia"/>
          <w:sz w:val="20"/>
          <w:szCs w:val="20"/>
        </w:rPr>
        <w:t>practical</w:t>
      </w:r>
      <w:r w:rsidR="00EA6A31" w:rsidRPr="009B7A2B">
        <w:rPr>
          <w:rFonts w:ascii="Georgia" w:hAnsi="Georgia"/>
          <w:sz w:val="20"/>
          <w:szCs w:val="20"/>
        </w:rPr>
        <w:t>. Technology even</w:t>
      </w:r>
      <w:r w:rsidR="005E4F79" w:rsidRPr="009B7A2B">
        <w:rPr>
          <w:rFonts w:ascii="Georgia" w:hAnsi="Georgia"/>
          <w:sz w:val="20"/>
          <w:szCs w:val="20"/>
        </w:rPr>
        <w:t xml:space="preserve"> </w:t>
      </w:r>
      <w:r w:rsidR="00175487" w:rsidRPr="009B7A2B">
        <w:rPr>
          <w:rFonts w:ascii="Georgia" w:hAnsi="Georgia"/>
          <w:sz w:val="20"/>
          <w:szCs w:val="20"/>
        </w:rPr>
        <w:t xml:space="preserve">has the potential to transform real estate asset managers’ </w:t>
      </w:r>
      <w:r w:rsidR="005E4F79" w:rsidRPr="009B7A2B">
        <w:rPr>
          <w:rFonts w:ascii="Georgia" w:hAnsi="Georgia"/>
          <w:sz w:val="20"/>
          <w:szCs w:val="20"/>
        </w:rPr>
        <w:t xml:space="preserve">own operations allowing them to </w:t>
      </w:r>
      <w:r w:rsidR="00175487" w:rsidRPr="009B7A2B">
        <w:rPr>
          <w:rFonts w:ascii="Georgia" w:hAnsi="Georgia"/>
          <w:sz w:val="20"/>
          <w:szCs w:val="20"/>
        </w:rPr>
        <w:t xml:space="preserve">make far </w:t>
      </w:r>
      <w:r w:rsidR="005E4F79" w:rsidRPr="009B7A2B">
        <w:rPr>
          <w:rFonts w:ascii="Georgia" w:hAnsi="Georgia"/>
          <w:sz w:val="20"/>
          <w:szCs w:val="20"/>
        </w:rPr>
        <w:t xml:space="preserve">more use of </w:t>
      </w:r>
      <w:r w:rsidR="00175487" w:rsidRPr="009B7A2B">
        <w:rPr>
          <w:rFonts w:ascii="Georgia" w:hAnsi="Georgia"/>
          <w:sz w:val="20"/>
          <w:szCs w:val="20"/>
        </w:rPr>
        <w:t xml:space="preserve">telecommuting, while also embracing data management techniques such as data warehousing. </w:t>
      </w:r>
      <w:r w:rsidR="009B7A2B" w:rsidRPr="009B7A2B">
        <w:rPr>
          <w:rFonts w:ascii="Georgia" w:hAnsi="Georgia"/>
          <w:sz w:val="20"/>
          <w:szCs w:val="20"/>
        </w:rPr>
        <w:br/>
      </w:r>
    </w:p>
    <w:p w:rsidR="00BE2F9D" w:rsidRPr="009B7A2B" w:rsidRDefault="00BE2F9D" w:rsidP="009B7A2B">
      <w:pPr>
        <w:pStyle w:val="ListParagraph"/>
        <w:numPr>
          <w:ilvl w:val="0"/>
          <w:numId w:val="18"/>
        </w:numPr>
        <w:ind w:left="567" w:hanging="283"/>
        <w:rPr>
          <w:rFonts w:ascii="Georgia" w:hAnsi="Georgia"/>
          <w:sz w:val="20"/>
          <w:szCs w:val="20"/>
        </w:rPr>
      </w:pPr>
      <w:r w:rsidRPr="009B7A2B">
        <w:rPr>
          <w:rFonts w:ascii="Georgia" w:hAnsi="Georgia"/>
          <w:sz w:val="20"/>
          <w:szCs w:val="20"/>
        </w:rPr>
        <w:t xml:space="preserve">Real estate capital </w:t>
      </w:r>
      <w:r w:rsidR="00E953F2" w:rsidRPr="009B7A2B">
        <w:rPr>
          <w:rFonts w:ascii="Georgia" w:hAnsi="Georgia"/>
          <w:sz w:val="20"/>
          <w:szCs w:val="20"/>
        </w:rPr>
        <w:t>will take</w:t>
      </w:r>
      <w:r w:rsidRPr="009B7A2B">
        <w:rPr>
          <w:rFonts w:ascii="Georgia" w:hAnsi="Georgia"/>
          <w:sz w:val="20"/>
          <w:szCs w:val="20"/>
        </w:rPr>
        <w:t xml:space="preserve"> financial </w:t>
      </w:r>
      <w:r w:rsidRPr="009B7A2B">
        <w:rPr>
          <w:rFonts w:ascii="Georgia" w:hAnsi="Georgia"/>
          <w:sz w:val="20"/>
          <w:szCs w:val="20"/>
          <w:lang w:val="en-GB"/>
        </w:rPr>
        <w:t>centre</w:t>
      </w:r>
      <w:r w:rsidRPr="009B7A2B">
        <w:rPr>
          <w:rFonts w:ascii="Georgia" w:hAnsi="Georgia"/>
          <w:sz w:val="20"/>
          <w:szCs w:val="20"/>
        </w:rPr>
        <w:t xml:space="preserve"> stage. Private capital will play a critical role in funding the growing and changing need for real estate and its supporting infrastructure. Just as asset managers, real estate funds and sovereign wealth funds </w:t>
      </w:r>
      <w:r w:rsidR="00E953F2" w:rsidRPr="009B7A2B">
        <w:rPr>
          <w:rFonts w:ascii="Georgia" w:hAnsi="Georgia"/>
          <w:sz w:val="20"/>
          <w:szCs w:val="20"/>
        </w:rPr>
        <w:t xml:space="preserve">will </w:t>
      </w:r>
      <w:r w:rsidRPr="009B7A2B">
        <w:rPr>
          <w:rFonts w:ascii="Georgia" w:hAnsi="Georgia"/>
          <w:sz w:val="20"/>
          <w:szCs w:val="20"/>
        </w:rPr>
        <w:t xml:space="preserve">find the assets under their control swell, so there will be a growing need to finance urbanisation. Private real estate capital will become an important partner of governments. Real estate managers will need to </w:t>
      </w:r>
      <w:r w:rsidR="00EA6A31" w:rsidRPr="009B7A2B">
        <w:rPr>
          <w:rFonts w:ascii="Georgia" w:hAnsi="Georgia"/>
          <w:sz w:val="20"/>
          <w:szCs w:val="20"/>
        </w:rPr>
        <w:t>leverage</w:t>
      </w:r>
      <w:r w:rsidRPr="009B7A2B">
        <w:rPr>
          <w:rFonts w:ascii="Georgia" w:hAnsi="Georgia"/>
          <w:sz w:val="20"/>
          <w:szCs w:val="20"/>
        </w:rPr>
        <w:t xml:space="preserve"> the full range of financing possibilities to take on new types of risk, often with long-term investment horizons.</w:t>
      </w:r>
    </w:p>
    <w:p w:rsidR="00224D65" w:rsidRPr="009B7A2B" w:rsidRDefault="00224D65" w:rsidP="00224D65">
      <w:pPr>
        <w:rPr>
          <w:szCs w:val="20"/>
        </w:rPr>
      </w:pPr>
    </w:p>
    <w:p w:rsidR="00225C4B" w:rsidRPr="009B7A2B" w:rsidRDefault="00A50CF6" w:rsidP="00224D65">
      <w:pPr>
        <w:rPr>
          <w:b/>
          <w:i/>
          <w:szCs w:val="20"/>
        </w:rPr>
      </w:pPr>
      <w:r w:rsidRPr="009B7A2B">
        <w:rPr>
          <w:b/>
          <w:i/>
          <w:szCs w:val="20"/>
        </w:rPr>
        <w:t>Real estate</w:t>
      </w:r>
      <w:r w:rsidR="00224D65" w:rsidRPr="009B7A2B">
        <w:rPr>
          <w:b/>
          <w:i/>
          <w:szCs w:val="20"/>
        </w:rPr>
        <w:t xml:space="preserve"> managers will need to respond</w:t>
      </w:r>
      <w:r w:rsidR="003B4ED1" w:rsidRPr="009B7A2B">
        <w:rPr>
          <w:b/>
          <w:i/>
          <w:szCs w:val="20"/>
        </w:rPr>
        <w:t xml:space="preserve"> and adapt</w:t>
      </w:r>
      <w:r w:rsidR="00225C4B" w:rsidRPr="009B7A2B">
        <w:rPr>
          <w:b/>
          <w:i/>
          <w:szCs w:val="20"/>
        </w:rPr>
        <w:t>…</w:t>
      </w:r>
    </w:p>
    <w:p w:rsidR="00224D65" w:rsidRPr="009B7A2B" w:rsidRDefault="00224D65" w:rsidP="00224D65">
      <w:pPr>
        <w:rPr>
          <w:szCs w:val="20"/>
        </w:rPr>
      </w:pPr>
    </w:p>
    <w:p w:rsidR="003B4ED1" w:rsidRPr="009B7A2B" w:rsidRDefault="003B4ED1" w:rsidP="009B7A2B">
      <w:pPr>
        <w:pStyle w:val="ListParagraph"/>
        <w:numPr>
          <w:ilvl w:val="0"/>
          <w:numId w:val="19"/>
        </w:numPr>
        <w:ind w:left="270" w:hanging="270"/>
        <w:rPr>
          <w:rFonts w:ascii="Georgia" w:hAnsi="Georgia"/>
          <w:sz w:val="20"/>
          <w:szCs w:val="20"/>
        </w:rPr>
      </w:pPr>
      <w:r w:rsidRPr="009B7A2B">
        <w:rPr>
          <w:rFonts w:ascii="Georgia" w:hAnsi="Georgia"/>
          <w:sz w:val="20"/>
          <w:szCs w:val="20"/>
        </w:rPr>
        <w:t xml:space="preserve">Real estate managers will need to think </w:t>
      </w:r>
      <w:r w:rsidR="00EA6A31" w:rsidRPr="009B7A2B">
        <w:rPr>
          <w:rFonts w:ascii="Georgia" w:hAnsi="Georgia"/>
          <w:sz w:val="20"/>
          <w:szCs w:val="20"/>
        </w:rPr>
        <w:t xml:space="preserve">more </w:t>
      </w:r>
      <w:r w:rsidRPr="009B7A2B">
        <w:rPr>
          <w:rFonts w:ascii="Georgia" w:hAnsi="Georgia"/>
          <w:sz w:val="20"/>
          <w:szCs w:val="20"/>
        </w:rPr>
        <w:t xml:space="preserve">globally </w:t>
      </w:r>
      <w:r w:rsidR="00E25ED2" w:rsidRPr="009B7A2B">
        <w:rPr>
          <w:rFonts w:ascii="Georgia" w:hAnsi="Georgia"/>
          <w:sz w:val="20"/>
          <w:szCs w:val="20"/>
        </w:rPr>
        <w:t>as</w:t>
      </w:r>
      <w:r w:rsidRPr="009B7A2B">
        <w:rPr>
          <w:rFonts w:ascii="Georgia" w:hAnsi="Georgia"/>
          <w:sz w:val="20"/>
          <w:szCs w:val="20"/>
        </w:rPr>
        <w:t xml:space="preserve"> global investable real estate </w:t>
      </w:r>
      <w:r w:rsidR="00994CC6" w:rsidRPr="009B7A2B">
        <w:rPr>
          <w:rFonts w:ascii="Georgia" w:hAnsi="Georgia"/>
          <w:sz w:val="20"/>
          <w:szCs w:val="20"/>
        </w:rPr>
        <w:t xml:space="preserve">will </w:t>
      </w:r>
      <w:r w:rsidRPr="009B7A2B">
        <w:rPr>
          <w:rFonts w:ascii="Georgia" w:hAnsi="Georgia"/>
          <w:sz w:val="20"/>
          <w:szCs w:val="20"/>
        </w:rPr>
        <w:t>expand substantially, especially in emerging economies.</w:t>
      </w:r>
      <w:r w:rsidR="009B7A2B" w:rsidRPr="009B7A2B">
        <w:rPr>
          <w:rFonts w:ascii="Georgia" w:hAnsi="Georgia"/>
          <w:sz w:val="20"/>
          <w:szCs w:val="20"/>
        </w:rPr>
        <w:br/>
      </w:r>
    </w:p>
    <w:p w:rsidR="00E953F2" w:rsidRPr="009B7A2B" w:rsidRDefault="003B4ED1" w:rsidP="009B7A2B">
      <w:pPr>
        <w:pStyle w:val="ListParagraph"/>
        <w:numPr>
          <w:ilvl w:val="0"/>
          <w:numId w:val="19"/>
        </w:numPr>
        <w:ind w:left="270" w:hanging="270"/>
        <w:rPr>
          <w:rFonts w:ascii="Georgia" w:hAnsi="Georgia"/>
          <w:sz w:val="20"/>
          <w:szCs w:val="20"/>
        </w:rPr>
      </w:pPr>
      <w:r w:rsidRPr="009B7A2B">
        <w:rPr>
          <w:rFonts w:ascii="Georgia" w:hAnsi="Georgia"/>
          <w:sz w:val="20"/>
          <w:szCs w:val="20"/>
        </w:rPr>
        <w:t>Real estate managers will need to u</w:t>
      </w:r>
      <w:r w:rsidR="00E953F2" w:rsidRPr="009B7A2B">
        <w:rPr>
          <w:rFonts w:ascii="Georgia" w:hAnsi="Georgia"/>
          <w:sz w:val="20"/>
          <w:szCs w:val="20"/>
        </w:rPr>
        <w:t>nderstand the underlying ec</w:t>
      </w:r>
      <w:r w:rsidRPr="009B7A2B">
        <w:rPr>
          <w:rFonts w:ascii="Georgia" w:hAnsi="Georgia"/>
          <w:sz w:val="20"/>
          <w:szCs w:val="20"/>
        </w:rPr>
        <w:t xml:space="preserve">onomics of cities: </w:t>
      </w:r>
      <w:r w:rsidR="00E953F2" w:rsidRPr="009B7A2B">
        <w:rPr>
          <w:rFonts w:ascii="Georgia" w:hAnsi="Georgia"/>
          <w:sz w:val="20"/>
          <w:szCs w:val="20"/>
        </w:rPr>
        <w:t>Fast-growing cities will present a wider range of risk and</w:t>
      </w:r>
      <w:r w:rsidR="005A3C70" w:rsidRPr="009B7A2B">
        <w:rPr>
          <w:rFonts w:ascii="Georgia" w:hAnsi="Georgia"/>
          <w:sz w:val="20"/>
          <w:szCs w:val="20"/>
        </w:rPr>
        <w:t xml:space="preserve"> reward, ranging from low risk/</w:t>
      </w:r>
      <w:r w:rsidR="00E953F2" w:rsidRPr="009B7A2B">
        <w:rPr>
          <w:rFonts w:ascii="Georgia" w:hAnsi="Georgia"/>
          <w:sz w:val="20"/>
          <w:szCs w:val="20"/>
        </w:rPr>
        <w:t>low yield in advanced economy core real estate, to high risk/high reward in emerging economies. The greatest social migration of all time – chiefly in emerging economies – will drive the biggest ever construction surge. The real estate investment community can deploy urbanisation strategies ranging from higher risk opportunistic development, to lower risk prime investment. But no matter which approach they choose, they’ll need a clear strategic view of why a city will be successful.</w:t>
      </w:r>
      <w:r w:rsidR="009B7A2B" w:rsidRPr="009B7A2B">
        <w:rPr>
          <w:rFonts w:ascii="Georgia" w:hAnsi="Georgia"/>
          <w:sz w:val="20"/>
          <w:szCs w:val="20"/>
        </w:rPr>
        <w:br/>
      </w:r>
    </w:p>
    <w:p w:rsidR="00E25ED2" w:rsidRPr="009B7A2B" w:rsidRDefault="00E953F2" w:rsidP="009B7A2B">
      <w:pPr>
        <w:pStyle w:val="ListParagraph"/>
        <w:numPr>
          <w:ilvl w:val="0"/>
          <w:numId w:val="19"/>
        </w:numPr>
        <w:ind w:left="270" w:hanging="270"/>
        <w:rPr>
          <w:rFonts w:ascii="Georgia" w:hAnsi="Georgia"/>
          <w:sz w:val="20"/>
          <w:szCs w:val="20"/>
        </w:rPr>
      </w:pPr>
      <w:r w:rsidRPr="009B7A2B">
        <w:rPr>
          <w:rFonts w:ascii="Georgia" w:hAnsi="Georgia"/>
          <w:sz w:val="20"/>
          <w:szCs w:val="20"/>
        </w:rPr>
        <w:t>Factor technology and sustai</w:t>
      </w:r>
      <w:r w:rsidR="003B4ED1" w:rsidRPr="009B7A2B">
        <w:rPr>
          <w:rFonts w:ascii="Georgia" w:hAnsi="Georgia"/>
          <w:sz w:val="20"/>
          <w:szCs w:val="20"/>
        </w:rPr>
        <w:t xml:space="preserve">nability into asset valuations: </w:t>
      </w:r>
      <w:r w:rsidRPr="009B7A2B">
        <w:rPr>
          <w:rFonts w:ascii="Georgia" w:hAnsi="Georgia"/>
          <w:sz w:val="20"/>
          <w:szCs w:val="20"/>
        </w:rPr>
        <w:t>Some buildings without competitive sustainability ratings will suffer a ‘brown discount’. Technology will disrupt real estate economics, increasing the danger of obsolescence.</w:t>
      </w:r>
      <w:r w:rsidR="009B7A2B" w:rsidRPr="009B7A2B">
        <w:rPr>
          <w:rFonts w:ascii="Georgia" w:hAnsi="Georgia"/>
          <w:sz w:val="20"/>
          <w:szCs w:val="20"/>
        </w:rPr>
        <w:br/>
      </w:r>
    </w:p>
    <w:p w:rsidR="00E25ED2" w:rsidRPr="009B7A2B" w:rsidRDefault="00E953F2" w:rsidP="009B7A2B">
      <w:pPr>
        <w:pStyle w:val="ListParagraph"/>
        <w:numPr>
          <w:ilvl w:val="0"/>
          <w:numId w:val="19"/>
        </w:numPr>
        <w:ind w:left="270" w:hanging="270"/>
        <w:rPr>
          <w:rFonts w:ascii="Georgia" w:hAnsi="Georgia"/>
          <w:sz w:val="20"/>
          <w:szCs w:val="20"/>
        </w:rPr>
      </w:pPr>
      <w:r w:rsidRPr="009B7A2B">
        <w:rPr>
          <w:rFonts w:ascii="Georgia" w:hAnsi="Georgia"/>
          <w:sz w:val="20"/>
          <w:szCs w:val="20"/>
        </w:rPr>
        <w:t>D</w:t>
      </w:r>
      <w:r w:rsidR="00E25ED2" w:rsidRPr="009B7A2B">
        <w:rPr>
          <w:rFonts w:ascii="Georgia" w:hAnsi="Georgia"/>
          <w:sz w:val="20"/>
          <w:szCs w:val="20"/>
        </w:rPr>
        <w:t xml:space="preserve">ecide where and how to compete: </w:t>
      </w:r>
      <w:r w:rsidRPr="009B7A2B">
        <w:rPr>
          <w:rFonts w:ascii="Georgia" w:hAnsi="Georgia"/>
          <w:sz w:val="20"/>
          <w:szCs w:val="20"/>
        </w:rPr>
        <w:t xml:space="preserve">Competition for prime assets will intensify further. New wealth from the emerging economies will intensify competition for prime assets. Real estate </w:t>
      </w:r>
      <w:r w:rsidR="00E25ED2" w:rsidRPr="009B7A2B">
        <w:rPr>
          <w:rFonts w:ascii="Georgia" w:hAnsi="Georgia"/>
          <w:sz w:val="20"/>
          <w:szCs w:val="20"/>
        </w:rPr>
        <w:t>managers</w:t>
      </w:r>
      <w:r w:rsidRPr="009B7A2B">
        <w:rPr>
          <w:rFonts w:ascii="Georgia" w:hAnsi="Georgia"/>
          <w:sz w:val="20"/>
          <w:szCs w:val="20"/>
        </w:rPr>
        <w:t xml:space="preserve"> will need to think laterally, while concentrating more than ever on the </w:t>
      </w:r>
      <w:r w:rsidRPr="009B7A2B">
        <w:rPr>
          <w:rFonts w:ascii="Georgia" w:hAnsi="Georgia"/>
          <w:sz w:val="20"/>
          <w:szCs w:val="20"/>
        </w:rPr>
        <w:lastRenderedPageBreak/>
        <w:t>basics of local knowledge and tenant demand.</w:t>
      </w:r>
      <w:r w:rsidR="009B7A2B">
        <w:rPr>
          <w:rFonts w:ascii="Georgia" w:hAnsi="Georgia"/>
          <w:sz w:val="20"/>
          <w:szCs w:val="20"/>
        </w:rPr>
        <w:br/>
      </w:r>
    </w:p>
    <w:p w:rsidR="00224D65" w:rsidRPr="009B7A2B" w:rsidRDefault="00E953F2" w:rsidP="009B7A2B">
      <w:pPr>
        <w:pStyle w:val="ListParagraph"/>
        <w:numPr>
          <w:ilvl w:val="0"/>
          <w:numId w:val="19"/>
        </w:numPr>
        <w:ind w:left="270" w:hanging="270"/>
        <w:rPr>
          <w:rFonts w:ascii="Georgia" w:hAnsi="Georgia"/>
          <w:sz w:val="20"/>
          <w:szCs w:val="20"/>
        </w:rPr>
      </w:pPr>
      <w:r w:rsidRPr="009B7A2B">
        <w:rPr>
          <w:rFonts w:ascii="Georgia" w:hAnsi="Georgia"/>
          <w:sz w:val="20"/>
          <w:szCs w:val="20"/>
        </w:rPr>
        <w:t xml:space="preserve">As the nature of real estate investment changes, becoming more global and specialist, more risks will emerge.  </w:t>
      </w:r>
      <w:r w:rsidR="00051815" w:rsidRPr="009B7A2B">
        <w:rPr>
          <w:rFonts w:ascii="Georgia" w:hAnsi="Georgia"/>
          <w:sz w:val="20"/>
          <w:szCs w:val="20"/>
        </w:rPr>
        <w:t>R</w:t>
      </w:r>
      <w:r w:rsidRPr="009B7A2B">
        <w:rPr>
          <w:rFonts w:ascii="Georgia" w:hAnsi="Georgia"/>
          <w:sz w:val="20"/>
          <w:szCs w:val="20"/>
        </w:rPr>
        <w:t>isks will include those of partnering with local developers or governments in emerging economies, as well as risks associated with regulation and tax in an ever more globalised industry.</w:t>
      </w:r>
      <w:r w:rsidR="005A79E1" w:rsidRPr="009B7A2B">
        <w:rPr>
          <w:rFonts w:ascii="Georgia" w:hAnsi="Georgia"/>
          <w:sz w:val="20"/>
          <w:szCs w:val="20"/>
        </w:rPr>
        <w:t xml:space="preserve"> Real estate managers will need to assess these opportunities to reflect the broader range of risks.</w:t>
      </w:r>
    </w:p>
    <w:p w:rsidR="00E953F2" w:rsidRPr="009B7A2B" w:rsidRDefault="00E953F2" w:rsidP="00A50CF6">
      <w:pPr>
        <w:rPr>
          <w:szCs w:val="20"/>
        </w:rPr>
      </w:pPr>
    </w:p>
    <w:p w:rsidR="00A50CF6" w:rsidRPr="009B7A2B" w:rsidRDefault="00A50CF6" w:rsidP="00A50CF6">
      <w:pPr>
        <w:rPr>
          <w:szCs w:val="20"/>
        </w:rPr>
      </w:pPr>
      <w:r w:rsidRPr="009B7A2B">
        <w:rPr>
          <w:szCs w:val="20"/>
        </w:rPr>
        <w:t>Kees Hage, global real estate leader at PwC, said:</w:t>
      </w:r>
    </w:p>
    <w:p w:rsidR="00224D65" w:rsidRPr="009B7A2B" w:rsidRDefault="00224D65" w:rsidP="00224D65">
      <w:pPr>
        <w:rPr>
          <w:szCs w:val="20"/>
        </w:rPr>
      </w:pPr>
    </w:p>
    <w:p w:rsidR="00CA4BF5" w:rsidRPr="009B7A2B" w:rsidRDefault="00224D65" w:rsidP="009B7A2B">
      <w:pPr>
        <w:rPr>
          <w:szCs w:val="20"/>
        </w:rPr>
      </w:pPr>
      <w:r w:rsidRPr="009B7A2B">
        <w:rPr>
          <w:szCs w:val="20"/>
        </w:rPr>
        <w:t>“</w:t>
      </w:r>
      <w:r w:rsidR="00CA4BF5" w:rsidRPr="009B7A2B">
        <w:rPr>
          <w:szCs w:val="20"/>
        </w:rPr>
        <w:t>Global megatrends will change the real estate landscape considerably over the next six years and beyond. While these trends may already be evident, there’s a natural tendency to underestimate how much the real estate world will have changed by 2020. By 2020, real estate managers will have a broader range of opportunities, with greater risks and new value drivers.</w:t>
      </w:r>
    </w:p>
    <w:p w:rsidR="00CA4BF5" w:rsidRPr="009B7A2B" w:rsidRDefault="00CA4BF5" w:rsidP="009B7A2B">
      <w:pPr>
        <w:rPr>
          <w:szCs w:val="20"/>
        </w:rPr>
      </w:pPr>
    </w:p>
    <w:p w:rsidR="00586480" w:rsidRPr="009B7A2B" w:rsidRDefault="00CA4BF5" w:rsidP="009B7A2B">
      <w:pPr>
        <w:rPr>
          <w:szCs w:val="20"/>
        </w:rPr>
      </w:pPr>
      <w:r w:rsidRPr="009B7A2B">
        <w:rPr>
          <w:szCs w:val="20"/>
        </w:rPr>
        <w:t>“The changing landscape will have major implications for real estate investment and development. It will increase the size of the asset pool, yet change the nature of investment opportunities.</w:t>
      </w:r>
    </w:p>
    <w:p w:rsidR="00CA4BF5" w:rsidRPr="009B7A2B" w:rsidRDefault="00CA4BF5" w:rsidP="009B7A2B">
      <w:pPr>
        <w:rPr>
          <w:szCs w:val="20"/>
        </w:rPr>
      </w:pPr>
    </w:p>
    <w:p w:rsidR="005838D2" w:rsidRPr="009B7A2B" w:rsidRDefault="005838D2" w:rsidP="009B7A2B">
      <w:pPr>
        <w:rPr>
          <w:szCs w:val="20"/>
        </w:rPr>
      </w:pPr>
      <w:r w:rsidRPr="009B7A2B">
        <w:rPr>
          <w:szCs w:val="20"/>
        </w:rPr>
        <w:t>“Success factor</w:t>
      </w:r>
      <w:r w:rsidR="006B0CC6" w:rsidRPr="009B7A2B">
        <w:rPr>
          <w:szCs w:val="20"/>
        </w:rPr>
        <w:t>s</w:t>
      </w:r>
      <w:r w:rsidRPr="009B7A2B">
        <w:rPr>
          <w:szCs w:val="20"/>
        </w:rPr>
        <w:t xml:space="preserve"> for the future</w:t>
      </w:r>
      <w:r w:rsidR="006B0CC6" w:rsidRPr="009B7A2B">
        <w:rPr>
          <w:szCs w:val="20"/>
        </w:rPr>
        <w:t xml:space="preserve"> will</w:t>
      </w:r>
      <w:r w:rsidRPr="009B7A2B">
        <w:rPr>
          <w:szCs w:val="20"/>
        </w:rPr>
        <w:t xml:space="preserve"> include: a global network with local knowledge and good government relations, specialist expertise and innovation, and a focus on cost management and scale. And above all there is a need to have the right people: to attract, retain and invest in them</w:t>
      </w:r>
      <w:r w:rsidR="00CA4BF5" w:rsidRPr="009B7A2B">
        <w:rPr>
          <w:szCs w:val="20"/>
        </w:rPr>
        <w:t>.</w:t>
      </w:r>
    </w:p>
    <w:p w:rsidR="005838D2" w:rsidRPr="009B7A2B" w:rsidRDefault="005838D2" w:rsidP="009B7A2B">
      <w:pPr>
        <w:rPr>
          <w:szCs w:val="20"/>
        </w:rPr>
      </w:pPr>
    </w:p>
    <w:p w:rsidR="00446CE7" w:rsidRPr="009B7A2B" w:rsidRDefault="00586480" w:rsidP="009B7A2B">
      <w:pPr>
        <w:rPr>
          <w:szCs w:val="20"/>
        </w:rPr>
      </w:pPr>
      <w:r w:rsidRPr="009B7A2B">
        <w:rPr>
          <w:szCs w:val="20"/>
        </w:rPr>
        <w:t>“</w:t>
      </w:r>
      <w:r w:rsidR="00224D65" w:rsidRPr="009B7A2B">
        <w:rPr>
          <w:szCs w:val="20"/>
        </w:rPr>
        <w:t xml:space="preserve">The response to the </w:t>
      </w:r>
      <w:r w:rsidR="005A79E1" w:rsidRPr="009B7A2B">
        <w:rPr>
          <w:szCs w:val="20"/>
        </w:rPr>
        <w:t>coming changes in the real estate industry that</w:t>
      </w:r>
      <w:r w:rsidR="00224D65" w:rsidRPr="009B7A2B">
        <w:rPr>
          <w:szCs w:val="20"/>
        </w:rPr>
        <w:t xml:space="preserve"> we’ve identified will require considerable thought in order to </w:t>
      </w:r>
      <w:r w:rsidR="00C83A78" w:rsidRPr="009B7A2B">
        <w:rPr>
          <w:szCs w:val="20"/>
        </w:rPr>
        <w:t>form a winning</w:t>
      </w:r>
      <w:r w:rsidRPr="009B7A2B">
        <w:rPr>
          <w:szCs w:val="20"/>
        </w:rPr>
        <w:t xml:space="preserve"> strategy. </w:t>
      </w:r>
      <w:r w:rsidR="00224D65" w:rsidRPr="009B7A2B">
        <w:rPr>
          <w:szCs w:val="20"/>
        </w:rPr>
        <w:t xml:space="preserve">The successful </w:t>
      </w:r>
      <w:r w:rsidR="00C83A78" w:rsidRPr="009B7A2B">
        <w:rPr>
          <w:szCs w:val="20"/>
        </w:rPr>
        <w:t>real estate</w:t>
      </w:r>
      <w:r w:rsidR="00224D65" w:rsidRPr="009B7A2B">
        <w:rPr>
          <w:szCs w:val="20"/>
        </w:rPr>
        <w:t xml:space="preserve"> managers of 2020 will have already started to shape their responses to some or all of these </w:t>
      </w:r>
      <w:r w:rsidR="00C83A78" w:rsidRPr="009B7A2B">
        <w:rPr>
          <w:szCs w:val="20"/>
        </w:rPr>
        <w:t>changes</w:t>
      </w:r>
      <w:r w:rsidRPr="009B7A2B">
        <w:rPr>
          <w:szCs w:val="20"/>
        </w:rPr>
        <w:t>.”</w:t>
      </w:r>
    </w:p>
    <w:p w:rsidR="007C2381" w:rsidRPr="009B7A2B" w:rsidRDefault="007C2381" w:rsidP="005204F6">
      <w:pPr>
        <w:tabs>
          <w:tab w:val="left" w:pos="3660"/>
        </w:tabs>
        <w:autoSpaceDE w:val="0"/>
        <w:autoSpaceDN w:val="0"/>
        <w:adjustRightInd w:val="0"/>
        <w:spacing w:line="240" w:lineRule="auto"/>
        <w:jc w:val="both"/>
        <w:rPr>
          <w:rFonts w:cs="Georgia"/>
          <w:szCs w:val="20"/>
        </w:rPr>
      </w:pPr>
    </w:p>
    <w:p w:rsidR="005204F6" w:rsidRPr="009B7A2B" w:rsidRDefault="007C2381" w:rsidP="004D36BE">
      <w:pPr>
        <w:tabs>
          <w:tab w:val="left" w:pos="3660"/>
        </w:tabs>
        <w:autoSpaceDE w:val="0"/>
        <w:autoSpaceDN w:val="0"/>
        <w:adjustRightInd w:val="0"/>
        <w:spacing w:line="240" w:lineRule="auto"/>
        <w:jc w:val="both"/>
        <w:rPr>
          <w:rFonts w:cs="Georgia"/>
          <w:b/>
          <w:szCs w:val="20"/>
        </w:rPr>
      </w:pPr>
      <w:r w:rsidRPr="009B7A2B">
        <w:rPr>
          <w:rFonts w:cs="Georgia"/>
          <w:b/>
          <w:szCs w:val="20"/>
        </w:rPr>
        <w:t>Notes to Editors</w:t>
      </w:r>
    </w:p>
    <w:p w:rsidR="00260189" w:rsidRPr="009B7A2B" w:rsidRDefault="00260189" w:rsidP="004D36BE">
      <w:pPr>
        <w:autoSpaceDE w:val="0"/>
        <w:autoSpaceDN w:val="0"/>
        <w:adjustRightInd w:val="0"/>
        <w:spacing w:line="240" w:lineRule="auto"/>
        <w:jc w:val="both"/>
        <w:rPr>
          <w:rFonts w:cs="Verdana"/>
          <w:b/>
          <w:bCs/>
          <w:color w:val="000000"/>
          <w:szCs w:val="20"/>
          <w:lang w:eastAsia="zh-CN"/>
        </w:rPr>
      </w:pPr>
    </w:p>
    <w:p w:rsidR="001C27B0" w:rsidRPr="009B7A2B" w:rsidRDefault="00415A45" w:rsidP="009B7A2B">
      <w:pPr>
        <w:pStyle w:val="ListParagraph"/>
        <w:numPr>
          <w:ilvl w:val="0"/>
          <w:numId w:val="20"/>
        </w:numPr>
        <w:autoSpaceDE w:val="0"/>
        <w:autoSpaceDN w:val="0"/>
        <w:adjustRightInd w:val="0"/>
        <w:ind w:left="270" w:hanging="270"/>
        <w:rPr>
          <w:rFonts w:ascii="Georgia" w:hAnsi="Georgia" w:cs="Verdana"/>
          <w:bCs/>
          <w:color w:val="000000"/>
          <w:sz w:val="20"/>
          <w:szCs w:val="20"/>
        </w:rPr>
      </w:pPr>
      <w:r w:rsidRPr="009B7A2B">
        <w:rPr>
          <w:rFonts w:ascii="Georgia" w:hAnsi="Georgia" w:cs="Verdana"/>
          <w:bCs/>
          <w:color w:val="000000"/>
          <w:sz w:val="20"/>
          <w:szCs w:val="20"/>
        </w:rPr>
        <w:t xml:space="preserve">Developing Asia-Pacific </w:t>
      </w:r>
      <w:r w:rsidR="001C27B0" w:rsidRPr="009B7A2B">
        <w:rPr>
          <w:rFonts w:ascii="Georgia" w:hAnsi="Georgia" w:cs="Verdana"/>
          <w:bCs/>
          <w:color w:val="000000"/>
          <w:sz w:val="20"/>
          <w:szCs w:val="20"/>
        </w:rPr>
        <w:t>figures relate to the following countries</w:t>
      </w:r>
      <w:r w:rsidRPr="009B7A2B">
        <w:rPr>
          <w:rFonts w:ascii="Georgia" w:hAnsi="Georgia"/>
          <w:sz w:val="20"/>
          <w:szCs w:val="20"/>
        </w:rPr>
        <w:t xml:space="preserve">: Bangladesh, </w:t>
      </w:r>
      <w:r w:rsidRPr="009B7A2B">
        <w:rPr>
          <w:rFonts w:ascii="Georgia" w:hAnsi="Georgia"/>
          <w:sz w:val="20"/>
          <w:szCs w:val="20"/>
          <w:lang w:val="en-GB"/>
        </w:rPr>
        <w:t>Bhutan</w:t>
      </w:r>
      <w:r w:rsidRPr="009B7A2B">
        <w:rPr>
          <w:rFonts w:ascii="Georgia" w:hAnsi="Georgia"/>
          <w:sz w:val="20"/>
          <w:szCs w:val="20"/>
        </w:rPr>
        <w:t>,</w:t>
      </w:r>
      <w:r w:rsidRPr="009B7A2B">
        <w:rPr>
          <w:rFonts w:ascii="Georgia" w:hAnsi="Georgia"/>
          <w:sz w:val="20"/>
          <w:szCs w:val="20"/>
          <w:lang w:val="en-GB"/>
        </w:rPr>
        <w:t xml:space="preserve"> Brunei Darussalam</w:t>
      </w:r>
      <w:r w:rsidRPr="009B7A2B">
        <w:rPr>
          <w:rFonts w:ascii="Georgia" w:hAnsi="Georgia"/>
          <w:sz w:val="20"/>
          <w:szCs w:val="20"/>
        </w:rPr>
        <w:t>,</w:t>
      </w:r>
      <w:r w:rsidRPr="009B7A2B">
        <w:rPr>
          <w:rFonts w:ascii="Georgia" w:hAnsi="Georgia"/>
          <w:sz w:val="20"/>
          <w:szCs w:val="20"/>
          <w:lang w:val="en-GB"/>
        </w:rPr>
        <w:t xml:space="preserve"> Cambodia</w:t>
      </w:r>
      <w:r w:rsidRPr="009B7A2B">
        <w:rPr>
          <w:rFonts w:ascii="Georgia" w:hAnsi="Georgia"/>
          <w:sz w:val="20"/>
          <w:szCs w:val="20"/>
        </w:rPr>
        <w:t>,</w:t>
      </w:r>
      <w:r w:rsidRPr="009B7A2B">
        <w:rPr>
          <w:rFonts w:ascii="Georgia" w:hAnsi="Georgia"/>
          <w:sz w:val="20"/>
          <w:szCs w:val="20"/>
          <w:lang w:val="en-GB"/>
        </w:rPr>
        <w:t xml:space="preserve"> China</w:t>
      </w:r>
      <w:r w:rsidRPr="009B7A2B">
        <w:rPr>
          <w:rFonts w:ascii="Georgia" w:hAnsi="Georgia"/>
          <w:sz w:val="20"/>
          <w:szCs w:val="20"/>
        </w:rPr>
        <w:t>,</w:t>
      </w:r>
      <w:r w:rsidRPr="009B7A2B">
        <w:rPr>
          <w:rFonts w:ascii="Georgia" w:hAnsi="Georgia"/>
          <w:sz w:val="20"/>
          <w:szCs w:val="20"/>
          <w:lang w:val="en-GB"/>
        </w:rPr>
        <w:t xml:space="preserve"> Fiji</w:t>
      </w:r>
      <w:r w:rsidRPr="009B7A2B">
        <w:rPr>
          <w:rFonts w:ascii="Georgia" w:hAnsi="Georgia"/>
          <w:sz w:val="20"/>
          <w:szCs w:val="20"/>
        </w:rPr>
        <w:t>,</w:t>
      </w:r>
      <w:r w:rsidRPr="009B7A2B">
        <w:rPr>
          <w:rFonts w:ascii="Georgia" w:hAnsi="Georgia"/>
          <w:sz w:val="20"/>
          <w:szCs w:val="20"/>
          <w:lang w:val="en-GB"/>
        </w:rPr>
        <w:t xml:space="preserve"> India</w:t>
      </w:r>
      <w:r w:rsidRPr="009B7A2B">
        <w:rPr>
          <w:rFonts w:ascii="Georgia" w:hAnsi="Georgia"/>
          <w:sz w:val="20"/>
          <w:szCs w:val="20"/>
        </w:rPr>
        <w:t>,</w:t>
      </w:r>
      <w:r w:rsidRPr="009B7A2B">
        <w:rPr>
          <w:rFonts w:ascii="Georgia" w:hAnsi="Georgia"/>
          <w:sz w:val="20"/>
          <w:szCs w:val="20"/>
          <w:lang w:val="en-GB"/>
        </w:rPr>
        <w:t xml:space="preserve"> </w:t>
      </w:r>
      <w:r w:rsidRPr="009B7A2B">
        <w:rPr>
          <w:rFonts w:ascii="Georgia" w:hAnsi="Georgia"/>
          <w:sz w:val="20"/>
          <w:szCs w:val="20"/>
        </w:rPr>
        <w:t>Indonesia, Kiribati, Lao P.D.R., Malaysia, Maldives, Marshall Islands, Micronesia, Mongolia, Myanmar, Nepal, Palau, Papua New Guinea, Philippines, Samoa, Solomon Islands, Sri Lanka, Thailand, Timor-Leste, Tonga, Tuvalu, Vanuatu, Vietnam</w:t>
      </w:r>
      <w:r w:rsidR="009B7A2B" w:rsidRPr="009B7A2B">
        <w:rPr>
          <w:rFonts w:ascii="Georgia" w:hAnsi="Georgia"/>
          <w:sz w:val="20"/>
          <w:szCs w:val="20"/>
        </w:rPr>
        <w:t xml:space="preserve">, </w:t>
      </w:r>
      <w:r w:rsidRPr="009B7A2B">
        <w:rPr>
          <w:rFonts w:ascii="Georgia" w:hAnsi="Georgia"/>
          <w:sz w:val="20"/>
          <w:szCs w:val="20"/>
        </w:rPr>
        <w:t xml:space="preserve">Asia-Pacific </w:t>
      </w:r>
      <w:r w:rsidR="001C27B0" w:rsidRPr="009B7A2B">
        <w:rPr>
          <w:rFonts w:ascii="Georgia" w:hAnsi="Georgia"/>
          <w:sz w:val="20"/>
          <w:szCs w:val="20"/>
        </w:rPr>
        <w:t>figures relate to</w:t>
      </w:r>
      <w:r w:rsidRPr="009B7A2B">
        <w:rPr>
          <w:rFonts w:ascii="Georgia" w:hAnsi="Georgia"/>
          <w:sz w:val="20"/>
          <w:szCs w:val="20"/>
        </w:rPr>
        <w:t xml:space="preserve"> the following countries: </w:t>
      </w:r>
      <w:r w:rsidR="001C27B0" w:rsidRPr="009B7A2B">
        <w:rPr>
          <w:rFonts w:ascii="Georgia" w:hAnsi="Georgia"/>
          <w:sz w:val="20"/>
          <w:szCs w:val="20"/>
        </w:rPr>
        <w:t>Australia, Hong Kong, Japan, Korea, New Zealand, Singapore and Taiwan</w:t>
      </w:r>
      <w:r w:rsidR="009B7A2B" w:rsidRPr="009B7A2B">
        <w:rPr>
          <w:rFonts w:ascii="Georgia" w:hAnsi="Georgia"/>
          <w:sz w:val="20"/>
          <w:szCs w:val="20"/>
        </w:rPr>
        <w:br/>
      </w:r>
    </w:p>
    <w:p w:rsidR="00415A45" w:rsidRPr="009B7A2B" w:rsidRDefault="001C27B0" w:rsidP="009B7A2B">
      <w:pPr>
        <w:pStyle w:val="ListParagraph"/>
        <w:numPr>
          <w:ilvl w:val="0"/>
          <w:numId w:val="20"/>
        </w:numPr>
        <w:autoSpaceDE w:val="0"/>
        <w:autoSpaceDN w:val="0"/>
        <w:adjustRightInd w:val="0"/>
        <w:ind w:left="270" w:hanging="270"/>
        <w:rPr>
          <w:rFonts w:ascii="Georgia" w:hAnsi="Georgia" w:cs="Verdana"/>
          <w:bCs/>
          <w:color w:val="000000"/>
          <w:sz w:val="20"/>
          <w:szCs w:val="20"/>
        </w:rPr>
      </w:pPr>
      <w:r w:rsidRPr="009B7A2B">
        <w:rPr>
          <w:rFonts w:ascii="Georgia" w:hAnsi="Georgia" w:cs="Verdana"/>
          <w:bCs/>
          <w:color w:val="000000"/>
          <w:sz w:val="20"/>
          <w:szCs w:val="20"/>
        </w:rPr>
        <w:t>Europe figures relate to the following countries: Austria, Belgium, Cyprus, Czech Republic, Denmark, Estonia, Finland, France, Germany, Greece, Iceland, Ireland, Italy, Luxembourg, Malta, Netherlands, Norway, Portugal, San Marino, Slovak Republic, Slovenia, Spain, Sweden, Switzerland, United Kingdom</w:t>
      </w:r>
    </w:p>
    <w:p w:rsidR="00415A45" w:rsidRPr="009B7A2B" w:rsidRDefault="00415A45" w:rsidP="00934A82">
      <w:pPr>
        <w:autoSpaceDE w:val="0"/>
        <w:autoSpaceDN w:val="0"/>
        <w:adjustRightInd w:val="0"/>
        <w:spacing w:line="240" w:lineRule="auto"/>
        <w:rPr>
          <w:rFonts w:cs="Verdana"/>
          <w:bCs/>
          <w:color w:val="000000"/>
          <w:szCs w:val="20"/>
          <w:lang w:eastAsia="zh-CN"/>
        </w:rPr>
      </w:pPr>
    </w:p>
    <w:p w:rsidR="003B093D" w:rsidRPr="009B7A2B" w:rsidRDefault="003B093D" w:rsidP="00934A82">
      <w:pPr>
        <w:autoSpaceDE w:val="0"/>
        <w:autoSpaceDN w:val="0"/>
        <w:adjustRightInd w:val="0"/>
        <w:spacing w:line="240" w:lineRule="auto"/>
        <w:rPr>
          <w:rFonts w:cs="Verdana"/>
          <w:bCs/>
          <w:color w:val="000000"/>
          <w:szCs w:val="20"/>
          <w:lang w:eastAsia="zh-CN"/>
        </w:rPr>
      </w:pPr>
      <w:r w:rsidRPr="009B7A2B">
        <w:rPr>
          <w:rFonts w:cs="Verdana"/>
          <w:bCs/>
          <w:color w:val="000000"/>
          <w:szCs w:val="20"/>
          <w:lang w:eastAsia="zh-CN"/>
        </w:rPr>
        <w:t xml:space="preserve">To download a copy of </w:t>
      </w:r>
      <w:r w:rsidR="00A50CF6" w:rsidRPr="009B7A2B">
        <w:rPr>
          <w:rFonts w:cs="Verdana"/>
          <w:bCs/>
          <w:i/>
          <w:color w:val="000000"/>
          <w:szCs w:val="20"/>
          <w:lang w:eastAsia="zh-CN"/>
        </w:rPr>
        <w:t>Real Estate</w:t>
      </w:r>
      <w:r w:rsidRPr="009B7A2B">
        <w:rPr>
          <w:rFonts w:cs="Verdana"/>
          <w:bCs/>
          <w:i/>
          <w:color w:val="000000"/>
          <w:szCs w:val="20"/>
          <w:lang w:eastAsia="zh-CN"/>
        </w:rPr>
        <w:t xml:space="preserve"> 2020</w:t>
      </w:r>
      <w:r w:rsidRPr="009B7A2B">
        <w:rPr>
          <w:rFonts w:cs="Verdana"/>
          <w:bCs/>
          <w:color w:val="000000"/>
          <w:szCs w:val="20"/>
          <w:lang w:eastAsia="zh-CN"/>
        </w:rPr>
        <w:t xml:space="preserve">, please visit </w:t>
      </w:r>
      <w:r w:rsidR="003421CA" w:rsidRPr="009B7A2B">
        <w:rPr>
          <w:rFonts w:cs="Verdana"/>
          <w:bCs/>
          <w:color w:val="000000"/>
          <w:szCs w:val="20"/>
          <w:lang w:eastAsia="zh-CN"/>
        </w:rPr>
        <w:t>www.pwc.com/RE</w:t>
      </w:r>
      <w:r w:rsidR="005A3C70" w:rsidRPr="009B7A2B">
        <w:rPr>
          <w:rFonts w:cs="Verdana"/>
          <w:bCs/>
          <w:color w:val="000000"/>
          <w:szCs w:val="20"/>
          <w:lang w:eastAsia="zh-CN"/>
        </w:rPr>
        <w:t>2020</w:t>
      </w:r>
    </w:p>
    <w:p w:rsidR="00934A82" w:rsidRPr="009B7A2B" w:rsidRDefault="00934A82" w:rsidP="004D36BE">
      <w:pPr>
        <w:autoSpaceDE w:val="0"/>
        <w:autoSpaceDN w:val="0"/>
        <w:adjustRightInd w:val="0"/>
        <w:spacing w:line="240" w:lineRule="auto"/>
        <w:jc w:val="both"/>
        <w:rPr>
          <w:rFonts w:cs="Verdana"/>
          <w:bCs/>
          <w:color w:val="000000"/>
          <w:szCs w:val="20"/>
          <w:lang w:eastAsia="zh-CN"/>
        </w:rPr>
      </w:pPr>
    </w:p>
    <w:p w:rsidR="00297616" w:rsidRPr="009B7A2B" w:rsidRDefault="00864309" w:rsidP="004D36BE">
      <w:pPr>
        <w:autoSpaceDE w:val="0"/>
        <w:autoSpaceDN w:val="0"/>
        <w:adjustRightInd w:val="0"/>
        <w:spacing w:line="240" w:lineRule="auto"/>
        <w:jc w:val="both"/>
        <w:rPr>
          <w:rFonts w:cs="Verdana"/>
          <w:b/>
          <w:bCs/>
          <w:color w:val="000000"/>
          <w:sz w:val="16"/>
          <w:szCs w:val="16"/>
          <w:lang w:eastAsia="zh-CN"/>
        </w:rPr>
      </w:pPr>
      <w:r w:rsidRPr="009B7A2B">
        <w:rPr>
          <w:rFonts w:cs="Verdana"/>
          <w:b/>
          <w:bCs/>
          <w:color w:val="000000"/>
          <w:sz w:val="16"/>
          <w:szCs w:val="16"/>
          <w:lang w:eastAsia="zh-CN"/>
        </w:rPr>
        <w:t>About PwC</w:t>
      </w:r>
    </w:p>
    <w:p w:rsidR="00E70ADC" w:rsidRPr="009B7A2B" w:rsidRDefault="00E70ADC" w:rsidP="00E70ADC">
      <w:pPr>
        <w:tabs>
          <w:tab w:val="left" w:pos="6615"/>
        </w:tabs>
        <w:spacing w:line="240" w:lineRule="auto"/>
        <w:jc w:val="both"/>
        <w:rPr>
          <w:rFonts w:cs="Helv"/>
          <w:sz w:val="16"/>
          <w:szCs w:val="16"/>
          <w:lang w:eastAsia="en-GB"/>
        </w:rPr>
      </w:pPr>
      <w:r w:rsidRPr="009B7A2B">
        <w:rPr>
          <w:rFonts w:cs="Helv"/>
          <w:sz w:val="16"/>
          <w:szCs w:val="16"/>
          <w:lang w:eastAsia="en-GB"/>
        </w:rPr>
        <w:t>PwC helps organisations and individuals create the value they’re looking for. We’re a network of firms in 157 countries with more than 184,000 people who are committed to delivering quality in assurance, tax and advisory services. Tell us what matters to you and find out more by visiting us at www.pwc.com.</w:t>
      </w:r>
    </w:p>
    <w:p w:rsidR="00E70ADC" w:rsidRPr="009B7A2B" w:rsidRDefault="00E70ADC" w:rsidP="00E70ADC">
      <w:pPr>
        <w:tabs>
          <w:tab w:val="left" w:pos="6615"/>
        </w:tabs>
        <w:spacing w:line="240" w:lineRule="auto"/>
        <w:jc w:val="both"/>
        <w:rPr>
          <w:rFonts w:cs="Helv"/>
          <w:sz w:val="16"/>
          <w:szCs w:val="16"/>
          <w:lang w:eastAsia="en-GB"/>
        </w:rPr>
      </w:pPr>
    </w:p>
    <w:p w:rsidR="00E70ADC" w:rsidRPr="009B7A2B" w:rsidRDefault="000E2E60" w:rsidP="00E70ADC">
      <w:pPr>
        <w:tabs>
          <w:tab w:val="left" w:pos="6615"/>
        </w:tabs>
        <w:spacing w:line="240" w:lineRule="auto"/>
        <w:jc w:val="both"/>
        <w:rPr>
          <w:rFonts w:cs="Helv"/>
          <w:sz w:val="16"/>
          <w:szCs w:val="16"/>
          <w:lang w:eastAsia="en-GB"/>
        </w:rPr>
      </w:pPr>
      <w:r w:rsidRPr="009B7A2B">
        <w:rPr>
          <w:rFonts w:cs="Helv"/>
          <w:sz w:val="16"/>
          <w:szCs w:val="16"/>
          <w:lang w:eastAsia="en-GB"/>
        </w:rPr>
        <w:t>© 2014</w:t>
      </w:r>
      <w:r w:rsidR="00E70ADC" w:rsidRPr="009B7A2B">
        <w:rPr>
          <w:rFonts w:cs="Helv"/>
          <w:sz w:val="16"/>
          <w:szCs w:val="16"/>
          <w:lang w:eastAsia="en-GB"/>
        </w:rPr>
        <w:t xml:space="preserve"> PwC. All rights reserved</w:t>
      </w:r>
      <w:bookmarkStart w:id="0" w:name="_GoBack"/>
      <w:bookmarkEnd w:id="0"/>
    </w:p>
    <w:p w:rsidR="00E70ADC" w:rsidRPr="009B7A2B" w:rsidRDefault="00E70ADC" w:rsidP="00E70ADC">
      <w:pPr>
        <w:tabs>
          <w:tab w:val="left" w:pos="6615"/>
        </w:tabs>
        <w:spacing w:line="240" w:lineRule="auto"/>
        <w:jc w:val="both"/>
        <w:rPr>
          <w:rFonts w:cs="Helv"/>
          <w:sz w:val="16"/>
          <w:szCs w:val="16"/>
          <w:lang w:eastAsia="en-GB"/>
        </w:rPr>
      </w:pPr>
    </w:p>
    <w:p w:rsidR="00297616" w:rsidRPr="009B7A2B" w:rsidRDefault="00E70ADC" w:rsidP="00E70ADC">
      <w:pPr>
        <w:tabs>
          <w:tab w:val="left" w:pos="6615"/>
        </w:tabs>
        <w:spacing w:line="240" w:lineRule="auto"/>
        <w:jc w:val="both"/>
        <w:rPr>
          <w:sz w:val="16"/>
          <w:szCs w:val="16"/>
        </w:rPr>
      </w:pPr>
      <w:r w:rsidRPr="009B7A2B">
        <w:rPr>
          <w:rFonts w:cs="Helv"/>
          <w:sz w:val="16"/>
          <w:szCs w:val="16"/>
          <w:lang w:eastAsia="en-GB"/>
        </w:rPr>
        <w:t>PwC refers to the PwC network and/or one or more of its member firms, each of which is a separate legal entity. Please see www.pwc.com/structure for further details.</w:t>
      </w:r>
    </w:p>
    <w:sectPr w:rsidR="00297616" w:rsidRPr="009B7A2B" w:rsidSect="00297616">
      <w:headerReference w:type="even" r:id="rId10"/>
      <w:headerReference w:type="default" r:id="rId11"/>
      <w:footerReference w:type="even" r:id="rId12"/>
      <w:footerReference w:type="default" r:id="rId13"/>
      <w:headerReference w:type="first" r:id="rId14"/>
      <w:pgSz w:w="11907" w:h="16839" w:code="9"/>
      <w:pgMar w:top="2892" w:right="1797" w:bottom="1440" w:left="179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752" w:rsidRDefault="00310752">
      <w:pPr>
        <w:spacing w:line="240" w:lineRule="auto"/>
      </w:pPr>
      <w:r>
        <w:separator/>
      </w:r>
    </w:p>
  </w:endnote>
  <w:endnote w:type="continuationSeparator" w:id="0">
    <w:p w:rsidR="00310752" w:rsidRDefault="003107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616" w:rsidRDefault="008809E9">
    <w:pPr>
      <w:pStyle w:val="Footer"/>
    </w:pPr>
    <w:r>
      <w:fldChar w:fldCharType="begin"/>
    </w:r>
    <w:r>
      <w:instrText xml:space="preserve"> PAGE  \* MERGEFORMAT </w:instrText>
    </w:r>
    <w:r>
      <w:fldChar w:fldCharType="separate"/>
    </w:r>
    <w:r w:rsidR="00864309">
      <w:rPr>
        <w:noProof/>
      </w:rPr>
      <w:t>2</w:t>
    </w:r>
    <w:r>
      <w:rPr>
        <w:noProof/>
      </w:rPr>
      <w:fldChar w:fldCharType="end"/>
    </w:r>
    <w:r w:rsidR="00864309">
      <w:t xml:space="preserve"> of </w:t>
    </w:r>
    <w:fldSimple w:instr=" NUMPAGES  \* MERGEFORMAT ">
      <w:r w:rsidR="00177731">
        <w:rPr>
          <w:noProof/>
        </w:rPr>
        <w:t>4</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616" w:rsidRDefault="008809E9">
    <w:pPr>
      <w:pStyle w:val="Footer"/>
    </w:pPr>
    <w:r>
      <w:fldChar w:fldCharType="begin"/>
    </w:r>
    <w:r>
      <w:instrText xml:space="preserve"> PAGE  \* MERGEFORMAT </w:instrText>
    </w:r>
    <w:r>
      <w:fldChar w:fldCharType="separate"/>
    </w:r>
    <w:r w:rsidR="009B7A2B">
      <w:rPr>
        <w:noProof/>
      </w:rPr>
      <w:t>3</w:t>
    </w:r>
    <w:r>
      <w:rPr>
        <w:noProof/>
      </w:rPr>
      <w:fldChar w:fldCharType="end"/>
    </w:r>
    <w:r w:rsidR="00864309">
      <w:t xml:space="preserve"> of </w:t>
    </w:r>
    <w:fldSimple w:instr=" NUMPAGES  \* MERGEFORMAT ">
      <w:r w:rsidR="009B7A2B">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752" w:rsidRDefault="00310752">
      <w:pPr>
        <w:spacing w:line="240" w:lineRule="auto"/>
      </w:pPr>
      <w:r>
        <w:separator/>
      </w:r>
    </w:p>
  </w:footnote>
  <w:footnote w:type="continuationSeparator" w:id="0">
    <w:p w:rsidR="00310752" w:rsidRDefault="0031075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616" w:rsidRDefault="00297616">
    <w:pPr>
      <w:pStyle w:val="Header"/>
    </w:pPr>
  </w:p>
  <w:p w:rsidR="00297616" w:rsidRDefault="002976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616" w:rsidRDefault="00864309">
    <w:pPr>
      <w:pStyle w:val="Header"/>
    </w:pPr>
    <w:r>
      <w:rPr>
        <w:rFonts w:eastAsia="Calibri"/>
        <w:noProof/>
        <w:lang w:val="en-US"/>
      </w:rPr>
      <w:drawing>
        <wp:anchor distT="0" distB="0" distL="114300" distR="114300" simplePos="0" relativeHeight="251657728"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616" w:rsidRDefault="00864309">
    <w:pPr>
      <w:pStyle w:val="Header"/>
    </w:pPr>
    <w:r>
      <w:rPr>
        <w:rFonts w:eastAsia="Calibri"/>
        <w:noProof/>
        <w:lang w:val="en-US"/>
      </w:rPr>
      <w:drawing>
        <wp:anchor distT="0" distB="0" distL="114300" distR="114300" simplePos="0" relativeHeight="251656704"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1"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6D2D9D4"/>
    <w:lvl w:ilvl="0">
      <w:numFmt w:val="bullet"/>
      <w:lvlText w:val="*"/>
      <w:lvlJc w:val="left"/>
    </w:lvl>
  </w:abstractNum>
  <w:abstractNum w:abstractNumId="1">
    <w:nsid w:val="0C03730A"/>
    <w:multiLevelType w:val="hybridMultilevel"/>
    <w:tmpl w:val="1CA89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367305"/>
    <w:multiLevelType w:val="hybridMultilevel"/>
    <w:tmpl w:val="906C05A6"/>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nsid w:val="0EE35AC4"/>
    <w:multiLevelType w:val="hybridMultilevel"/>
    <w:tmpl w:val="B56C6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8B7FD5"/>
    <w:multiLevelType w:val="hybridMultilevel"/>
    <w:tmpl w:val="C8561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CB63E2"/>
    <w:multiLevelType w:val="hybridMultilevel"/>
    <w:tmpl w:val="24B0C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3C32EF"/>
    <w:multiLevelType w:val="hybridMultilevel"/>
    <w:tmpl w:val="B1EC34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B067233"/>
    <w:multiLevelType w:val="hybridMultilevel"/>
    <w:tmpl w:val="1FC2DC0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D20270"/>
    <w:multiLevelType w:val="multilevel"/>
    <w:tmpl w:val="6B8A01D6"/>
    <w:styleLink w:val="TableListNumber"/>
    <w:lvl w:ilvl="0">
      <w:start w:val="1"/>
      <w:numFmt w:val="none"/>
      <w:pStyle w:val="TableBody"/>
      <w:suff w:val="nothing"/>
      <w:lvlText w:val=""/>
      <w:lvlJc w:val="left"/>
      <w:pPr>
        <w:ind w:left="0" w:firstLine="0"/>
      </w:pPr>
      <w:rPr>
        <w:rFonts w:hint="default"/>
      </w:rPr>
    </w:lvl>
    <w:lvl w:ilvl="1">
      <w:start w:val="1"/>
      <w:numFmt w:val="decimal"/>
      <w:pStyle w:val="TableBodyListNumber"/>
      <w:lvlText w:val="%2"/>
      <w:lvlJc w:val="left"/>
      <w:pPr>
        <w:tabs>
          <w:tab w:val="num" w:pos="397"/>
        </w:tabs>
        <w:ind w:left="397" w:hanging="397"/>
      </w:pPr>
      <w:rPr>
        <w:rFonts w:hint="default"/>
      </w:rPr>
    </w:lvl>
    <w:lvl w:ilvl="2">
      <w:start w:val="1"/>
      <w:numFmt w:val="lowerLetter"/>
      <w:pStyle w:val="TableBodyListNumber2"/>
      <w:lvlText w:val="%3"/>
      <w:lvlJc w:val="left"/>
      <w:pPr>
        <w:tabs>
          <w:tab w:val="num" w:pos="794"/>
        </w:tabs>
        <w:ind w:left="794" w:hanging="397"/>
      </w:pPr>
      <w:rPr>
        <w:rFonts w:hint="default"/>
      </w:rPr>
    </w:lvl>
    <w:lvl w:ilvl="3">
      <w:start w:val="1"/>
      <w:numFmt w:val="bullet"/>
      <w:pStyle w:val="ListBullet4"/>
      <w:lvlText w:val=""/>
      <w:lvlJc w:val="left"/>
      <w:pPr>
        <w:tabs>
          <w:tab w:val="num" w:pos="1191"/>
        </w:tabs>
        <w:ind w:left="1191" w:hanging="397"/>
      </w:pPr>
      <w:rPr>
        <w:rFonts w:ascii="Symbol" w:hAnsi="Symbol" w:hint="default"/>
        <w:color w:val="auto"/>
      </w:rPr>
    </w:lvl>
    <w:lvl w:ilvl="4">
      <w:start w:val="1"/>
      <w:numFmt w:val="none"/>
      <w:lvlText w:val=""/>
      <w:lvlJc w:val="left"/>
      <w:pPr>
        <w:tabs>
          <w:tab w:val="num" w:pos="1985"/>
        </w:tabs>
        <w:ind w:left="1985" w:hanging="397"/>
      </w:pPr>
      <w:rPr>
        <w:rFonts w:hint="default"/>
      </w:rPr>
    </w:lvl>
    <w:lvl w:ilvl="5">
      <w:start w:val="1"/>
      <w:numFmt w:val="lowerRoman"/>
      <w:lvlText w:val="(%6)"/>
      <w:lvlJc w:val="left"/>
      <w:pPr>
        <w:tabs>
          <w:tab w:val="num" w:pos="2382"/>
        </w:tabs>
        <w:ind w:left="1985" w:firstLine="0"/>
      </w:pPr>
      <w:rPr>
        <w:rFonts w:hint="default"/>
      </w:rPr>
    </w:lvl>
    <w:lvl w:ilvl="6">
      <w:start w:val="1"/>
      <w:numFmt w:val="decimal"/>
      <w:lvlText w:val="%7."/>
      <w:lvlJc w:val="left"/>
      <w:pPr>
        <w:tabs>
          <w:tab w:val="num" w:pos="2779"/>
        </w:tabs>
        <w:ind w:left="2382" w:firstLine="0"/>
      </w:pPr>
      <w:rPr>
        <w:rFonts w:hint="default"/>
      </w:rPr>
    </w:lvl>
    <w:lvl w:ilvl="7">
      <w:start w:val="1"/>
      <w:numFmt w:val="lowerLetter"/>
      <w:lvlText w:val="%8."/>
      <w:lvlJc w:val="left"/>
      <w:pPr>
        <w:tabs>
          <w:tab w:val="num" w:pos="3176"/>
        </w:tabs>
        <w:ind w:left="2779" w:firstLine="0"/>
      </w:pPr>
      <w:rPr>
        <w:rFonts w:hint="default"/>
      </w:rPr>
    </w:lvl>
    <w:lvl w:ilvl="8">
      <w:start w:val="1"/>
      <w:numFmt w:val="lowerRoman"/>
      <w:lvlText w:val="%9."/>
      <w:lvlJc w:val="left"/>
      <w:pPr>
        <w:tabs>
          <w:tab w:val="num" w:pos="3573"/>
        </w:tabs>
        <w:ind w:left="3176" w:firstLine="0"/>
      </w:pPr>
      <w:rPr>
        <w:rFonts w:hint="default"/>
      </w:rPr>
    </w:lvl>
  </w:abstractNum>
  <w:abstractNum w:abstractNumId="9">
    <w:nsid w:val="308928F1"/>
    <w:multiLevelType w:val="hybridMultilevel"/>
    <w:tmpl w:val="2444CE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B50389F"/>
    <w:multiLevelType w:val="hybridMultilevel"/>
    <w:tmpl w:val="5036BC8E"/>
    <w:lvl w:ilvl="0" w:tplc="08090001">
      <w:start w:val="1"/>
      <w:numFmt w:val="bullet"/>
      <w:lvlText w:val=""/>
      <w:lvlJc w:val="left"/>
      <w:pPr>
        <w:ind w:left="720" w:hanging="360"/>
      </w:pPr>
      <w:rPr>
        <w:rFonts w:ascii="Symbol" w:hAnsi="Symbol" w:hint="default"/>
      </w:rPr>
    </w:lvl>
    <w:lvl w:ilvl="1" w:tplc="4DC0443E">
      <w:numFmt w:val="bullet"/>
      <w:lvlText w:val="•"/>
      <w:lvlJc w:val="left"/>
      <w:pPr>
        <w:ind w:left="1440" w:hanging="360"/>
      </w:pPr>
      <w:rPr>
        <w:rFonts w:ascii="Georgia" w:eastAsia="Arial" w:hAnsi="Georgia"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3D7C91"/>
    <w:multiLevelType w:val="hybridMultilevel"/>
    <w:tmpl w:val="45961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40CC1813"/>
    <w:multiLevelType w:val="multilevel"/>
    <w:tmpl w:val="6B8A01D6"/>
    <w:numStyleLink w:val="TableListNumber"/>
  </w:abstractNum>
  <w:abstractNum w:abstractNumId="13">
    <w:nsid w:val="538965F7"/>
    <w:multiLevelType w:val="hybridMultilevel"/>
    <w:tmpl w:val="18E67F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A96005D"/>
    <w:multiLevelType w:val="hybridMultilevel"/>
    <w:tmpl w:val="4A202552"/>
    <w:lvl w:ilvl="0" w:tplc="FEACAE28">
      <w:start w:val="1"/>
      <w:numFmt w:val="bullet"/>
      <w:lvlText w:val="•"/>
      <w:lvlJc w:val="left"/>
      <w:pPr>
        <w:tabs>
          <w:tab w:val="num" w:pos="720"/>
        </w:tabs>
        <w:ind w:left="720" w:hanging="360"/>
      </w:pPr>
      <w:rPr>
        <w:rFonts w:ascii="Georgia" w:hAnsi="Georgia" w:hint="default"/>
      </w:rPr>
    </w:lvl>
    <w:lvl w:ilvl="1" w:tplc="EA24249A">
      <w:start w:val="1"/>
      <w:numFmt w:val="bullet"/>
      <w:lvlText w:val="•"/>
      <w:lvlJc w:val="left"/>
      <w:pPr>
        <w:tabs>
          <w:tab w:val="num" w:pos="1440"/>
        </w:tabs>
        <w:ind w:left="1440" w:hanging="360"/>
      </w:pPr>
      <w:rPr>
        <w:rFonts w:ascii="Georgia" w:hAnsi="Georgia" w:hint="default"/>
      </w:rPr>
    </w:lvl>
    <w:lvl w:ilvl="2" w:tplc="78A846CE" w:tentative="1">
      <w:start w:val="1"/>
      <w:numFmt w:val="bullet"/>
      <w:lvlText w:val="•"/>
      <w:lvlJc w:val="left"/>
      <w:pPr>
        <w:tabs>
          <w:tab w:val="num" w:pos="2160"/>
        </w:tabs>
        <w:ind w:left="2160" w:hanging="360"/>
      </w:pPr>
      <w:rPr>
        <w:rFonts w:ascii="Georgia" w:hAnsi="Georgia" w:hint="default"/>
      </w:rPr>
    </w:lvl>
    <w:lvl w:ilvl="3" w:tplc="B65EE43C" w:tentative="1">
      <w:start w:val="1"/>
      <w:numFmt w:val="bullet"/>
      <w:lvlText w:val="•"/>
      <w:lvlJc w:val="left"/>
      <w:pPr>
        <w:tabs>
          <w:tab w:val="num" w:pos="2880"/>
        </w:tabs>
        <w:ind w:left="2880" w:hanging="360"/>
      </w:pPr>
      <w:rPr>
        <w:rFonts w:ascii="Georgia" w:hAnsi="Georgia" w:hint="default"/>
      </w:rPr>
    </w:lvl>
    <w:lvl w:ilvl="4" w:tplc="990040B0" w:tentative="1">
      <w:start w:val="1"/>
      <w:numFmt w:val="bullet"/>
      <w:lvlText w:val="•"/>
      <w:lvlJc w:val="left"/>
      <w:pPr>
        <w:tabs>
          <w:tab w:val="num" w:pos="3600"/>
        </w:tabs>
        <w:ind w:left="3600" w:hanging="360"/>
      </w:pPr>
      <w:rPr>
        <w:rFonts w:ascii="Georgia" w:hAnsi="Georgia" w:hint="default"/>
      </w:rPr>
    </w:lvl>
    <w:lvl w:ilvl="5" w:tplc="2720464A" w:tentative="1">
      <w:start w:val="1"/>
      <w:numFmt w:val="bullet"/>
      <w:lvlText w:val="•"/>
      <w:lvlJc w:val="left"/>
      <w:pPr>
        <w:tabs>
          <w:tab w:val="num" w:pos="4320"/>
        </w:tabs>
        <w:ind w:left="4320" w:hanging="360"/>
      </w:pPr>
      <w:rPr>
        <w:rFonts w:ascii="Georgia" w:hAnsi="Georgia" w:hint="default"/>
      </w:rPr>
    </w:lvl>
    <w:lvl w:ilvl="6" w:tplc="0C1AA424" w:tentative="1">
      <w:start w:val="1"/>
      <w:numFmt w:val="bullet"/>
      <w:lvlText w:val="•"/>
      <w:lvlJc w:val="left"/>
      <w:pPr>
        <w:tabs>
          <w:tab w:val="num" w:pos="5040"/>
        </w:tabs>
        <w:ind w:left="5040" w:hanging="360"/>
      </w:pPr>
      <w:rPr>
        <w:rFonts w:ascii="Georgia" w:hAnsi="Georgia" w:hint="default"/>
      </w:rPr>
    </w:lvl>
    <w:lvl w:ilvl="7" w:tplc="A05A2616" w:tentative="1">
      <w:start w:val="1"/>
      <w:numFmt w:val="bullet"/>
      <w:lvlText w:val="•"/>
      <w:lvlJc w:val="left"/>
      <w:pPr>
        <w:tabs>
          <w:tab w:val="num" w:pos="5760"/>
        </w:tabs>
        <w:ind w:left="5760" w:hanging="360"/>
      </w:pPr>
      <w:rPr>
        <w:rFonts w:ascii="Georgia" w:hAnsi="Georgia" w:hint="default"/>
      </w:rPr>
    </w:lvl>
    <w:lvl w:ilvl="8" w:tplc="7DD23D9A" w:tentative="1">
      <w:start w:val="1"/>
      <w:numFmt w:val="bullet"/>
      <w:lvlText w:val="•"/>
      <w:lvlJc w:val="left"/>
      <w:pPr>
        <w:tabs>
          <w:tab w:val="num" w:pos="6480"/>
        </w:tabs>
        <w:ind w:left="6480" w:hanging="360"/>
      </w:pPr>
      <w:rPr>
        <w:rFonts w:ascii="Georgia" w:hAnsi="Georgia" w:hint="default"/>
      </w:rPr>
    </w:lvl>
  </w:abstractNum>
  <w:abstractNum w:abstractNumId="15">
    <w:nsid w:val="60D04A55"/>
    <w:multiLevelType w:val="hybridMultilevel"/>
    <w:tmpl w:val="E068A264"/>
    <w:lvl w:ilvl="0" w:tplc="56B01C88">
      <w:start w:val="1"/>
      <w:numFmt w:val="bullet"/>
      <w:lvlText w:val="•"/>
      <w:lvlJc w:val="left"/>
      <w:pPr>
        <w:tabs>
          <w:tab w:val="num" w:pos="720"/>
        </w:tabs>
        <w:ind w:left="720" w:hanging="360"/>
      </w:pPr>
      <w:rPr>
        <w:rFonts w:ascii="Times New Roman" w:hAnsi="Times New Roman" w:hint="default"/>
      </w:rPr>
    </w:lvl>
    <w:lvl w:ilvl="1" w:tplc="084A6926" w:tentative="1">
      <w:start w:val="1"/>
      <w:numFmt w:val="bullet"/>
      <w:lvlText w:val="•"/>
      <w:lvlJc w:val="left"/>
      <w:pPr>
        <w:tabs>
          <w:tab w:val="num" w:pos="1440"/>
        </w:tabs>
        <w:ind w:left="1440" w:hanging="360"/>
      </w:pPr>
      <w:rPr>
        <w:rFonts w:ascii="Times New Roman" w:hAnsi="Times New Roman" w:hint="default"/>
      </w:rPr>
    </w:lvl>
    <w:lvl w:ilvl="2" w:tplc="5BA8D1AE" w:tentative="1">
      <w:start w:val="1"/>
      <w:numFmt w:val="bullet"/>
      <w:lvlText w:val="•"/>
      <w:lvlJc w:val="left"/>
      <w:pPr>
        <w:tabs>
          <w:tab w:val="num" w:pos="2160"/>
        </w:tabs>
        <w:ind w:left="2160" w:hanging="360"/>
      </w:pPr>
      <w:rPr>
        <w:rFonts w:ascii="Times New Roman" w:hAnsi="Times New Roman" w:hint="default"/>
      </w:rPr>
    </w:lvl>
    <w:lvl w:ilvl="3" w:tplc="A41070D4" w:tentative="1">
      <w:start w:val="1"/>
      <w:numFmt w:val="bullet"/>
      <w:lvlText w:val="•"/>
      <w:lvlJc w:val="left"/>
      <w:pPr>
        <w:tabs>
          <w:tab w:val="num" w:pos="2880"/>
        </w:tabs>
        <w:ind w:left="2880" w:hanging="360"/>
      </w:pPr>
      <w:rPr>
        <w:rFonts w:ascii="Times New Roman" w:hAnsi="Times New Roman" w:hint="default"/>
      </w:rPr>
    </w:lvl>
    <w:lvl w:ilvl="4" w:tplc="0110332A" w:tentative="1">
      <w:start w:val="1"/>
      <w:numFmt w:val="bullet"/>
      <w:lvlText w:val="•"/>
      <w:lvlJc w:val="left"/>
      <w:pPr>
        <w:tabs>
          <w:tab w:val="num" w:pos="3600"/>
        </w:tabs>
        <w:ind w:left="3600" w:hanging="360"/>
      </w:pPr>
      <w:rPr>
        <w:rFonts w:ascii="Times New Roman" w:hAnsi="Times New Roman" w:hint="default"/>
      </w:rPr>
    </w:lvl>
    <w:lvl w:ilvl="5" w:tplc="5EE4C202" w:tentative="1">
      <w:start w:val="1"/>
      <w:numFmt w:val="bullet"/>
      <w:lvlText w:val="•"/>
      <w:lvlJc w:val="left"/>
      <w:pPr>
        <w:tabs>
          <w:tab w:val="num" w:pos="4320"/>
        </w:tabs>
        <w:ind w:left="4320" w:hanging="360"/>
      </w:pPr>
      <w:rPr>
        <w:rFonts w:ascii="Times New Roman" w:hAnsi="Times New Roman" w:hint="default"/>
      </w:rPr>
    </w:lvl>
    <w:lvl w:ilvl="6" w:tplc="6C6AB960" w:tentative="1">
      <w:start w:val="1"/>
      <w:numFmt w:val="bullet"/>
      <w:lvlText w:val="•"/>
      <w:lvlJc w:val="left"/>
      <w:pPr>
        <w:tabs>
          <w:tab w:val="num" w:pos="5040"/>
        </w:tabs>
        <w:ind w:left="5040" w:hanging="360"/>
      </w:pPr>
      <w:rPr>
        <w:rFonts w:ascii="Times New Roman" w:hAnsi="Times New Roman" w:hint="default"/>
      </w:rPr>
    </w:lvl>
    <w:lvl w:ilvl="7" w:tplc="1C0A227E" w:tentative="1">
      <w:start w:val="1"/>
      <w:numFmt w:val="bullet"/>
      <w:lvlText w:val="•"/>
      <w:lvlJc w:val="left"/>
      <w:pPr>
        <w:tabs>
          <w:tab w:val="num" w:pos="5760"/>
        </w:tabs>
        <w:ind w:left="5760" w:hanging="360"/>
      </w:pPr>
      <w:rPr>
        <w:rFonts w:ascii="Times New Roman" w:hAnsi="Times New Roman" w:hint="default"/>
      </w:rPr>
    </w:lvl>
    <w:lvl w:ilvl="8" w:tplc="BF6AFF6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7AB67168"/>
    <w:multiLevelType w:val="hybridMultilevel"/>
    <w:tmpl w:val="C36A3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BBF0F1D"/>
    <w:multiLevelType w:val="hybridMultilevel"/>
    <w:tmpl w:val="0374D8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CCF5842"/>
    <w:multiLevelType w:val="hybridMultilevel"/>
    <w:tmpl w:val="AB906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D086020"/>
    <w:multiLevelType w:val="hybridMultilevel"/>
    <w:tmpl w:val="73782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2"/>
  </w:num>
  <w:num w:numId="4">
    <w:abstractNumId w:val="4"/>
  </w:num>
  <w:num w:numId="5">
    <w:abstractNumId w:val="11"/>
  </w:num>
  <w:num w:numId="6">
    <w:abstractNumId w:val="15"/>
  </w:num>
  <w:num w:numId="7">
    <w:abstractNumId w:val="14"/>
  </w:num>
  <w:num w:numId="8">
    <w:abstractNumId w:val="1"/>
  </w:num>
  <w:num w:numId="9">
    <w:abstractNumId w:val="13"/>
  </w:num>
  <w:num w:numId="10">
    <w:abstractNumId w:val="8"/>
  </w:num>
  <w:num w:numId="11">
    <w:abstractNumId w:val="12"/>
  </w:num>
  <w:num w:numId="12">
    <w:abstractNumId w:val="9"/>
  </w:num>
  <w:num w:numId="13">
    <w:abstractNumId w:val="17"/>
  </w:num>
  <w:num w:numId="14">
    <w:abstractNumId w:val="0"/>
    <w:lvlOverride w:ilvl="0">
      <w:lvl w:ilvl="0">
        <w:numFmt w:val="bullet"/>
        <w:lvlText w:val=""/>
        <w:legacy w:legacy="1" w:legacySpace="0" w:legacyIndent="0"/>
        <w:lvlJc w:val="left"/>
        <w:rPr>
          <w:rFonts w:ascii="Symbol" w:hAnsi="Symbol" w:hint="default"/>
          <w:sz w:val="22"/>
        </w:rPr>
      </w:lvl>
    </w:lvlOverride>
  </w:num>
  <w:num w:numId="15">
    <w:abstractNumId w:val="18"/>
  </w:num>
  <w:num w:numId="16">
    <w:abstractNumId w:val="5"/>
  </w:num>
  <w:num w:numId="17">
    <w:abstractNumId w:val="3"/>
  </w:num>
  <w:num w:numId="18">
    <w:abstractNumId w:val="16"/>
  </w:num>
  <w:num w:numId="19">
    <w:abstractNumId w:val="1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attachedTemplate r:id="rId1"/>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616"/>
    <w:rsid w:val="00000423"/>
    <w:rsid w:val="00013597"/>
    <w:rsid w:val="0003241F"/>
    <w:rsid w:val="00034C85"/>
    <w:rsid w:val="0004127B"/>
    <w:rsid w:val="00051815"/>
    <w:rsid w:val="00056FB1"/>
    <w:rsid w:val="00057561"/>
    <w:rsid w:val="000665B8"/>
    <w:rsid w:val="00082723"/>
    <w:rsid w:val="00094382"/>
    <w:rsid w:val="0009760C"/>
    <w:rsid w:val="000A0AD8"/>
    <w:rsid w:val="000B1B95"/>
    <w:rsid w:val="000C13E7"/>
    <w:rsid w:val="000C288B"/>
    <w:rsid w:val="000D28CE"/>
    <w:rsid w:val="000E2E60"/>
    <w:rsid w:val="00106474"/>
    <w:rsid w:val="0011757A"/>
    <w:rsid w:val="00121654"/>
    <w:rsid w:val="00126849"/>
    <w:rsid w:val="001547CF"/>
    <w:rsid w:val="00154FE2"/>
    <w:rsid w:val="0016028B"/>
    <w:rsid w:val="00175487"/>
    <w:rsid w:val="00177731"/>
    <w:rsid w:val="001841D4"/>
    <w:rsid w:val="00197B2C"/>
    <w:rsid w:val="001A5241"/>
    <w:rsid w:val="001A7745"/>
    <w:rsid w:val="001C2276"/>
    <w:rsid w:val="001C27B0"/>
    <w:rsid w:val="001C4F1F"/>
    <w:rsid w:val="001C5E33"/>
    <w:rsid w:val="001F2475"/>
    <w:rsid w:val="002002F3"/>
    <w:rsid w:val="0020371F"/>
    <w:rsid w:val="002060B8"/>
    <w:rsid w:val="002132F6"/>
    <w:rsid w:val="00222E3E"/>
    <w:rsid w:val="00224D65"/>
    <w:rsid w:val="00225C4B"/>
    <w:rsid w:val="00232DA2"/>
    <w:rsid w:val="00245153"/>
    <w:rsid w:val="002553A2"/>
    <w:rsid w:val="002558AA"/>
    <w:rsid w:val="00260189"/>
    <w:rsid w:val="00262FB8"/>
    <w:rsid w:val="00267A53"/>
    <w:rsid w:val="00277979"/>
    <w:rsid w:val="00282377"/>
    <w:rsid w:val="002823A0"/>
    <w:rsid w:val="00295109"/>
    <w:rsid w:val="00297616"/>
    <w:rsid w:val="002A11BC"/>
    <w:rsid w:val="002A5BA2"/>
    <w:rsid w:val="002C0503"/>
    <w:rsid w:val="002D6C55"/>
    <w:rsid w:val="002E2BD4"/>
    <w:rsid w:val="002E4883"/>
    <w:rsid w:val="002F5297"/>
    <w:rsid w:val="003079EB"/>
    <w:rsid w:val="00310752"/>
    <w:rsid w:val="003171CA"/>
    <w:rsid w:val="003421CA"/>
    <w:rsid w:val="00352AE7"/>
    <w:rsid w:val="0036345B"/>
    <w:rsid w:val="00374466"/>
    <w:rsid w:val="003A3C1A"/>
    <w:rsid w:val="003A6D63"/>
    <w:rsid w:val="003B093D"/>
    <w:rsid w:val="003B4ED1"/>
    <w:rsid w:val="003D1B67"/>
    <w:rsid w:val="003E4C32"/>
    <w:rsid w:val="00415A45"/>
    <w:rsid w:val="0042555E"/>
    <w:rsid w:val="0043029F"/>
    <w:rsid w:val="00435AD1"/>
    <w:rsid w:val="004365C3"/>
    <w:rsid w:val="00437D3A"/>
    <w:rsid w:val="00446CE7"/>
    <w:rsid w:val="0045532E"/>
    <w:rsid w:val="00456932"/>
    <w:rsid w:val="00480B39"/>
    <w:rsid w:val="00482032"/>
    <w:rsid w:val="0048739C"/>
    <w:rsid w:val="004B0CBD"/>
    <w:rsid w:val="004B3333"/>
    <w:rsid w:val="004B4AF9"/>
    <w:rsid w:val="004C44B7"/>
    <w:rsid w:val="004D36BE"/>
    <w:rsid w:val="0050759E"/>
    <w:rsid w:val="005154C5"/>
    <w:rsid w:val="005204F6"/>
    <w:rsid w:val="005279D3"/>
    <w:rsid w:val="00545688"/>
    <w:rsid w:val="00553CED"/>
    <w:rsid w:val="005543B0"/>
    <w:rsid w:val="00565D1F"/>
    <w:rsid w:val="00571706"/>
    <w:rsid w:val="00580B6C"/>
    <w:rsid w:val="005838D2"/>
    <w:rsid w:val="00586480"/>
    <w:rsid w:val="00593039"/>
    <w:rsid w:val="005A3C70"/>
    <w:rsid w:val="005A7036"/>
    <w:rsid w:val="005A79E1"/>
    <w:rsid w:val="005B7F5A"/>
    <w:rsid w:val="005D56FB"/>
    <w:rsid w:val="005E4F79"/>
    <w:rsid w:val="005E5CFC"/>
    <w:rsid w:val="005E6081"/>
    <w:rsid w:val="005F02FC"/>
    <w:rsid w:val="00605F27"/>
    <w:rsid w:val="00634947"/>
    <w:rsid w:val="00647F89"/>
    <w:rsid w:val="00655676"/>
    <w:rsid w:val="006561E8"/>
    <w:rsid w:val="006A364C"/>
    <w:rsid w:val="006B0CC6"/>
    <w:rsid w:val="006C1CE4"/>
    <w:rsid w:val="006C4A2F"/>
    <w:rsid w:val="006E2F93"/>
    <w:rsid w:val="006E4658"/>
    <w:rsid w:val="006E4E6C"/>
    <w:rsid w:val="006E51EE"/>
    <w:rsid w:val="006E736F"/>
    <w:rsid w:val="006F58AA"/>
    <w:rsid w:val="006F5D0E"/>
    <w:rsid w:val="00720F9A"/>
    <w:rsid w:val="0072590D"/>
    <w:rsid w:val="007423DE"/>
    <w:rsid w:val="007717C2"/>
    <w:rsid w:val="007A3CCD"/>
    <w:rsid w:val="007A5277"/>
    <w:rsid w:val="007B4987"/>
    <w:rsid w:val="007B63CA"/>
    <w:rsid w:val="007B7E31"/>
    <w:rsid w:val="007C1F4D"/>
    <w:rsid w:val="007C2381"/>
    <w:rsid w:val="007C425D"/>
    <w:rsid w:val="007D5B96"/>
    <w:rsid w:val="00817497"/>
    <w:rsid w:val="00826AD9"/>
    <w:rsid w:val="0083540D"/>
    <w:rsid w:val="00841D96"/>
    <w:rsid w:val="008475D0"/>
    <w:rsid w:val="00850F2F"/>
    <w:rsid w:val="00853D7A"/>
    <w:rsid w:val="00861101"/>
    <w:rsid w:val="00862096"/>
    <w:rsid w:val="00864309"/>
    <w:rsid w:val="0086451B"/>
    <w:rsid w:val="00867FA0"/>
    <w:rsid w:val="008809E9"/>
    <w:rsid w:val="00880E89"/>
    <w:rsid w:val="00884046"/>
    <w:rsid w:val="00897922"/>
    <w:rsid w:val="008A621F"/>
    <w:rsid w:val="008B0AE0"/>
    <w:rsid w:val="008B0D3B"/>
    <w:rsid w:val="008C03CE"/>
    <w:rsid w:val="008D4731"/>
    <w:rsid w:val="008F5FA0"/>
    <w:rsid w:val="008F727D"/>
    <w:rsid w:val="00902952"/>
    <w:rsid w:val="00906D5F"/>
    <w:rsid w:val="00914871"/>
    <w:rsid w:val="00934A82"/>
    <w:rsid w:val="009751D7"/>
    <w:rsid w:val="00987FC6"/>
    <w:rsid w:val="00994CC6"/>
    <w:rsid w:val="009B7A2B"/>
    <w:rsid w:val="009D7AE2"/>
    <w:rsid w:val="009F24CF"/>
    <w:rsid w:val="00A215DD"/>
    <w:rsid w:val="00A34FCD"/>
    <w:rsid w:val="00A41417"/>
    <w:rsid w:val="00A50CF6"/>
    <w:rsid w:val="00A53F38"/>
    <w:rsid w:val="00A832BF"/>
    <w:rsid w:val="00A931A0"/>
    <w:rsid w:val="00AA7A37"/>
    <w:rsid w:val="00AB284E"/>
    <w:rsid w:val="00AB691D"/>
    <w:rsid w:val="00AB71F1"/>
    <w:rsid w:val="00AC0900"/>
    <w:rsid w:val="00AE70CB"/>
    <w:rsid w:val="00B2588E"/>
    <w:rsid w:val="00B32E27"/>
    <w:rsid w:val="00B359F3"/>
    <w:rsid w:val="00B45A7A"/>
    <w:rsid w:val="00B660FC"/>
    <w:rsid w:val="00B742DE"/>
    <w:rsid w:val="00B815EB"/>
    <w:rsid w:val="00BC1FD6"/>
    <w:rsid w:val="00BE2F9D"/>
    <w:rsid w:val="00BF113C"/>
    <w:rsid w:val="00C33C2A"/>
    <w:rsid w:val="00C33CE7"/>
    <w:rsid w:val="00C5224C"/>
    <w:rsid w:val="00C57D4D"/>
    <w:rsid w:val="00C60DD7"/>
    <w:rsid w:val="00C672A8"/>
    <w:rsid w:val="00C77320"/>
    <w:rsid w:val="00C77DD3"/>
    <w:rsid w:val="00C83A78"/>
    <w:rsid w:val="00CA03D6"/>
    <w:rsid w:val="00CA4BF5"/>
    <w:rsid w:val="00CB5985"/>
    <w:rsid w:val="00CC0E66"/>
    <w:rsid w:val="00CC5F10"/>
    <w:rsid w:val="00CD7145"/>
    <w:rsid w:val="00CE246C"/>
    <w:rsid w:val="00CF2E32"/>
    <w:rsid w:val="00D00C86"/>
    <w:rsid w:val="00D03CF8"/>
    <w:rsid w:val="00D10337"/>
    <w:rsid w:val="00D16C65"/>
    <w:rsid w:val="00D42DEA"/>
    <w:rsid w:val="00D526C8"/>
    <w:rsid w:val="00D5445D"/>
    <w:rsid w:val="00D55D8C"/>
    <w:rsid w:val="00D635E7"/>
    <w:rsid w:val="00D64710"/>
    <w:rsid w:val="00D9330E"/>
    <w:rsid w:val="00DB7DE2"/>
    <w:rsid w:val="00DC2470"/>
    <w:rsid w:val="00DD5ECF"/>
    <w:rsid w:val="00DF13B6"/>
    <w:rsid w:val="00E20C67"/>
    <w:rsid w:val="00E25ED2"/>
    <w:rsid w:val="00E25F35"/>
    <w:rsid w:val="00E31B28"/>
    <w:rsid w:val="00E41CDF"/>
    <w:rsid w:val="00E454FC"/>
    <w:rsid w:val="00E60E52"/>
    <w:rsid w:val="00E70133"/>
    <w:rsid w:val="00E7095E"/>
    <w:rsid w:val="00E70ADC"/>
    <w:rsid w:val="00E73C2F"/>
    <w:rsid w:val="00E81C99"/>
    <w:rsid w:val="00E87F57"/>
    <w:rsid w:val="00E921B9"/>
    <w:rsid w:val="00E953F2"/>
    <w:rsid w:val="00EA6A31"/>
    <w:rsid w:val="00EB75D9"/>
    <w:rsid w:val="00EC0D33"/>
    <w:rsid w:val="00EC7B53"/>
    <w:rsid w:val="00EE5E34"/>
    <w:rsid w:val="00EF5A33"/>
    <w:rsid w:val="00F17AE6"/>
    <w:rsid w:val="00F25C19"/>
    <w:rsid w:val="00F3554D"/>
    <w:rsid w:val="00F413E3"/>
    <w:rsid w:val="00F56E7E"/>
    <w:rsid w:val="00F6709A"/>
    <w:rsid w:val="00F7709C"/>
    <w:rsid w:val="00F80A40"/>
    <w:rsid w:val="00F837D1"/>
    <w:rsid w:val="00F87DA2"/>
    <w:rsid w:val="00FA50D7"/>
    <w:rsid w:val="00FA7441"/>
    <w:rsid w:val="00FB7E2D"/>
    <w:rsid w:val="00FC2661"/>
    <w:rsid w:val="00FC5123"/>
    <w:rsid w:val="00FF76F6"/>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4" w:uiPriority="13"/>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616"/>
    <w:pPr>
      <w:spacing w:line="240" w:lineRule="atLeast"/>
    </w:pPr>
    <w:rPr>
      <w:rFonts w:ascii="Georgia" w:hAnsi="Georgia"/>
      <w:szCs w:val="22"/>
      <w:lang w:val="en-GB" w:eastAsia="en-US"/>
    </w:rPr>
  </w:style>
  <w:style w:type="paragraph" w:styleId="Heading1">
    <w:name w:val="heading 1"/>
    <w:basedOn w:val="Normal"/>
    <w:next w:val="Normal"/>
    <w:link w:val="Heading1Char"/>
    <w:qFormat/>
    <w:rsid w:val="00297616"/>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97616"/>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297616"/>
  </w:style>
  <w:style w:type="paragraph" w:styleId="Footer">
    <w:name w:val="footer"/>
    <w:basedOn w:val="Normal"/>
    <w:link w:val="FooterChar"/>
    <w:uiPriority w:val="99"/>
    <w:semiHidden/>
    <w:unhideWhenUsed/>
    <w:rsid w:val="00297616"/>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297616"/>
  </w:style>
  <w:style w:type="paragraph" w:styleId="BodyText">
    <w:name w:val="Body Text"/>
    <w:basedOn w:val="Normal"/>
    <w:link w:val="BodyTextChar"/>
    <w:uiPriority w:val="99"/>
    <w:unhideWhenUsed/>
    <w:rsid w:val="00297616"/>
    <w:pPr>
      <w:spacing w:after="240"/>
    </w:pPr>
  </w:style>
  <w:style w:type="character" w:customStyle="1" w:styleId="BodyTextChar">
    <w:name w:val="Body Text Char"/>
    <w:basedOn w:val="DefaultParagraphFont"/>
    <w:link w:val="BodyText"/>
    <w:uiPriority w:val="99"/>
    <w:rsid w:val="00297616"/>
    <w:rPr>
      <w:rFonts w:ascii="Georgia" w:hAnsi="Georgia"/>
      <w:sz w:val="20"/>
    </w:rPr>
  </w:style>
  <w:style w:type="paragraph" w:styleId="Title">
    <w:name w:val="Title"/>
    <w:basedOn w:val="Normal"/>
    <w:next w:val="Normal"/>
    <w:link w:val="TitleChar"/>
    <w:uiPriority w:val="10"/>
    <w:qFormat/>
    <w:rsid w:val="00297616"/>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10"/>
    <w:rsid w:val="00297616"/>
    <w:rPr>
      <w:rFonts w:ascii="Cambria" w:eastAsia="Times New Roman" w:hAnsi="Cambria" w:cs="Times New Roman"/>
      <w:b/>
      <w:i/>
      <w:color w:val="000000"/>
      <w:spacing w:val="5"/>
      <w:kern w:val="28"/>
      <w:sz w:val="24"/>
      <w:szCs w:val="52"/>
    </w:rPr>
  </w:style>
  <w:style w:type="paragraph" w:customStyle="1" w:styleId="Address">
    <w:name w:val="Address"/>
    <w:basedOn w:val="Normal"/>
    <w:link w:val="AddressChar"/>
    <w:rsid w:val="00297616"/>
    <w:pPr>
      <w:spacing w:line="200" w:lineRule="atLeast"/>
    </w:pPr>
    <w:rPr>
      <w:i/>
      <w:sz w:val="18"/>
    </w:rPr>
  </w:style>
  <w:style w:type="character" w:customStyle="1" w:styleId="AddressChar">
    <w:name w:val="Address Char"/>
    <w:basedOn w:val="DefaultParagraphFont"/>
    <w:link w:val="Address"/>
    <w:rsid w:val="00297616"/>
    <w:rPr>
      <w:rFonts w:ascii="Georgia" w:hAnsi="Georgia"/>
      <w:i/>
      <w:sz w:val="18"/>
    </w:rPr>
  </w:style>
  <w:style w:type="paragraph" w:customStyle="1" w:styleId="Disclaimer">
    <w:name w:val="Disclaimer"/>
    <w:basedOn w:val="Normal"/>
    <w:link w:val="DisclaimerChar"/>
    <w:rsid w:val="00297616"/>
    <w:pPr>
      <w:spacing w:line="140" w:lineRule="atLeast"/>
    </w:pPr>
    <w:rPr>
      <w:rFonts w:ascii="Arial" w:hAnsi="Arial" w:cs="Arial"/>
      <w:sz w:val="12"/>
    </w:rPr>
  </w:style>
  <w:style w:type="character" w:customStyle="1" w:styleId="DisclaimerChar">
    <w:name w:val="Disclaimer Char"/>
    <w:basedOn w:val="DefaultParagraphFont"/>
    <w:link w:val="Disclaimer"/>
    <w:rsid w:val="00297616"/>
    <w:rPr>
      <w:rFonts w:ascii="Arial" w:hAnsi="Arial" w:cs="Arial"/>
      <w:sz w:val="12"/>
    </w:rPr>
  </w:style>
  <w:style w:type="character" w:customStyle="1" w:styleId="Heading1Char">
    <w:name w:val="Heading 1 Char"/>
    <w:basedOn w:val="DefaultParagraphFont"/>
    <w:link w:val="Heading1"/>
    <w:rsid w:val="00297616"/>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29761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616"/>
    <w:rPr>
      <w:rFonts w:ascii="Tahoma" w:hAnsi="Tahoma" w:cs="Tahoma"/>
      <w:sz w:val="16"/>
      <w:szCs w:val="16"/>
      <w:lang w:eastAsia="en-US"/>
    </w:rPr>
  </w:style>
  <w:style w:type="paragraph" w:styleId="ListParagraph">
    <w:name w:val="List Paragraph"/>
    <w:basedOn w:val="Normal"/>
    <w:uiPriority w:val="34"/>
    <w:qFormat/>
    <w:rsid w:val="00297616"/>
    <w:pPr>
      <w:widowControl w:val="0"/>
      <w:spacing w:line="240" w:lineRule="auto"/>
      <w:ind w:left="720"/>
      <w:contextualSpacing/>
    </w:pPr>
    <w:rPr>
      <w:rFonts w:ascii="Arial" w:eastAsia="Arial" w:hAnsi="Arial" w:cs="Arial"/>
      <w:kern w:val="2"/>
      <w:sz w:val="22"/>
      <w:lang w:val="en-US" w:eastAsia="zh-CN"/>
    </w:rPr>
  </w:style>
  <w:style w:type="character" w:styleId="Hyperlink">
    <w:name w:val="Hyperlink"/>
    <w:basedOn w:val="DefaultParagraphFont"/>
    <w:uiPriority w:val="99"/>
    <w:rsid w:val="00297616"/>
    <w:rPr>
      <w:color w:val="0000FF"/>
      <w:u w:val="single"/>
    </w:rPr>
  </w:style>
  <w:style w:type="paragraph" w:customStyle="1" w:styleId="CharCharCharChar">
    <w:name w:val="Char Char Char Char"/>
    <w:basedOn w:val="Normal"/>
    <w:rsid w:val="00297616"/>
    <w:pPr>
      <w:spacing w:after="160" w:line="240" w:lineRule="exact"/>
    </w:pPr>
    <w:rPr>
      <w:rFonts w:ascii="Tahoma" w:hAnsi="Tahoma" w:cs="Angsana New"/>
      <w:szCs w:val="20"/>
      <w:lang w:val="en-US"/>
    </w:rPr>
  </w:style>
  <w:style w:type="paragraph" w:customStyle="1" w:styleId="Heading">
    <w:name w:val="Heading"/>
    <w:basedOn w:val="Normal"/>
    <w:rsid w:val="00297616"/>
    <w:pPr>
      <w:spacing w:line="240" w:lineRule="auto"/>
    </w:pPr>
    <w:rPr>
      <w:rFonts w:ascii="Arial" w:eastAsia="Times New Roman" w:hAnsi="Arial"/>
      <w:b/>
      <w:sz w:val="24"/>
      <w:szCs w:val="20"/>
    </w:rPr>
  </w:style>
  <w:style w:type="character" w:styleId="CommentReference">
    <w:name w:val="annotation reference"/>
    <w:basedOn w:val="DefaultParagraphFont"/>
    <w:uiPriority w:val="99"/>
    <w:semiHidden/>
    <w:unhideWhenUsed/>
    <w:rsid w:val="00297616"/>
    <w:rPr>
      <w:sz w:val="16"/>
      <w:szCs w:val="16"/>
    </w:rPr>
  </w:style>
  <w:style w:type="paragraph" w:styleId="CommentText">
    <w:name w:val="annotation text"/>
    <w:basedOn w:val="Normal"/>
    <w:link w:val="CommentTextChar"/>
    <w:uiPriority w:val="99"/>
    <w:semiHidden/>
    <w:unhideWhenUsed/>
    <w:rsid w:val="00297616"/>
    <w:pPr>
      <w:spacing w:line="240" w:lineRule="auto"/>
    </w:pPr>
    <w:rPr>
      <w:szCs w:val="20"/>
    </w:rPr>
  </w:style>
  <w:style w:type="character" w:customStyle="1" w:styleId="CommentTextChar">
    <w:name w:val="Comment Text Char"/>
    <w:basedOn w:val="DefaultParagraphFont"/>
    <w:link w:val="CommentText"/>
    <w:uiPriority w:val="99"/>
    <w:semiHidden/>
    <w:rsid w:val="00297616"/>
    <w:rPr>
      <w:rFonts w:ascii="Georgia" w:hAnsi="Georgia"/>
      <w:lang w:val="en-GB" w:eastAsia="en-US"/>
    </w:rPr>
  </w:style>
  <w:style w:type="paragraph" w:styleId="CommentSubject">
    <w:name w:val="annotation subject"/>
    <w:basedOn w:val="CommentText"/>
    <w:next w:val="CommentText"/>
    <w:link w:val="CommentSubjectChar"/>
    <w:uiPriority w:val="99"/>
    <w:semiHidden/>
    <w:unhideWhenUsed/>
    <w:rsid w:val="00297616"/>
    <w:rPr>
      <w:b/>
      <w:bCs/>
    </w:rPr>
  </w:style>
  <w:style w:type="character" w:customStyle="1" w:styleId="CommentSubjectChar">
    <w:name w:val="Comment Subject Char"/>
    <w:basedOn w:val="CommentTextChar"/>
    <w:link w:val="CommentSubject"/>
    <w:uiPriority w:val="99"/>
    <w:semiHidden/>
    <w:rsid w:val="00297616"/>
    <w:rPr>
      <w:rFonts w:ascii="Georgia" w:hAnsi="Georgia"/>
      <w:b/>
      <w:bCs/>
      <w:lang w:val="en-GB" w:eastAsia="en-US"/>
    </w:rPr>
  </w:style>
  <w:style w:type="paragraph" w:styleId="ListBullet4">
    <w:name w:val="List Bullet 4"/>
    <w:basedOn w:val="BodyText"/>
    <w:uiPriority w:val="13"/>
    <w:unhideWhenUsed/>
    <w:rsid w:val="00374466"/>
    <w:pPr>
      <w:numPr>
        <w:ilvl w:val="3"/>
        <w:numId w:val="11"/>
      </w:numPr>
      <w:tabs>
        <w:tab w:val="clear" w:pos="1191"/>
        <w:tab w:val="num" w:pos="360"/>
      </w:tabs>
      <w:spacing w:after="180" w:line="264" w:lineRule="auto"/>
      <w:ind w:left="0" w:firstLine="0"/>
      <w:contextualSpacing/>
    </w:pPr>
    <w:rPr>
      <w:rFonts w:eastAsiaTheme="minorHAnsi" w:cs="Arial"/>
      <w:color w:val="000000" w:themeColor="text1"/>
      <w:szCs w:val="21"/>
    </w:rPr>
  </w:style>
  <w:style w:type="paragraph" w:customStyle="1" w:styleId="TableBody">
    <w:name w:val="TableBody"/>
    <w:basedOn w:val="BodyText"/>
    <w:rsid w:val="00374466"/>
    <w:pPr>
      <w:numPr>
        <w:numId w:val="11"/>
      </w:numPr>
      <w:tabs>
        <w:tab w:val="num" w:pos="360"/>
      </w:tabs>
      <w:spacing w:after="120" w:line="240" w:lineRule="auto"/>
    </w:pPr>
    <w:rPr>
      <w:rFonts w:eastAsiaTheme="minorHAnsi" w:cstheme="minorBidi"/>
      <w:szCs w:val="20"/>
    </w:rPr>
  </w:style>
  <w:style w:type="paragraph" w:customStyle="1" w:styleId="TableBodyListNumber">
    <w:name w:val="TableBodyListNumber"/>
    <w:basedOn w:val="TableBody"/>
    <w:rsid w:val="00374466"/>
    <w:pPr>
      <w:numPr>
        <w:ilvl w:val="1"/>
      </w:numPr>
      <w:tabs>
        <w:tab w:val="clear" w:pos="397"/>
        <w:tab w:val="num" w:pos="360"/>
        <w:tab w:val="left" w:pos="426"/>
      </w:tabs>
      <w:spacing w:after="60"/>
    </w:pPr>
  </w:style>
  <w:style w:type="paragraph" w:customStyle="1" w:styleId="TableBodyListNumber2">
    <w:name w:val="TableBodyListNumber2"/>
    <w:basedOn w:val="TableBodyListNumber"/>
    <w:rsid w:val="00374466"/>
    <w:pPr>
      <w:numPr>
        <w:ilvl w:val="2"/>
      </w:numPr>
      <w:tabs>
        <w:tab w:val="clear" w:pos="794"/>
        <w:tab w:val="num" w:pos="360"/>
      </w:tabs>
      <w:spacing w:after="120"/>
    </w:pPr>
  </w:style>
  <w:style w:type="numbering" w:customStyle="1" w:styleId="TableListNumber">
    <w:name w:val="TableListNumber"/>
    <w:uiPriority w:val="99"/>
    <w:rsid w:val="00374466"/>
    <w:pPr>
      <w:numPr>
        <w:numId w:val="10"/>
      </w:numPr>
    </w:pPr>
  </w:style>
  <w:style w:type="paragraph" w:customStyle="1" w:styleId="Default">
    <w:name w:val="Default"/>
    <w:rsid w:val="005A7036"/>
    <w:pPr>
      <w:autoSpaceDE w:val="0"/>
      <w:autoSpaceDN w:val="0"/>
      <w:adjustRightInd w:val="0"/>
    </w:pPr>
    <w:rPr>
      <w:rFonts w:ascii="Georgia" w:hAnsi="Georgia" w:cs="Georgia"/>
      <w:color w:val="000000"/>
      <w:sz w:val="24"/>
      <w:szCs w:val="24"/>
      <w:lang w:val="en-GB"/>
    </w:rPr>
  </w:style>
  <w:style w:type="paragraph" w:styleId="FootnoteText">
    <w:name w:val="footnote text"/>
    <w:basedOn w:val="Normal"/>
    <w:link w:val="FootnoteTextChar"/>
    <w:uiPriority w:val="99"/>
    <w:semiHidden/>
    <w:unhideWhenUsed/>
    <w:rsid w:val="00415A45"/>
    <w:pPr>
      <w:spacing w:line="240" w:lineRule="auto"/>
    </w:pPr>
    <w:rPr>
      <w:szCs w:val="20"/>
    </w:rPr>
  </w:style>
  <w:style w:type="character" w:customStyle="1" w:styleId="FootnoteTextChar">
    <w:name w:val="Footnote Text Char"/>
    <w:basedOn w:val="DefaultParagraphFont"/>
    <w:link w:val="FootnoteText"/>
    <w:uiPriority w:val="99"/>
    <w:semiHidden/>
    <w:rsid w:val="00415A45"/>
    <w:rPr>
      <w:rFonts w:ascii="Georgia" w:hAnsi="Georgia"/>
      <w:lang w:val="en-GB" w:eastAsia="en-US"/>
    </w:rPr>
  </w:style>
  <w:style w:type="character" w:styleId="FootnoteReference">
    <w:name w:val="footnote reference"/>
    <w:basedOn w:val="DefaultParagraphFont"/>
    <w:uiPriority w:val="99"/>
    <w:semiHidden/>
    <w:unhideWhenUsed/>
    <w:rsid w:val="00415A45"/>
    <w:rPr>
      <w:vertAlign w:val="superscript"/>
    </w:rPr>
  </w:style>
  <w:style w:type="paragraph" w:styleId="Revision">
    <w:name w:val="Revision"/>
    <w:hidden/>
    <w:uiPriority w:val="99"/>
    <w:semiHidden/>
    <w:rsid w:val="00232DA2"/>
    <w:rPr>
      <w:rFonts w:ascii="Georgia" w:hAnsi="Georgia"/>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4" w:uiPriority="13"/>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616"/>
    <w:pPr>
      <w:spacing w:line="240" w:lineRule="atLeast"/>
    </w:pPr>
    <w:rPr>
      <w:rFonts w:ascii="Georgia" w:hAnsi="Georgia"/>
      <w:szCs w:val="22"/>
      <w:lang w:val="en-GB" w:eastAsia="en-US"/>
    </w:rPr>
  </w:style>
  <w:style w:type="paragraph" w:styleId="Heading1">
    <w:name w:val="heading 1"/>
    <w:basedOn w:val="Normal"/>
    <w:next w:val="Normal"/>
    <w:link w:val="Heading1Char"/>
    <w:qFormat/>
    <w:rsid w:val="00297616"/>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97616"/>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297616"/>
  </w:style>
  <w:style w:type="paragraph" w:styleId="Footer">
    <w:name w:val="footer"/>
    <w:basedOn w:val="Normal"/>
    <w:link w:val="FooterChar"/>
    <w:uiPriority w:val="99"/>
    <w:semiHidden/>
    <w:unhideWhenUsed/>
    <w:rsid w:val="00297616"/>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297616"/>
  </w:style>
  <w:style w:type="paragraph" w:styleId="BodyText">
    <w:name w:val="Body Text"/>
    <w:basedOn w:val="Normal"/>
    <w:link w:val="BodyTextChar"/>
    <w:uiPriority w:val="99"/>
    <w:unhideWhenUsed/>
    <w:rsid w:val="00297616"/>
    <w:pPr>
      <w:spacing w:after="240"/>
    </w:pPr>
  </w:style>
  <w:style w:type="character" w:customStyle="1" w:styleId="BodyTextChar">
    <w:name w:val="Body Text Char"/>
    <w:basedOn w:val="DefaultParagraphFont"/>
    <w:link w:val="BodyText"/>
    <w:uiPriority w:val="99"/>
    <w:rsid w:val="00297616"/>
    <w:rPr>
      <w:rFonts w:ascii="Georgia" w:hAnsi="Georgia"/>
      <w:sz w:val="20"/>
    </w:rPr>
  </w:style>
  <w:style w:type="paragraph" w:styleId="Title">
    <w:name w:val="Title"/>
    <w:basedOn w:val="Normal"/>
    <w:next w:val="Normal"/>
    <w:link w:val="TitleChar"/>
    <w:uiPriority w:val="10"/>
    <w:qFormat/>
    <w:rsid w:val="00297616"/>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10"/>
    <w:rsid w:val="00297616"/>
    <w:rPr>
      <w:rFonts w:ascii="Cambria" w:eastAsia="Times New Roman" w:hAnsi="Cambria" w:cs="Times New Roman"/>
      <w:b/>
      <w:i/>
      <w:color w:val="000000"/>
      <w:spacing w:val="5"/>
      <w:kern w:val="28"/>
      <w:sz w:val="24"/>
      <w:szCs w:val="52"/>
    </w:rPr>
  </w:style>
  <w:style w:type="paragraph" w:customStyle="1" w:styleId="Address">
    <w:name w:val="Address"/>
    <w:basedOn w:val="Normal"/>
    <w:link w:val="AddressChar"/>
    <w:rsid w:val="00297616"/>
    <w:pPr>
      <w:spacing w:line="200" w:lineRule="atLeast"/>
    </w:pPr>
    <w:rPr>
      <w:i/>
      <w:sz w:val="18"/>
    </w:rPr>
  </w:style>
  <w:style w:type="character" w:customStyle="1" w:styleId="AddressChar">
    <w:name w:val="Address Char"/>
    <w:basedOn w:val="DefaultParagraphFont"/>
    <w:link w:val="Address"/>
    <w:rsid w:val="00297616"/>
    <w:rPr>
      <w:rFonts w:ascii="Georgia" w:hAnsi="Georgia"/>
      <w:i/>
      <w:sz w:val="18"/>
    </w:rPr>
  </w:style>
  <w:style w:type="paragraph" w:customStyle="1" w:styleId="Disclaimer">
    <w:name w:val="Disclaimer"/>
    <w:basedOn w:val="Normal"/>
    <w:link w:val="DisclaimerChar"/>
    <w:rsid w:val="00297616"/>
    <w:pPr>
      <w:spacing w:line="140" w:lineRule="atLeast"/>
    </w:pPr>
    <w:rPr>
      <w:rFonts w:ascii="Arial" w:hAnsi="Arial" w:cs="Arial"/>
      <w:sz w:val="12"/>
    </w:rPr>
  </w:style>
  <w:style w:type="character" w:customStyle="1" w:styleId="DisclaimerChar">
    <w:name w:val="Disclaimer Char"/>
    <w:basedOn w:val="DefaultParagraphFont"/>
    <w:link w:val="Disclaimer"/>
    <w:rsid w:val="00297616"/>
    <w:rPr>
      <w:rFonts w:ascii="Arial" w:hAnsi="Arial" w:cs="Arial"/>
      <w:sz w:val="12"/>
    </w:rPr>
  </w:style>
  <w:style w:type="character" w:customStyle="1" w:styleId="Heading1Char">
    <w:name w:val="Heading 1 Char"/>
    <w:basedOn w:val="DefaultParagraphFont"/>
    <w:link w:val="Heading1"/>
    <w:rsid w:val="00297616"/>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29761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616"/>
    <w:rPr>
      <w:rFonts w:ascii="Tahoma" w:hAnsi="Tahoma" w:cs="Tahoma"/>
      <w:sz w:val="16"/>
      <w:szCs w:val="16"/>
      <w:lang w:eastAsia="en-US"/>
    </w:rPr>
  </w:style>
  <w:style w:type="paragraph" w:styleId="ListParagraph">
    <w:name w:val="List Paragraph"/>
    <w:basedOn w:val="Normal"/>
    <w:uiPriority w:val="34"/>
    <w:qFormat/>
    <w:rsid w:val="00297616"/>
    <w:pPr>
      <w:widowControl w:val="0"/>
      <w:spacing w:line="240" w:lineRule="auto"/>
      <w:ind w:left="720"/>
      <w:contextualSpacing/>
    </w:pPr>
    <w:rPr>
      <w:rFonts w:ascii="Arial" w:eastAsia="Arial" w:hAnsi="Arial" w:cs="Arial"/>
      <w:kern w:val="2"/>
      <w:sz w:val="22"/>
      <w:lang w:val="en-US" w:eastAsia="zh-CN"/>
    </w:rPr>
  </w:style>
  <w:style w:type="character" w:styleId="Hyperlink">
    <w:name w:val="Hyperlink"/>
    <w:basedOn w:val="DefaultParagraphFont"/>
    <w:uiPriority w:val="99"/>
    <w:rsid w:val="00297616"/>
    <w:rPr>
      <w:color w:val="0000FF"/>
      <w:u w:val="single"/>
    </w:rPr>
  </w:style>
  <w:style w:type="paragraph" w:customStyle="1" w:styleId="CharCharCharChar">
    <w:name w:val="Char Char Char Char"/>
    <w:basedOn w:val="Normal"/>
    <w:rsid w:val="00297616"/>
    <w:pPr>
      <w:spacing w:after="160" w:line="240" w:lineRule="exact"/>
    </w:pPr>
    <w:rPr>
      <w:rFonts w:ascii="Tahoma" w:hAnsi="Tahoma" w:cs="Angsana New"/>
      <w:szCs w:val="20"/>
      <w:lang w:val="en-US"/>
    </w:rPr>
  </w:style>
  <w:style w:type="paragraph" w:customStyle="1" w:styleId="Heading">
    <w:name w:val="Heading"/>
    <w:basedOn w:val="Normal"/>
    <w:rsid w:val="00297616"/>
    <w:pPr>
      <w:spacing w:line="240" w:lineRule="auto"/>
    </w:pPr>
    <w:rPr>
      <w:rFonts w:ascii="Arial" w:eastAsia="Times New Roman" w:hAnsi="Arial"/>
      <w:b/>
      <w:sz w:val="24"/>
      <w:szCs w:val="20"/>
    </w:rPr>
  </w:style>
  <w:style w:type="character" w:styleId="CommentReference">
    <w:name w:val="annotation reference"/>
    <w:basedOn w:val="DefaultParagraphFont"/>
    <w:uiPriority w:val="99"/>
    <w:semiHidden/>
    <w:unhideWhenUsed/>
    <w:rsid w:val="00297616"/>
    <w:rPr>
      <w:sz w:val="16"/>
      <w:szCs w:val="16"/>
    </w:rPr>
  </w:style>
  <w:style w:type="paragraph" w:styleId="CommentText">
    <w:name w:val="annotation text"/>
    <w:basedOn w:val="Normal"/>
    <w:link w:val="CommentTextChar"/>
    <w:uiPriority w:val="99"/>
    <w:semiHidden/>
    <w:unhideWhenUsed/>
    <w:rsid w:val="00297616"/>
    <w:pPr>
      <w:spacing w:line="240" w:lineRule="auto"/>
    </w:pPr>
    <w:rPr>
      <w:szCs w:val="20"/>
    </w:rPr>
  </w:style>
  <w:style w:type="character" w:customStyle="1" w:styleId="CommentTextChar">
    <w:name w:val="Comment Text Char"/>
    <w:basedOn w:val="DefaultParagraphFont"/>
    <w:link w:val="CommentText"/>
    <w:uiPriority w:val="99"/>
    <w:semiHidden/>
    <w:rsid w:val="00297616"/>
    <w:rPr>
      <w:rFonts w:ascii="Georgia" w:hAnsi="Georgia"/>
      <w:lang w:val="en-GB" w:eastAsia="en-US"/>
    </w:rPr>
  </w:style>
  <w:style w:type="paragraph" w:styleId="CommentSubject">
    <w:name w:val="annotation subject"/>
    <w:basedOn w:val="CommentText"/>
    <w:next w:val="CommentText"/>
    <w:link w:val="CommentSubjectChar"/>
    <w:uiPriority w:val="99"/>
    <w:semiHidden/>
    <w:unhideWhenUsed/>
    <w:rsid w:val="00297616"/>
    <w:rPr>
      <w:b/>
      <w:bCs/>
    </w:rPr>
  </w:style>
  <w:style w:type="character" w:customStyle="1" w:styleId="CommentSubjectChar">
    <w:name w:val="Comment Subject Char"/>
    <w:basedOn w:val="CommentTextChar"/>
    <w:link w:val="CommentSubject"/>
    <w:uiPriority w:val="99"/>
    <w:semiHidden/>
    <w:rsid w:val="00297616"/>
    <w:rPr>
      <w:rFonts w:ascii="Georgia" w:hAnsi="Georgia"/>
      <w:b/>
      <w:bCs/>
      <w:lang w:val="en-GB" w:eastAsia="en-US"/>
    </w:rPr>
  </w:style>
  <w:style w:type="paragraph" w:styleId="ListBullet4">
    <w:name w:val="List Bullet 4"/>
    <w:basedOn w:val="BodyText"/>
    <w:uiPriority w:val="13"/>
    <w:unhideWhenUsed/>
    <w:rsid w:val="00374466"/>
    <w:pPr>
      <w:numPr>
        <w:ilvl w:val="3"/>
        <w:numId w:val="11"/>
      </w:numPr>
      <w:tabs>
        <w:tab w:val="clear" w:pos="1191"/>
        <w:tab w:val="num" w:pos="360"/>
      </w:tabs>
      <w:spacing w:after="180" w:line="264" w:lineRule="auto"/>
      <w:ind w:left="0" w:firstLine="0"/>
      <w:contextualSpacing/>
    </w:pPr>
    <w:rPr>
      <w:rFonts w:eastAsiaTheme="minorHAnsi" w:cs="Arial"/>
      <w:color w:val="000000" w:themeColor="text1"/>
      <w:szCs w:val="21"/>
    </w:rPr>
  </w:style>
  <w:style w:type="paragraph" w:customStyle="1" w:styleId="TableBody">
    <w:name w:val="TableBody"/>
    <w:basedOn w:val="BodyText"/>
    <w:rsid w:val="00374466"/>
    <w:pPr>
      <w:numPr>
        <w:numId w:val="11"/>
      </w:numPr>
      <w:tabs>
        <w:tab w:val="num" w:pos="360"/>
      </w:tabs>
      <w:spacing w:after="120" w:line="240" w:lineRule="auto"/>
    </w:pPr>
    <w:rPr>
      <w:rFonts w:eastAsiaTheme="minorHAnsi" w:cstheme="minorBidi"/>
      <w:szCs w:val="20"/>
    </w:rPr>
  </w:style>
  <w:style w:type="paragraph" w:customStyle="1" w:styleId="TableBodyListNumber">
    <w:name w:val="TableBodyListNumber"/>
    <w:basedOn w:val="TableBody"/>
    <w:rsid w:val="00374466"/>
    <w:pPr>
      <w:numPr>
        <w:ilvl w:val="1"/>
      </w:numPr>
      <w:tabs>
        <w:tab w:val="clear" w:pos="397"/>
        <w:tab w:val="num" w:pos="360"/>
        <w:tab w:val="left" w:pos="426"/>
      </w:tabs>
      <w:spacing w:after="60"/>
    </w:pPr>
  </w:style>
  <w:style w:type="paragraph" w:customStyle="1" w:styleId="TableBodyListNumber2">
    <w:name w:val="TableBodyListNumber2"/>
    <w:basedOn w:val="TableBodyListNumber"/>
    <w:rsid w:val="00374466"/>
    <w:pPr>
      <w:numPr>
        <w:ilvl w:val="2"/>
      </w:numPr>
      <w:tabs>
        <w:tab w:val="clear" w:pos="794"/>
        <w:tab w:val="num" w:pos="360"/>
      </w:tabs>
      <w:spacing w:after="120"/>
    </w:pPr>
  </w:style>
  <w:style w:type="numbering" w:customStyle="1" w:styleId="TableListNumber">
    <w:name w:val="TableListNumber"/>
    <w:uiPriority w:val="99"/>
    <w:rsid w:val="00374466"/>
    <w:pPr>
      <w:numPr>
        <w:numId w:val="10"/>
      </w:numPr>
    </w:pPr>
  </w:style>
  <w:style w:type="paragraph" w:customStyle="1" w:styleId="Default">
    <w:name w:val="Default"/>
    <w:rsid w:val="005A7036"/>
    <w:pPr>
      <w:autoSpaceDE w:val="0"/>
      <w:autoSpaceDN w:val="0"/>
      <w:adjustRightInd w:val="0"/>
    </w:pPr>
    <w:rPr>
      <w:rFonts w:ascii="Georgia" w:hAnsi="Georgia" w:cs="Georgia"/>
      <w:color w:val="000000"/>
      <w:sz w:val="24"/>
      <w:szCs w:val="24"/>
      <w:lang w:val="en-GB"/>
    </w:rPr>
  </w:style>
  <w:style w:type="paragraph" w:styleId="FootnoteText">
    <w:name w:val="footnote text"/>
    <w:basedOn w:val="Normal"/>
    <w:link w:val="FootnoteTextChar"/>
    <w:uiPriority w:val="99"/>
    <w:semiHidden/>
    <w:unhideWhenUsed/>
    <w:rsid w:val="00415A45"/>
    <w:pPr>
      <w:spacing w:line="240" w:lineRule="auto"/>
    </w:pPr>
    <w:rPr>
      <w:szCs w:val="20"/>
    </w:rPr>
  </w:style>
  <w:style w:type="character" w:customStyle="1" w:styleId="FootnoteTextChar">
    <w:name w:val="Footnote Text Char"/>
    <w:basedOn w:val="DefaultParagraphFont"/>
    <w:link w:val="FootnoteText"/>
    <w:uiPriority w:val="99"/>
    <w:semiHidden/>
    <w:rsid w:val="00415A45"/>
    <w:rPr>
      <w:rFonts w:ascii="Georgia" w:hAnsi="Georgia"/>
      <w:lang w:val="en-GB" w:eastAsia="en-US"/>
    </w:rPr>
  </w:style>
  <w:style w:type="character" w:styleId="FootnoteReference">
    <w:name w:val="footnote reference"/>
    <w:basedOn w:val="DefaultParagraphFont"/>
    <w:uiPriority w:val="99"/>
    <w:semiHidden/>
    <w:unhideWhenUsed/>
    <w:rsid w:val="00415A45"/>
    <w:rPr>
      <w:vertAlign w:val="superscript"/>
    </w:rPr>
  </w:style>
  <w:style w:type="paragraph" w:styleId="Revision">
    <w:name w:val="Revision"/>
    <w:hidden/>
    <w:uiPriority w:val="99"/>
    <w:semiHidden/>
    <w:rsid w:val="00232DA2"/>
    <w:rPr>
      <w:rFonts w:ascii="Georgia" w:hAnsi="Georgia"/>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854681">
      <w:bodyDiv w:val="1"/>
      <w:marLeft w:val="0"/>
      <w:marRight w:val="0"/>
      <w:marTop w:val="0"/>
      <w:marBottom w:val="0"/>
      <w:divBdr>
        <w:top w:val="none" w:sz="0" w:space="0" w:color="auto"/>
        <w:left w:val="none" w:sz="0" w:space="0" w:color="auto"/>
        <w:bottom w:val="none" w:sz="0" w:space="0" w:color="auto"/>
        <w:right w:val="none" w:sz="0" w:space="0" w:color="auto"/>
      </w:divBdr>
      <w:divsChild>
        <w:div w:id="1529903220">
          <w:marLeft w:val="432"/>
          <w:marRight w:val="0"/>
          <w:marTop w:val="0"/>
          <w:marBottom w:val="180"/>
          <w:divBdr>
            <w:top w:val="none" w:sz="0" w:space="0" w:color="auto"/>
            <w:left w:val="none" w:sz="0" w:space="0" w:color="auto"/>
            <w:bottom w:val="none" w:sz="0" w:space="0" w:color="auto"/>
            <w:right w:val="none" w:sz="0" w:space="0" w:color="auto"/>
          </w:divBdr>
        </w:div>
      </w:divsChild>
    </w:div>
    <w:div w:id="1110050794">
      <w:bodyDiv w:val="1"/>
      <w:marLeft w:val="0"/>
      <w:marRight w:val="0"/>
      <w:marTop w:val="0"/>
      <w:marBottom w:val="0"/>
      <w:divBdr>
        <w:top w:val="none" w:sz="0" w:space="0" w:color="auto"/>
        <w:left w:val="none" w:sz="0" w:space="0" w:color="auto"/>
        <w:bottom w:val="none" w:sz="0" w:space="0" w:color="auto"/>
        <w:right w:val="none" w:sz="0" w:space="0" w:color="auto"/>
      </w:divBdr>
    </w:div>
    <w:div w:id="156278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ilary.n.downes@uk.pwc.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ngdale\AppData\Local\Microsoft\Windows\Temporary%20Internet%20Files\Content.Outlook\QVFKR2U3\News%20release%20a4%20no%20disclaimer%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71F54-A555-4EC3-8793-7341195FB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release a4 no disclaimer colour.dotx</Template>
  <TotalTime>0</TotalTime>
  <Pages>3</Pages>
  <Words>1352</Words>
  <Characters>7708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9042</CharactersWithSpaces>
  <SharedDoc>false</SharedDoc>
  <HLinks>
    <vt:vector size="48" baseType="variant">
      <vt:variant>
        <vt:i4>7536685</vt:i4>
      </vt:variant>
      <vt:variant>
        <vt:i4>21</vt:i4>
      </vt:variant>
      <vt:variant>
        <vt:i4>0</vt:i4>
      </vt:variant>
      <vt:variant>
        <vt:i4>5</vt:i4>
      </vt:variant>
      <vt:variant>
        <vt:lpwstr>http://www.pwchk.com/home/eng/rss.html</vt:lpwstr>
      </vt:variant>
      <vt:variant>
        <vt:lpwstr/>
      </vt:variant>
      <vt:variant>
        <vt:i4>262228</vt:i4>
      </vt:variant>
      <vt:variant>
        <vt:i4>18</vt:i4>
      </vt:variant>
      <vt:variant>
        <vt:i4>0</vt:i4>
      </vt:variant>
      <vt:variant>
        <vt:i4>5</vt:i4>
      </vt:variant>
      <vt:variant>
        <vt:lpwstr>http://www.pwc.com/tw/en/index.jhtml</vt:lpwstr>
      </vt:variant>
      <vt:variant>
        <vt:lpwstr/>
      </vt:variant>
      <vt:variant>
        <vt:i4>4522057</vt:i4>
      </vt:variant>
      <vt:variant>
        <vt:i4>15</vt:i4>
      </vt:variant>
      <vt:variant>
        <vt:i4>0</vt:i4>
      </vt:variant>
      <vt:variant>
        <vt:i4>5</vt:i4>
      </vt:variant>
      <vt:variant>
        <vt:lpwstr>http://www.pwc.com/sg</vt:lpwstr>
      </vt:variant>
      <vt:variant>
        <vt:lpwstr/>
      </vt:variant>
      <vt:variant>
        <vt:i4>6094862</vt:i4>
      </vt:variant>
      <vt:variant>
        <vt:i4>12</vt:i4>
      </vt:variant>
      <vt:variant>
        <vt:i4>0</vt:i4>
      </vt:variant>
      <vt:variant>
        <vt:i4>5</vt:i4>
      </vt:variant>
      <vt:variant>
        <vt:lpwstr>http://www.pwchk.com/</vt:lpwstr>
      </vt:variant>
      <vt:variant>
        <vt:lpwstr/>
      </vt:variant>
      <vt:variant>
        <vt:i4>5767173</vt:i4>
      </vt:variant>
      <vt:variant>
        <vt:i4>9</vt:i4>
      </vt:variant>
      <vt:variant>
        <vt:i4>0</vt:i4>
      </vt:variant>
      <vt:variant>
        <vt:i4>5</vt:i4>
      </vt:variant>
      <vt:variant>
        <vt:lpwstr>http://www.pwccn.com/</vt:lpwstr>
      </vt:variant>
      <vt:variant>
        <vt:lpwstr/>
      </vt:variant>
      <vt:variant>
        <vt:i4>3735621</vt:i4>
      </vt:variant>
      <vt:variant>
        <vt:i4>6</vt:i4>
      </vt:variant>
      <vt:variant>
        <vt:i4>0</vt:i4>
      </vt:variant>
      <vt:variant>
        <vt:i4>5</vt:i4>
      </vt:variant>
      <vt:variant>
        <vt:lpwstr>\\HK-FILWN015\MC\MC\Press Briefings--2010\Mining Industry Press Briefing (26 Oct)\Press release\final\www.pwc.com</vt:lpwstr>
      </vt:variant>
      <vt:variant>
        <vt:lpwstr/>
      </vt:variant>
      <vt:variant>
        <vt:i4>2097245</vt:i4>
      </vt:variant>
      <vt:variant>
        <vt:i4>3</vt:i4>
      </vt:variant>
      <vt:variant>
        <vt:i4>0</vt:i4>
      </vt:variant>
      <vt:variant>
        <vt:i4>5</vt:i4>
      </vt:variant>
      <vt:variant>
        <vt:lpwstr>mailto:wesley@chinaventure.com.cn</vt:lpwstr>
      </vt:variant>
      <vt:variant>
        <vt:lpwstr/>
      </vt:variant>
      <vt:variant>
        <vt:i4>2490379</vt:i4>
      </vt:variant>
      <vt:variant>
        <vt:i4>0</vt:i4>
      </vt:variant>
      <vt:variant>
        <vt:i4>0</vt:i4>
      </vt:variant>
      <vt:variant>
        <vt:i4>5</vt:i4>
      </vt:variant>
      <vt:variant>
        <vt:lpwstr>mailto:christopher.french@cn.pwc.com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 Hollingdale</dc:creator>
  <cp:lastModifiedBy>Shelly Ko Van Pelt</cp:lastModifiedBy>
  <cp:revision>2</cp:revision>
  <cp:lastPrinted>2014-02-21T17:33:00Z</cp:lastPrinted>
  <dcterms:created xsi:type="dcterms:W3CDTF">2014-02-25T20:17:00Z</dcterms:created>
  <dcterms:modified xsi:type="dcterms:W3CDTF">2014-02-25T20:17:00Z</dcterms:modified>
</cp:coreProperties>
</file>