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37" w:rsidRPr="008050B0" w:rsidRDefault="00E54E37" w:rsidP="00E54E37">
      <w:pPr>
        <w:tabs>
          <w:tab w:val="center" w:pos="4536"/>
        </w:tabs>
        <w:rPr>
          <w:i/>
        </w:rPr>
      </w:pPr>
      <w:r>
        <w:rPr>
          <w:i/>
          <w:noProof/>
          <w:lang w:val="en-US"/>
        </w:rPr>
        <mc:AlternateContent>
          <mc:Choice Requires="wps">
            <w:drawing>
              <wp:anchor distT="0" distB="0" distL="114300" distR="114300" simplePos="0" relativeHeight="251659264"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Pr="008050B0">
        <w:rPr>
          <w:i/>
        </w:rPr>
        <w:tab/>
      </w:r>
    </w:p>
    <w:p w:rsidR="00E54E37" w:rsidRPr="008529A9" w:rsidRDefault="00E54E37" w:rsidP="00E54E37">
      <w:pPr>
        <w:pStyle w:val="Title"/>
        <w:rPr>
          <w:rFonts w:ascii="Georgia" w:hAnsi="Georgia"/>
          <w:sz w:val="22"/>
          <w:szCs w:val="22"/>
        </w:rPr>
      </w:pPr>
      <w:r w:rsidRPr="008529A9">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E54E37" w:rsidRPr="008529A9" w:rsidTr="003603B2">
        <w:tc>
          <w:tcPr>
            <w:tcW w:w="2268" w:type="dxa"/>
            <w:shd w:val="clear" w:color="auto" w:fill="auto"/>
          </w:tcPr>
          <w:p w:rsidR="00E54E37" w:rsidRPr="008529A9" w:rsidRDefault="00E54E37" w:rsidP="003603B2">
            <w:pPr>
              <w:rPr>
                <w:i/>
                <w:sz w:val="22"/>
              </w:rPr>
            </w:pPr>
            <w:r w:rsidRPr="008529A9">
              <w:rPr>
                <w:i/>
                <w:sz w:val="22"/>
              </w:rPr>
              <w:t>Date</w:t>
            </w:r>
          </w:p>
        </w:tc>
        <w:tc>
          <w:tcPr>
            <w:tcW w:w="5211" w:type="dxa"/>
            <w:shd w:val="clear" w:color="auto" w:fill="auto"/>
          </w:tcPr>
          <w:p w:rsidR="00E54E37" w:rsidRPr="008529A9" w:rsidRDefault="008529A9" w:rsidP="003603B2">
            <w:pPr>
              <w:rPr>
                <w:b/>
                <w:color w:val="000000" w:themeColor="text1"/>
                <w:sz w:val="22"/>
              </w:rPr>
            </w:pPr>
            <w:r w:rsidRPr="008529A9">
              <w:rPr>
                <w:b/>
                <w:color w:val="000000" w:themeColor="text1"/>
                <w:sz w:val="22"/>
              </w:rPr>
              <w:t>E</w:t>
            </w:r>
            <w:r w:rsidR="00E54E37" w:rsidRPr="008529A9">
              <w:rPr>
                <w:b/>
                <w:color w:val="000000" w:themeColor="text1"/>
                <w:sz w:val="22"/>
              </w:rPr>
              <w:t>mbargo</w:t>
            </w:r>
            <w:r w:rsidRPr="008529A9">
              <w:rPr>
                <w:b/>
                <w:color w:val="000000" w:themeColor="text1"/>
                <w:sz w:val="22"/>
              </w:rPr>
              <w:t>ed</w:t>
            </w:r>
            <w:r w:rsidR="00E54E37" w:rsidRPr="008529A9">
              <w:rPr>
                <w:b/>
                <w:color w:val="000000" w:themeColor="text1"/>
                <w:sz w:val="22"/>
              </w:rPr>
              <w:t xml:space="preserve"> until Friday 21 January</w:t>
            </w:r>
            <w:r w:rsidR="008561F0">
              <w:rPr>
                <w:b/>
                <w:color w:val="000000" w:themeColor="text1"/>
                <w:sz w:val="22"/>
              </w:rPr>
              <w:t xml:space="preserve"> 2014</w:t>
            </w:r>
          </w:p>
          <w:p w:rsidR="00E54E37" w:rsidRPr="008529A9" w:rsidRDefault="00E54E37" w:rsidP="003603B2">
            <w:pPr>
              <w:rPr>
                <w:b/>
                <w:sz w:val="22"/>
              </w:rPr>
            </w:pPr>
          </w:p>
        </w:tc>
      </w:tr>
      <w:tr w:rsidR="00E54E37" w:rsidRPr="008529A9" w:rsidTr="003603B2">
        <w:tc>
          <w:tcPr>
            <w:tcW w:w="2268" w:type="dxa"/>
            <w:shd w:val="clear" w:color="auto" w:fill="auto"/>
          </w:tcPr>
          <w:p w:rsidR="00E54E37" w:rsidRPr="008529A9" w:rsidRDefault="00E54E37" w:rsidP="003603B2">
            <w:pPr>
              <w:rPr>
                <w:i/>
                <w:sz w:val="22"/>
              </w:rPr>
            </w:pPr>
            <w:r w:rsidRPr="008529A9">
              <w:rPr>
                <w:i/>
                <w:sz w:val="22"/>
              </w:rPr>
              <w:t>Contact</w:t>
            </w:r>
          </w:p>
        </w:tc>
        <w:tc>
          <w:tcPr>
            <w:tcW w:w="5211" w:type="dxa"/>
            <w:shd w:val="clear" w:color="auto" w:fill="auto"/>
          </w:tcPr>
          <w:p w:rsidR="00E54E37" w:rsidRPr="008529A9" w:rsidRDefault="00E54E37" w:rsidP="003603B2">
            <w:pPr>
              <w:tabs>
                <w:tab w:val="left" w:pos="1440"/>
              </w:tabs>
              <w:ind w:left="1440" w:hanging="1440"/>
              <w:rPr>
                <w:rFonts w:cs="Arial"/>
                <w:sz w:val="22"/>
                <w:lang w:val="it-IT"/>
              </w:rPr>
            </w:pPr>
            <w:r w:rsidRPr="008529A9">
              <w:rPr>
                <w:rFonts w:cs="Arial"/>
                <w:bCs/>
                <w:sz w:val="22"/>
                <w:lang w:val="it-IT"/>
              </w:rPr>
              <w:t>Lucy Bishop, Media Relations Executive, PwC</w:t>
            </w:r>
          </w:p>
          <w:p w:rsidR="00E54E37" w:rsidRPr="008529A9" w:rsidRDefault="00E54E37" w:rsidP="003603B2">
            <w:pPr>
              <w:pStyle w:val="BodyText"/>
              <w:spacing w:after="0" w:line="240" w:lineRule="auto"/>
              <w:rPr>
                <w:rFonts w:cs="Arial"/>
                <w:sz w:val="22"/>
                <w:lang w:val="it-IT"/>
              </w:rPr>
            </w:pPr>
            <w:r w:rsidRPr="008529A9">
              <w:rPr>
                <w:rFonts w:cs="Arial"/>
                <w:sz w:val="22"/>
                <w:lang w:val="it-IT"/>
              </w:rPr>
              <w:t xml:space="preserve">Tel: </w:t>
            </w:r>
            <w:r w:rsidRPr="008529A9">
              <w:rPr>
                <w:rFonts w:cs="Georgia"/>
                <w:color w:val="000000"/>
                <w:sz w:val="22"/>
                <w:lang w:eastAsia="en-GB"/>
              </w:rPr>
              <w:t xml:space="preserve"> +44 (0) 20 7212 3205</w:t>
            </w:r>
          </w:p>
          <w:p w:rsidR="00E54E37" w:rsidRPr="008529A9" w:rsidRDefault="00E54E37" w:rsidP="003603B2">
            <w:pPr>
              <w:pStyle w:val="BodyText"/>
              <w:spacing w:after="0" w:line="240" w:lineRule="auto"/>
              <w:rPr>
                <w:b/>
                <w:sz w:val="22"/>
                <w:lang w:eastAsia="en-GB"/>
              </w:rPr>
            </w:pPr>
            <w:r w:rsidRPr="008529A9">
              <w:rPr>
                <w:sz w:val="22"/>
                <w:lang w:eastAsia="en-GB"/>
              </w:rPr>
              <w:t xml:space="preserve">Mobile: </w:t>
            </w:r>
            <w:r w:rsidRPr="008529A9">
              <w:rPr>
                <w:rFonts w:cs="Georgia"/>
                <w:color w:val="000000"/>
                <w:sz w:val="22"/>
                <w:lang w:eastAsia="en-GB"/>
              </w:rPr>
              <w:t xml:space="preserve"> +44 (0) 780 803 5503</w:t>
            </w:r>
          </w:p>
          <w:p w:rsidR="00E54E37" w:rsidRPr="008529A9" w:rsidRDefault="00E54E37" w:rsidP="003603B2">
            <w:pPr>
              <w:tabs>
                <w:tab w:val="left" w:pos="1440"/>
              </w:tabs>
              <w:ind w:left="1440" w:hanging="1440"/>
              <w:rPr>
                <w:sz w:val="22"/>
                <w:lang w:val="it-IT"/>
              </w:rPr>
            </w:pPr>
            <w:r w:rsidRPr="008529A9">
              <w:rPr>
                <w:rFonts w:cs="Arial"/>
                <w:sz w:val="22"/>
                <w:lang w:val="it-IT"/>
              </w:rPr>
              <w:t xml:space="preserve">Email:  lucy.bishop@uk.pwc.com </w:t>
            </w:r>
          </w:p>
        </w:tc>
      </w:tr>
      <w:tr w:rsidR="00E54E37" w:rsidRPr="008529A9" w:rsidTr="003603B2">
        <w:tc>
          <w:tcPr>
            <w:tcW w:w="2268" w:type="dxa"/>
            <w:shd w:val="clear" w:color="auto" w:fill="auto"/>
          </w:tcPr>
          <w:p w:rsidR="00E54E37" w:rsidRPr="008529A9" w:rsidRDefault="00E54E37" w:rsidP="003603B2">
            <w:pPr>
              <w:rPr>
                <w:i/>
                <w:sz w:val="22"/>
              </w:rPr>
            </w:pPr>
            <w:r w:rsidRPr="008529A9">
              <w:rPr>
                <w:i/>
                <w:sz w:val="22"/>
              </w:rPr>
              <w:t xml:space="preserve">Pages </w:t>
            </w:r>
          </w:p>
        </w:tc>
        <w:tc>
          <w:tcPr>
            <w:tcW w:w="5211" w:type="dxa"/>
            <w:shd w:val="clear" w:color="auto" w:fill="auto"/>
          </w:tcPr>
          <w:p w:rsidR="00E54E37" w:rsidRDefault="00E54E37" w:rsidP="003603B2">
            <w:pPr>
              <w:rPr>
                <w:sz w:val="22"/>
              </w:rPr>
            </w:pPr>
            <w:r w:rsidRPr="008529A9">
              <w:rPr>
                <w:sz w:val="22"/>
              </w:rPr>
              <w:t>2</w:t>
            </w:r>
          </w:p>
          <w:p w:rsidR="00901042" w:rsidRPr="008529A9" w:rsidRDefault="00901042" w:rsidP="003603B2">
            <w:pPr>
              <w:rPr>
                <w:sz w:val="22"/>
              </w:rPr>
            </w:pPr>
          </w:p>
        </w:tc>
      </w:tr>
    </w:tbl>
    <w:p w:rsidR="00E54E37" w:rsidRPr="008050B0" w:rsidRDefault="00E54E37" w:rsidP="00E54E37">
      <w:pPr>
        <w:rPr>
          <w:sz w:val="18"/>
          <w:szCs w:val="18"/>
        </w:rPr>
      </w:pPr>
      <w:r>
        <w:rPr>
          <w:noProof/>
          <w:sz w:val="22"/>
          <w:lang w:val="en-US"/>
        </w:rPr>
        <mc:AlternateContent>
          <mc:Choice Requires="wps">
            <w:drawing>
              <wp:anchor distT="0" distB="0" distL="114300" distR="114300" simplePos="0" relativeHeight="251660288" behindDoc="0" locked="0" layoutInCell="1" allowOverlap="1">
                <wp:simplePos x="0" y="0"/>
                <wp:positionH relativeFrom="page">
                  <wp:posOffset>1292860</wp:posOffset>
                </wp:positionH>
                <wp:positionV relativeFrom="page">
                  <wp:posOffset>3621405</wp:posOffset>
                </wp:positionV>
                <wp:extent cx="5779135" cy="0"/>
                <wp:effectExtent l="6985" t="11430" r="508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" strokecolor="#e36c0a">
                <w10:wrap anchorx="page" anchory="page"/>
              </v:line>
            </w:pict>
          </mc:Fallback>
        </mc:AlternateContent>
      </w:r>
      <w:r w:rsidRPr="008050B0">
        <w:rPr>
          <w:rFonts w:cs="Arial"/>
          <w:b/>
          <w:i/>
          <w:iCs/>
          <w:sz w:val="22"/>
        </w:rPr>
        <w:br w:type="textWrapping" w:clear="all"/>
      </w:r>
    </w:p>
    <w:p w:rsidR="00E54E37" w:rsidRPr="008529A9" w:rsidRDefault="00E54E37" w:rsidP="00D43F59">
      <w:pPr>
        <w:jc w:val="center"/>
        <w:rPr>
          <w:b/>
          <w:sz w:val="24"/>
          <w:szCs w:val="24"/>
        </w:rPr>
      </w:pPr>
      <w:r w:rsidRPr="008529A9">
        <w:rPr>
          <w:b/>
          <w:sz w:val="24"/>
          <w:szCs w:val="24"/>
        </w:rPr>
        <w:t>Eastern light co</w:t>
      </w:r>
      <w:bookmarkStart w:id="0" w:name="_GoBack"/>
      <w:bookmarkEnd w:id="0"/>
      <w:r w:rsidRPr="008529A9">
        <w:rPr>
          <w:b/>
          <w:sz w:val="24"/>
          <w:szCs w:val="24"/>
        </w:rPr>
        <w:t>ntinues to shine on metals deals, amidst falling international deals activity</w:t>
      </w:r>
    </w:p>
    <w:p w:rsidR="00E54E37" w:rsidRDefault="00E54E37" w:rsidP="00E54E37">
      <w:pPr>
        <w:rPr>
          <w:sz w:val="28"/>
          <w:szCs w:val="28"/>
        </w:rPr>
      </w:pPr>
    </w:p>
    <w:p w:rsidR="00E54E37" w:rsidRPr="003638DD" w:rsidRDefault="00E54E37" w:rsidP="00E54E37">
      <w:pPr>
        <w:pStyle w:val="ListParagraph"/>
        <w:numPr>
          <w:ilvl w:val="0"/>
          <w:numId w:val="1"/>
        </w:numPr>
        <w:rPr>
          <w:rFonts w:eastAsia="Arial" w:cs="Courier"/>
          <w:color w:val="000000"/>
          <w:sz w:val="22"/>
        </w:rPr>
      </w:pPr>
      <w:r w:rsidRPr="003638DD">
        <w:rPr>
          <w:rFonts w:eastAsia="Arial" w:cs="Courier"/>
          <w:color w:val="000000"/>
          <w:sz w:val="22"/>
        </w:rPr>
        <w:t>Value of M&amp;A deals in Asia Pacifi</w:t>
      </w:r>
      <w:r w:rsidR="003638DD">
        <w:rPr>
          <w:rFonts w:eastAsia="Arial" w:cs="Courier"/>
          <w:color w:val="000000"/>
          <w:sz w:val="22"/>
        </w:rPr>
        <w:t>c has almost trebled in 2 years</w:t>
      </w:r>
      <w:r w:rsidRPr="003638DD">
        <w:rPr>
          <w:rFonts w:eastAsia="Arial" w:cs="Courier"/>
          <w:color w:val="000000"/>
          <w:sz w:val="22"/>
        </w:rPr>
        <w:t xml:space="preserve"> </w:t>
      </w:r>
    </w:p>
    <w:p w:rsidR="00E54E37" w:rsidRPr="003638DD" w:rsidRDefault="00E54E37" w:rsidP="00E54E37">
      <w:pPr>
        <w:pStyle w:val="ListParagraph"/>
        <w:numPr>
          <w:ilvl w:val="0"/>
          <w:numId w:val="1"/>
        </w:numPr>
        <w:rPr>
          <w:rFonts w:eastAsia="Arial" w:cs="Courier"/>
          <w:color w:val="000000"/>
          <w:sz w:val="22"/>
        </w:rPr>
      </w:pPr>
      <w:r w:rsidRPr="003638DD">
        <w:rPr>
          <w:rFonts w:eastAsia="Arial" w:cs="Courier"/>
          <w:color w:val="000000"/>
          <w:sz w:val="22"/>
        </w:rPr>
        <w:t>But, competitive energy prices will p</w:t>
      </w:r>
      <w:r w:rsidR="003638DD">
        <w:rPr>
          <w:rFonts w:eastAsia="Arial" w:cs="Courier"/>
          <w:color w:val="000000"/>
          <w:sz w:val="22"/>
        </w:rPr>
        <w:t>rompt geographical re-balancing</w:t>
      </w:r>
    </w:p>
    <w:p w:rsidR="00E54E37" w:rsidRPr="003638DD" w:rsidRDefault="00E54E37" w:rsidP="00E54E37">
      <w:pPr>
        <w:pStyle w:val="ListParagraph"/>
        <w:numPr>
          <w:ilvl w:val="0"/>
          <w:numId w:val="1"/>
        </w:numPr>
        <w:rPr>
          <w:rFonts w:eastAsia="Arial" w:cs="Courier"/>
          <w:color w:val="000000"/>
          <w:sz w:val="22"/>
        </w:rPr>
      </w:pPr>
      <w:r w:rsidRPr="003638DD">
        <w:rPr>
          <w:sz w:val="22"/>
        </w:rPr>
        <w:t>Slow growth and continued worldwide production overcapacity</w:t>
      </w:r>
      <w:r w:rsidR="003638DD">
        <w:rPr>
          <w:sz w:val="22"/>
        </w:rPr>
        <w:t xml:space="preserve"> sets the tone for 2014</w:t>
      </w:r>
      <w:r w:rsidRPr="003638DD">
        <w:rPr>
          <w:sz w:val="22"/>
        </w:rPr>
        <w:t xml:space="preserve">  </w:t>
      </w:r>
    </w:p>
    <w:p w:rsidR="00E54E37" w:rsidRDefault="00E54E37" w:rsidP="00E54E37">
      <w:pPr>
        <w:rPr>
          <w:rFonts w:eastAsia="Arial" w:cs="Courier"/>
          <w:color w:val="000000"/>
          <w:sz w:val="24"/>
        </w:rPr>
      </w:pPr>
    </w:p>
    <w:p w:rsidR="00E54E37" w:rsidRPr="008529A9" w:rsidRDefault="00F84654" w:rsidP="00E54E37">
      <w:pPr>
        <w:rPr>
          <w:rFonts w:eastAsiaTheme="minorHAnsi" w:cs="Georgia"/>
          <w:color w:val="000000"/>
          <w:sz w:val="22"/>
        </w:rPr>
      </w:pPr>
      <w:r w:rsidRPr="00F84654">
        <w:rPr>
          <w:rFonts w:eastAsia="Arial" w:cs="Courier"/>
          <w:b/>
          <w:color w:val="000000"/>
          <w:sz w:val="22"/>
        </w:rPr>
        <w:t>London</w:t>
      </w:r>
      <w:r w:rsidR="00901042" w:rsidRPr="00F84654">
        <w:rPr>
          <w:rFonts w:eastAsia="Arial" w:cs="Courier"/>
          <w:b/>
          <w:color w:val="000000"/>
          <w:sz w:val="22"/>
        </w:rPr>
        <w:t>, 21 Feb 2014</w:t>
      </w:r>
      <w:r w:rsidR="00901042">
        <w:rPr>
          <w:rFonts w:eastAsia="Arial" w:cs="Courier"/>
          <w:color w:val="000000"/>
          <w:sz w:val="22"/>
        </w:rPr>
        <w:noBreakHyphen/>
      </w:r>
      <w:r w:rsidR="00901042">
        <w:rPr>
          <w:rFonts w:eastAsia="Arial" w:cs="Courier"/>
          <w:color w:val="000000"/>
          <w:sz w:val="22"/>
        </w:rPr>
        <w:noBreakHyphen/>
      </w:r>
      <w:r w:rsidR="00E54E37" w:rsidRPr="008529A9">
        <w:rPr>
          <w:rFonts w:eastAsia="Arial" w:cs="Courier"/>
          <w:color w:val="000000"/>
          <w:sz w:val="22"/>
        </w:rPr>
        <w:t xml:space="preserve">According to PwC’s new report </w:t>
      </w:r>
      <w:r w:rsidR="00E54E37" w:rsidRPr="008529A9">
        <w:rPr>
          <w:rFonts w:eastAsia="Arial" w:cs="Courier"/>
          <w:i/>
          <w:color w:val="000000"/>
          <w:sz w:val="22"/>
        </w:rPr>
        <w:t xml:space="preserve">Metals Deals: Forging Ahead, </w:t>
      </w:r>
      <w:r w:rsidR="00E54E37" w:rsidRPr="008529A9">
        <w:rPr>
          <w:rFonts w:eastAsia="Arial" w:cs="Courier"/>
          <w:color w:val="000000"/>
          <w:sz w:val="22"/>
        </w:rPr>
        <w:t>d</w:t>
      </w:r>
      <w:r w:rsidR="00E54E37" w:rsidRPr="008529A9">
        <w:rPr>
          <w:rFonts w:eastAsiaTheme="minorHAnsi" w:cs="Georgia"/>
          <w:color w:val="000000"/>
          <w:sz w:val="22"/>
        </w:rPr>
        <w:t xml:space="preserve">eal numbers fell 30% year on year in a deep double-dip to below the volume recorded in the post-credit crunch year of 2009. </w:t>
      </w:r>
    </w:p>
    <w:p w:rsidR="00E54E37" w:rsidRPr="008529A9" w:rsidRDefault="00E54E37" w:rsidP="00E54E37">
      <w:pPr>
        <w:rPr>
          <w:rFonts w:eastAsiaTheme="minorHAnsi" w:cs="Georgia"/>
          <w:color w:val="000000"/>
          <w:sz w:val="22"/>
        </w:rPr>
      </w:pPr>
    </w:p>
    <w:p w:rsidR="00E54E37" w:rsidRPr="008529A9" w:rsidRDefault="00E54E37" w:rsidP="00E54E37">
      <w:pPr>
        <w:rPr>
          <w:rFonts w:eastAsiaTheme="minorHAnsi" w:cs="Georgia"/>
          <w:color w:val="000000"/>
          <w:sz w:val="22"/>
        </w:rPr>
      </w:pPr>
      <w:r w:rsidRPr="008529A9">
        <w:rPr>
          <w:rFonts w:eastAsiaTheme="minorHAnsi" w:cs="Georgia"/>
          <w:color w:val="000000"/>
          <w:sz w:val="22"/>
        </w:rPr>
        <w:t>Total deal value fell 24% year on year but the value double-dip was not as pronounced as the volume double-dip. The total 2013 metals deal value of US$34.8bn was much higher than the US$15.1bn low in 2009.</w:t>
      </w:r>
    </w:p>
    <w:p w:rsidR="00E54E37" w:rsidRPr="008529A9" w:rsidRDefault="00E54E37" w:rsidP="00E54E37">
      <w:pPr>
        <w:rPr>
          <w:rFonts w:eastAsia="Arial" w:cs="Courier"/>
          <w:color w:val="000000"/>
          <w:sz w:val="22"/>
        </w:rPr>
      </w:pPr>
    </w:p>
    <w:p w:rsidR="00E54E37" w:rsidRPr="008529A9" w:rsidRDefault="00E54E37" w:rsidP="00E54E37">
      <w:pPr>
        <w:rPr>
          <w:rFonts w:eastAsia="Arial" w:cs="Courier"/>
          <w:i/>
          <w:color w:val="000000"/>
          <w:sz w:val="22"/>
        </w:rPr>
      </w:pPr>
      <w:r w:rsidRPr="008529A9">
        <w:rPr>
          <w:rFonts w:eastAsia="Arial" w:cs="Courier"/>
          <w:color w:val="000000"/>
          <w:sz w:val="22"/>
        </w:rPr>
        <w:t>There is good news, however, for metals M&amp;A activity in the Asia Pacific region, which now accounts for 61% of all deal value, compared to only 19% in 2011,</w:t>
      </w:r>
      <w:r w:rsidRPr="008529A9">
        <w:rPr>
          <w:rFonts w:eastAsia="Arial" w:cs="Courier"/>
          <w:i/>
          <w:color w:val="000000"/>
          <w:sz w:val="22"/>
        </w:rPr>
        <w:t xml:space="preserve"> </w:t>
      </w:r>
    </w:p>
    <w:p w:rsidR="00E54E37" w:rsidRPr="008529A9" w:rsidRDefault="00E54E37" w:rsidP="00E54E37">
      <w:pPr>
        <w:rPr>
          <w:rFonts w:eastAsia="Arial" w:cs="Courier"/>
          <w:i/>
          <w:color w:val="000000"/>
          <w:sz w:val="22"/>
        </w:rPr>
      </w:pPr>
    </w:p>
    <w:p w:rsidR="00E54E37" w:rsidRPr="008529A9" w:rsidRDefault="00E54E37" w:rsidP="00E54E37">
      <w:pPr>
        <w:rPr>
          <w:rFonts w:eastAsia="Arial" w:cs="Courier"/>
          <w:color w:val="000000"/>
          <w:sz w:val="22"/>
        </w:rPr>
      </w:pPr>
      <w:r w:rsidRPr="008529A9">
        <w:rPr>
          <w:rFonts w:eastAsia="Arial" w:cs="Courier"/>
          <w:color w:val="000000"/>
          <w:sz w:val="22"/>
        </w:rPr>
        <w:t>The majority of the region’s activity lies in China, where six out of the 10 Asia Pacific deals worth US$500m or more occurred. But, PwC says that the emphasis on location could shift again in 2014. The massive US$7.5bn merger of two state aluminium companies in the UAE to form Emirates Global Aluminium was by far the biggest deal of 2013, being almost double the value of the second largest deal.</w:t>
      </w:r>
    </w:p>
    <w:p w:rsidR="00E54E37" w:rsidRPr="008529A9" w:rsidRDefault="00E54E37" w:rsidP="00E54E37">
      <w:pPr>
        <w:rPr>
          <w:rFonts w:eastAsia="Arial" w:cs="Courier"/>
          <w:color w:val="000000"/>
          <w:sz w:val="22"/>
        </w:rPr>
      </w:pPr>
    </w:p>
    <w:p w:rsidR="00E54E37" w:rsidRPr="008529A9" w:rsidRDefault="00E54E37" w:rsidP="00E54E37">
      <w:pPr>
        <w:rPr>
          <w:rFonts w:eastAsia="Arial" w:cs="Courier"/>
          <w:color w:val="000000"/>
          <w:sz w:val="22"/>
        </w:rPr>
      </w:pPr>
      <w:r w:rsidRPr="008529A9">
        <w:rPr>
          <w:rFonts w:eastAsia="Arial" w:cs="Courier"/>
          <w:color w:val="000000"/>
          <w:sz w:val="22"/>
        </w:rPr>
        <w:t>Jim Forbes, global metals leader, PwC, commented:</w:t>
      </w:r>
    </w:p>
    <w:p w:rsidR="00E54E37" w:rsidRPr="008529A9" w:rsidRDefault="00E54E37" w:rsidP="00E54E37">
      <w:pPr>
        <w:rPr>
          <w:rFonts w:eastAsia="Arial" w:cs="Courier"/>
          <w:color w:val="000000"/>
          <w:sz w:val="22"/>
        </w:rPr>
      </w:pPr>
    </w:p>
    <w:p w:rsidR="00E54E37" w:rsidRPr="008529A9" w:rsidRDefault="00E54E37" w:rsidP="00E54E37">
      <w:pPr>
        <w:ind w:left="720"/>
        <w:rPr>
          <w:rFonts w:eastAsia="Arial" w:cs="Courier"/>
          <w:color w:val="000000"/>
          <w:sz w:val="22"/>
        </w:rPr>
      </w:pPr>
      <w:r w:rsidRPr="008529A9">
        <w:rPr>
          <w:rFonts w:eastAsia="Arial" w:cs="Courier"/>
          <w:color w:val="000000"/>
          <w:sz w:val="22"/>
        </w:rPr>
        <w:t>“Despite the apparent strength of the east, there is definite potential for a geographical shift in M&amp;A deals. Over the last two years, there has been a lot of activity in Asia Pacific. Now, momentum for growth is coming from the US, partially driven by cheaper energy, so we expect to see more North American deal flow.”</w:t>
      </w:r>
    </w:p>
    <w:p w:rsidR="00E54E37" w:rsidRPr="008529A9" w:rsidRDefault="00E54E37" w:rsidP="00E54E37">
      <w:pPr>
        <w:rPr>
          <w:rFonts w:eastAsia="Arial" w:cs="Courier"/>
          <w:color w:val="000000"/>
          <w:sz w:val="22"/>
        </w:rPr>
      </w:pPr>
    </w:p>
    <w:p w:rsidR="00E54E37" w:rsidRPr="008529A9" w:rsidRDefault="00E54E37" w:rsidP="00E54E37">
      <w:pPr>
        <w:rPr>
          <w:rFonts w:eastAsia="Arial" w:cs="Courier"/>
          <w:color w:val="000000"/>
          <w:sz w:val="22"/>
        </w:rPr>
      </w:pPr>
      <w:r w:rsidRPr="008529A9">
        <w:rPr>
          <w:rFonts w:eastAsia="Arial" w:cs="Courier"/>
          <w:color w:val="000000"/>
          <w:sz w:val="22"/>
        </w:rPr>
        <w:t xml:space="preserve">Japanese deal activity is being boosted by the continued post-earthquake reconstruction effort and increased demand for steel. Amidst the falling deal numbers of the double-dip, the only deal categories that bucked the downward trend were the total value of deals for aluminium (US$9.4bn) and ‘other metals’ (US$17.1bn). Across the globe, companies will be looking to secure natural resource assets. </w:t>
      </w:r>
    </w:p>
    <w:p w:rsidR="00E54E37" w:rsidRPr="008529A9" w:rsidRDefault="00E54E37" w:rsidP="00E54E37">
      <w:pPr>
        <w:rPr>
          <w:rFonts w:eastAsia="Arial" w:cs="Courier"/>
          <w:color w:val="000000"/>
          <w:sz w:val="22"/>
        </w:rPr>
      </w:pPr>
    </w:p>
    <w:p w:rsidR="00E54E37" w:rsidRPr="008529A9" w:rsidRDefault="00E54E37" w:rsidP="00E54E37">
      <w:pPr>
        <w:rPr>
          <w:rFonts w:eastAsia="Arial" w:cs="Courier"/>
          <w:color w:val="000000"/>
          <w:sz w:val="22"/>
        </w:rPr>
      </w:pPr>
      <w:r w:rsidRPr="008529A9">
        <w:rPr>
          <w:rFonts w:eastAsia="Arial" w:cs="Courier"/>
          <w:color w:val="000000"/>
          <w:sz w:val="22"/>
        </w:rPr>
        <w:t>Jim Forbes commented:</w:t>
      </w:r>
    </w:p>
    <w:p w:rsidR="00E54E37" w:rsidRPr="008529A9" w:rsidRDefault="00E54E37" w:rsidP="00E54E37">
      <w:pPr>
        <w:rPr>
          <w:rFonts w:eastAsia="Arial" w:cs="Courier"/>
          <w:color w:val="000000"/>
          <w:sz w:val="22"/>
        </w:rPr>
      </w:pPr>
    </w:p>
    <w:p w:rsidR="00E54E37" w:rsidRPr="008529A9" w:rsidRDefault="00E54E37" w:rsidP="00E54E37">
      <w:pPr>
        <w:ind w:left="720"/>
        <w:rPr>
          <w:rFonts w:eastAsia="Arial" w:cs="Courier"/>
          <w:color w:val="000000"/>
          <w:sz w:val="22"/>
        </w:rPr>
      </w:pPr>
      <w:r w:rsidRPr="008529A9">
        <w:rPr>
          <w:rFonts w:eastAsia="Arial" w:cs="Courier"/>
          <w:color w:val="000000"/>
          <w:sz w:val="22"/>
        </w:rPr>
        <w:t xml:space="preserve">“The newly merged Emirates Global Aluminium business is a great example of the resurgence of aluminium, signing a US$5bn agreement to develop a bauxite mine and alumina refinery in Guinea.” </w:t>
      </w:r>
    </w:p>
    <w:p w:rsidR="00E54E37" w:rsidRPr="008529A9" w:rsidRDefault="00E54E37" w:rsidP="00E54E37">
      <w:pPr>
        <w:ind w:left="720"/>
        <w:rPr>
          <w:rFonts w:eastAsia="Arial" w:cs="Courier"/>
          <w:color w:val="000000"/>
          <w:sz w:val="22"/>
        </w:rPr>
      </w:pPr>
    </w:p>
    <w:p w:rsidR="00E54E37" w:rsidRPr="008529A9" w:rsidRDefault="00E54E37" w:rsidP="00E54E37">
      <w:pPr>
        <w:rPr>
          <w:rFonts w:eastAsia="Arial" w:cs="Courier"/>
          <w:color w:val="FF0000"/>
          <w:sz w:val="22"/>
        </w:rPr>
      </w:pPr>
      <w:r w:rsidRPr="008529A9">
        <w:rPr>
          <w:rFonts w:eastAsia="Arial" w:cs="Courier"/>
          <w:color w:val="000000"/>
          <w:sz w:val="22"/>
        </w:rPr>
        <w:t xml:space="preserve">This year the Other Metals category was not dominated by industry driven iron ore deals.  Financial investors picked up the slack showing interest in other metals including nickel and titanium. This may signal a slowdown in steel raw material deals. </w:t>
      </w:r>
    </w:p>
    <w:p w:rsidR="00E54E37" w:rsidRPr="008529A9" w:rsidRDefault="00E54E37" w:rsidP="00E54E37">
      <w:pPr>
        <w:rPr>
          <w:rFonts w:eastAsia="Arial" w:cs="Courier"/>
          <w:color w:val="000000"/>
          <w:sz w:val="22"/>
        </w:rPr>
      </w:pPr>
    </w:p>
    <w:p w:rsidR="00E54E37" w:rsidRPr="008529A9" w:rsidRDefault="00E54E37" w:rsidP="00E54E37">
      <w:pPr>
        <w:autoSpaceDE w:val="0"/>
        <w:autoSpaceDN w:val="0"/>
        <w:adjustRightInd w:val="0"/>
        <w:rPr>
          <w:rFonts w:eastAsia="Arial" w:cs="Courier"/>
          <w:color w:val="000000"/>
          <w:sz w:val="22"/>
        </w:rPr>
      </w:pPr>
      <w:r w:rsidRPr="008529A9">
        <w:rPr>
          <w:rFonts w:eastAsia="Arial" w:cs="Courier"/>
          <w:color w:val="000000"/>
          <w:sz w:val="22"/>
        </w:rPr>
        <w:t>Additionally, it is forecasted that there will be a continued incidence of mergers and joint ventures. The two largest metals deals of 2013 were joint ventures</w:t>
      </w:r>
      <w:r w:rsidRPr="008529A9">
        <w:rPr>
          <w:rStyle w:val="FootnoteReference"/>
          <w:rFonts w:eastAsia="Arial" w:cs="Courier"/>
          <w:color w:val="000000"/>
          <w:sz w:val="22"/>
        </w:rPr>
        <w:footnoteReference w:id="1"/>
      </w:r>
      <w:r w:rsidRPr="008529A9">
        <w:rPr>
          <w:rFonts w:eastAsia="Arial" w:cs="Courier"/>
          <w:color w:val="000000"/>
          <w:sz w:val="22"/>
        </w:rPr>
        <w:t>, whilst the creation of Emirates Global Aluminium was the most significant merger. There will also be an increase in investor groups and investor companies on the buy-side of deals; indeed in some countries, Brazil for example, attracting private equity into the metals and mining sector is being actively encouraged.</w:t>
      </w:r>
    </w:p>
    <w:p w:rsidR="00E54E37" w:rsidRPr="008529A9" w:rsidRDefault="00E54E37" w:rsidP="00E54E37">
      <w:pPr>
        <w:autoSpaceDE w:val="0"/>
        <w:autoSpaceDN w:val="0"/>
        <w:adjustRightInd w:val="0"/>
        <w:rPr>
          <w:rFonts w:eastAsia="Arial" w:cs="Courier"/>
          <w:color w:val="000000"/>
          <w:sz w:val="22"/>
        </w:rPr>
      </w:pPr>
    </w:p>
    <w:p w:rsidR="00E54E37" w:rsidRPr="008529A9" w:rsidRDefault="00E54E37" w:rsidP="00E54E37">
      <w:pPr>
        <w:autoSpaceDE w:val="0"/>
        <w:autoSpaceDN w:val="0"/>
        <w:adjustRightInd w:val="0"/>
        <w:rPr>
          <w:rFonts w:eastAsia="Arial" w:cs="Courier"/>
          <w:color w:val="000000"/>
          <w:sz w:val="22"/>
        </w:rPr>
      </w:pPr>
      <w:r w:rsidRPr="008529A9">
        <w:rPr>
          <w:rFonts w:eastAsia="Arial" w:cs="Courier"/>
          <w:color w:val="000000"/>
          <w:sz w:val="22"/>
        </w:rPr>
        <w:t xml:space="preserve">As well as M&amp;A activity, </w:t>
      </w:r>
      <w:r w:rsidRPr="008529A9">
        <w:rPr>
          <w:rFonts w:eastAsia="Arial" w:cs="Courier"/>
          <w:i/>
          <w:color w:val="000000"/>
          <w:sz w:val="22"/>
        </w:rPr>
        <w:t xml:space="preserve">Forging Ahead </w:t>
      </w:r>
      <w:r w:rsidRPr="008529A9">
        <w:rPr>
          <w:rFonts w:eastAsia="Arial" w:cs="Courier"/>
          <w:color w:val="000000"/>
          <w:sz w:val="22"/>
        </w:rPr>
        <w:t xml:space="preserve">forecasts that metals companies will be turning their focus to </w:t>
      </w:r>
      <w:r w:rsidRPr="008529A9">
        <w:rPr>
          <w:rFonts w:cs="HelveticaNeueLTCom45Lt"/>
          <w:sz w:val="22"/>
        </w:rPr>
        <w:t>internal efficiencies, cost base reductions and innovation in 2014.</w:t>
      </w:r>
      <w:r w:rsidRPr="008529A9">
        <w:rPr>
          <w:rFonts w:eastAsia="Arial" w:cs="Courier"/>
          <w:i/>
          <w:color w:val="000000"/>
          <w:sz w:val="22"/>
        </w:rPr>
        <w:t xml:space="preserve"> </w:t>
      </w:r>
      <w:r w:rsidRPr="008529A9">
        <w:rPr>
          <w:rFonts w:cs="HelveticaNeueLTCom45Lt"/>
          <w:sz w:val="22"/>
        </w:rPr>
        <w:t xml:space="preserve">Process innovation and control of energy and water consumption will be an important focus in the metals sector as industries across the board look to improve their sustainability record. </w:t>
      </w:r>
    </w:p>
    <w:p w:rsidR="00E54E37" w:rsidRPr="008529A9" w:rsidRDefault="00E54E37" w:rsidP="00E54E37">
      <w:pPr>
        <w:rPr>
          <w:rFonts w:eastAsia="Arial" w:cs="Courier"/>
          <w:color w:val="000000"/>
          <w:sz w:val="22"/>
        </w:rPr>
      </w:pPr>
    </w:p>
    <w:p w:rsidR="00E54E37" w:rsidRPr="008529A9" w:rsidRDefault="00E54E37" w:rsidP="00E54E37">
      <w:pPr>
        <w:rPr>
          <w:rFonts w:eastAsia="Arial" w:cs="Courier"/>
          <w:color w:val="000000"/>
          <w:sz w:val="22"/>
        </w:rPr>
      </w:pPr>
      <w:r w:rsidRPr="008529A9">
        <w:rPr>
          <w:rFonts w:eastAsia="Arial" w:cs="Courier"/>
          <w:color w:val="000000"/>
          <w:sz w:val="22"/>
        </w:rPr>
        <w:t>Jim Forbes added:</w:t>
      </w:r>
    </w:p>
    <w:p w:rsidR="00E54E37" w:rsidRPr="008529A9" w:rsidRDefault="00E54E37" w:rsidP="00E54E37">
      <w:pPr>
        <w:rPr>
          <w:rFonts w:eastAsia="Arial" w:cs="Courier"/>
          <w:color w:val="000000"/>
          <w:sz w:val="22"/>
        </w:rPr>
      </w:pPr>
    </w:p>
    <w:p w:rsidR="00E54E37" w:rsidRPr="008529A9" w:rsidRDefault="00E54E37" w:rsidP="00E54E37">
      <w:pPr>
        <w:ind w:left="720"/>
        <w:rPr>
          <w:rFonts w:eastAsia="Arial" w:cs="Courier"/>
          <w:color w:val="000000"/>
          <w:sz w:val="22"/>
        </w:rPr>
      </w:pPr>
      <w:r w:rsidRPr="008529A9">
        <w:rPr>
          <w:rFonts w:cs="HelveticaNeueLTCom45Lt"/>
          <w:sz w:val="22"/>
        </w:rPr>
        <w:t xml:space="preserve">“In practice, an example of cost reduction might be more integrated steel producers turning their attention to the use of recycled scrap steel. We expect to see companies prioritising research and development linked to customer and market needs in order to position </w:t>
      </w:r>
      <w:proofErr w:type="gramStart"/>
      <w:r w:rsidRPr="008529A9">
        <w:rPr>
          <w:rFonts w:cs="HelveticaNeueLTCom45Lt"/>
          <w:sz w:val="22"/>
        </w:rPr>
        <w:t>themselves</w:t>
      </w:r>
      <w:proofErr w:type="gramEnd"/>
      <w:r w:rsidRPr="008529A9">
        <w:rPr>
          <w:rFonts w:cs="HelveticaNeueLTCom45Lt"/>
          <w:sz w:val="22"/>
        </w:rPr>
        <w:t xml:space="preserve"> away from being purely commodity-based businesses.”</w:t>
      </w:r>
      <w:r w:rsidRPr="008529A9">
        <w:rPr>
          <w:rFonts w:eastAsia="Arial" w:cs="Courier"/>
          <w:color w:val="000000"/>
          <w:sz w:val="22"/>
        </w:rPr>
        <w:br/>
      </w:r>
    </w:p>
    <w:p w:rsidR="00E54E37" w:rsidRDefault="00E54E37" w:rsidP="00E54E37">
      <w:pPr>
        <w:tabs>
          <w:tab w:val="left" w:pos="2043"/>
        </w:tabs>
        <w:autoSpaceDE w:val="0"/>
        <w:autoSpaceDN w:val="0"/>
        <w:adjustRightInd w:val="0"/>
        <w:spacing w:line="240" w:lineRule="auto"/>
        <w:rPr>
          <w:b/>
          <w:sz w:val="22"/>
          <w:lang w:val="en-US"/>
        </w:rPr>
      </w:pPr>
    </w:p>
    <w:p w:rsidR="00E54E37" w:rsidRDefault="00E54E37" w:rsidP="00E54E37">
      <w:pPr>
        <w:tabs>
          <w:tab w:val="left" w:pos="2043"/>
        </w:tabs>
        <w:autoSpaceDE w:val="0"/>
        <w:autoSpaceDN w:val="0"/>
        <w:adjustRightInd w:val="0"/>
        <w:spacing w:line="240" w:lineRule="auto"/>
        <w:rPr>
          <w:b/>
          <w:sz w:val="22"/>
          <w:lang w:val="en-US"/>
        </w:rPr>
      </w:pPr>
    </w:p>
    <w:p w:rsidR="00E54E37" w:rsidRDefault="00E54E37" w:rsidP="00E54E37">
      <w:pPr>
        <w:pStyle w:val="BodyText"/>
        <w:spacing w:after="0" w:line="240" w:lineRule="auto"/>
        <w:rPr>
          <w:b/>
          <w:szCs w:val="20"/>
          <w:lang w:eastAsia="en-GB"/>
        </w:rPr>
      </w:pPr>
      <w:r>
        <w:rPr>
          <w:b/>
          <w:szCs w:val="20"/>
          <w:lang w:eastAsia="en-GB"/>
        </w:rPr>
        <w:t>About PwC</w:t>
      </w:r>
    </w:p>
    <w:p w:rsidR="00E54E37" w:rsidRDefault="00E54E37" w:rsidP="00E54E37">
      <w:pPr>
        <w:pStyle w:val="BodyText"/>
        <w:spacing w:after="0" w:line="240" w:lineRule="auto"/>
        <w:rPr>
          <w:b/>
          <w:szCs w:val="20"/>
          <w:lang w:eastAsia="en-GB"/>
        </w:rPr>
      </w:pPr>
    </w:p>
    <w:p w:rsidR="00F41CEB" w:rsidRPr="00F41CEB" w:rsidRDefault="00F41CEB" w:rsidP="00F41CEB">
      <w:pPr>
        <w:rPr>
          <w:rFonts w:cs="Arial"/>
          <w:color w:val="000000"/>
          <w:szCs w:val="20"/>
          <w:lang w:val="en-US"/>
        </w:rPr>
      </w:pPr>
      <w:r w:rsidRPr="00F41CEB">
        <w:rPr>
          <w:rFonts w:cs="Arial"/>
          <w:color w:val="000000"/>
          <w:szCs w:val="20"/>
          <w:lang w:val="en-US"/>
        </w:rPr>
        <w:t xml:space="preserve">PwC helps </w:t>
      </w:r>
      <w:proofErr w:type="spellStart"/>
      <w:r w:rsidRPr="00F41CEB">
        <w:rPr>
          <w:rFonts w:cs="Arial"/>
          <w:color w:val="000000"/>
          <w:szCs w:val="20"/>
          <w:lang w:val="en-US"/>
        </w:rPr>
        <w:t>organisations</w:t>
      </w:r>
      <w:proofErr w:type="spellEnd"/>
      <w:r w:rsidRPr="00F41CEB">
        <w:rPr>
          <w:rFonts w:cs="Arial"/>
          <w:color w:val="000000"/>
          <w:szCs w:val="20"/>
          <w:lang w:val="en-US"/>
        </w:rPr>
        <w:t xml:space="preserve">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8" w:history="1">
        <w:r w:rsidRPr="00F41CEB">
          <w:rPr>
            <w:rFonts w:cs="Arial"/>
            <w:color w:val="0000FF"/>
            <w:szCs w:val="20"/>
            <w:u w:val="single"/>
            <w:lang w:val="en-US"/>
          </w:rPr>
          <w:t>www.pwc.com</w:t>
        </w:r>
      </w:hyperlink>
      <w:r w:rsidRPr="00F41CEB">
        <w:rPr>
          <w:rFonts w:cs="Arial"/>
          <w:color w:val="000000"/>
          <w:szCs w:val="20"/>
          <w:lang w:val="en-US"/>
        </w:rPr>
        <w:t>.</w:t>
      </w:r>
    </w:p>
    <w:p w:rsidR="00E54E37" w:rsidRPr="00513BF0" w:rsidRDefault="00E54E37" w:rsidP="00E54E37"/>
    <w:p w:rsidR="00143317" w:rsidRPr="005D5DCA" w:rsidRDefault="00143317" w:rsidP="00143317">
      <w:pPr>
        <w:spacing w:line="240" w:lineRule="auto"/>
        <w:rPr>
          <w:szCs w:val="20"/>
        </w:rPr>
      </w:pPr>
      <w:r w:rsidRPr="005D5DCA">
        <w:rPr>
          <w:szCs w:val="20"/>
        </w:rPr>
        <w:t>©2014 PwC. All rights reserved</w:t>
      </w:r>
    </w:p>
    <w:p w:rsidR="00143317" w:rsidRPr="005D5DCA" w:rsidRDefault="00143317" w:rsidP="00143317">
      <w:pPr>
        <w:spacing w:line="240" w:lineRule="auto"/>
        <w:rPr>
          <w:szCs w:val="20"/>
        </w:rPr>
      </w:pPr>
    </w:p>
    <w:p w:rsidR="00E54E37" w:rsidRPr="00F41CEB" w:rsidRDefault="00143317" w:rsidP="00F41CEB">
      <w:pPr>
        <w:spacing w:line="240" w:lineRule="auto"/>
        <w:rPr>
          <w:szCs w:val="20"/>
        </w:rPr>
      </w:pPr>
      <w:r w:rsidRPr="005D5DCA">
        <w:rPr>
          <w:szCs w:val="20"/>
        </w:rPr>
        <w:t>PwC refers to the PwC network and/or one or more of its member firms, each of which is a separate legal entity. Please see www.pwc.com/structure for further details.</w:t>
      </w:r>
    </w:p>
    <w:sectPr w:rsidR="00E54E37" w:rsidRPr="00F41CEB" w:rsidSect="00E57577">
      <w:headerReference w:type="even" r:id="rId9"/>
      <w:headerReference w:type="default" r:id="rId10"/>
      <w:footerReference w:type="even" r:id="rId11"/>
      <w:footerReference w:type="default" r:id="rId12"/>
      <w:headerReference w:type="first" r:id="rId13"/>
      <w:footerReference w:type="first" r:id="rId14"/>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A5" w:rsidRDefault="002D39A5" w:rsidP="00513BF0">
      <w:pPr>
        <w:spacing w:line="240" w:lineRule="auto"/>
      </w:pPr>
      <w:r>
        <w:separator/>
      </w:r>
    </w:p>
  </w:endnote>
  <w:endnote w:type="continuationSeparator" w:id="0">
    <w:p w:rsidR="002D39A5" w:rsidRDefault="002D39A5" w:rsidP="00513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NeueLTCom45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9E6A6F">
    <w:pPr>
      <w:pStyle w:val="Footer"/>
    </w:pPr>
    <w:r>
      <w:fldChar w:fldCharType="begin"/>
    </w:r>
    <w:r>
      <w:instrText xml:space="preserve"> PAGE  \* MERGEFORMAT </w:instrText>
    </w:r>
    <w:r>
      <w:fldChar w:fldCharType="separate"/>
    </w:r>
    <w:r>
      <w:rPr>
        <w:noProof/>
      </w:rPr>
      <w:t>2</w:t>
    </w:r>
    <w:r>
      <w:rPr>
        <w:noProof/>
      </w:rPr>
      <w:fldChar w:fldCharType="end"/>
    </w:r>
    <w:r>
      <w:t xml:space="preserve"> of </w:t>
    </w:r>
    <w:r w:rsidR="002D39A5">
      <w:fldChar w:fldCharType="begin"/>
    </w:r>
    <w:r w:rsidR="002D39A5">
      <w:instrText xml:space="preserve"> NUMPAGES  \* MERGEFORMAT </w:instrText>
    </w:r>
    <w:r w:rsidR="002D39A5">
      <w:fldChar w:fldCharType="separate"/>
    </w:r>
    <w:r w:rsidR="00901042">
      <w:rPr>
        <w:noProof/>
      </w:rPr>
      <w:t>2</w:t>
    </w:r>
    <w:r w:rsidR="002D39A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9E6A6F">
    <w:pPr>
      <w:pStyle w:val="Footer"/>
    </w:pPr>
    <w:r>
      <w:fldChar w:fldCharType="begin"/>
    </w:r>
    <w:r>
      <w:instrText xml:space="preserve"> PAGE  \* MERGEFORMAT </w:instrText>
    </w:r>
    <w:r>
      <w:fldChar w:fldCharType="separate"/>
    </w:r>
    <w:r w:rsidR="00901042">
      <w:rPr>
        <w:noProof/>
      </w:rPr>
      <w:t>2</w:t>
    </w:r>
    <w:r>
      <w:rPr>
        <w:noProof/>
      </w:rPr>
      <w:fldChar w:fldCharType="end"/>
    </w:r>
    <w:r>
      <w:t xml:space="preserve"> of </w:t>
    </w:r>
    <w:r w:rsidR="002D39A5">
      <w:fldChar w:fldCharType="begin"/>
    </w:r>
    <w:r w:rsidR="002D39A5">
      <w:instrText xml:space="preserve"> NUMPAGES  \* MERGEFORMAT </w:instrText>
    </w:r>
    <w:r w:rsidR="002D39A5">
      <w:fldChar w:fldCharType="separate"/>
    </w:r>
    <w:r w:rsidR="00901042">
      <w:rPr>
        <w:noProof/>
      </w:rPr>
      <w:t>2</w:t>
    </w:r>
    <w:r w:rsidR="002D39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9E6A6F">
    <w:pPr>
      <w:pStyle w:val="Address"/>
    </w:pPr>
    <w:bookmarkStart w:id="1" w:name="FirstPageFooter"/>
    <w:bookmarkEnd w:id="1"/>
    <w:r>
      <w:t>PricewaterhouseCoopers LLP, 1 Embankment Place. London, WC2N 6RH</w:t>
    </w:r>
  </w:p>
  <w:p w:rsidR="00E57577" w:rsidRDefault="009E6A6F">
    <w:pPr>
      <w:pStyle w:val="Address"/>
    </w:pPr>
    <w:r>
      <w:t>T: +44 (0)207 213 1768, www.ukmediacentre.pwc.com</w:t>
    </w:r>
  </w:p>
  <w:p w:rsidR="00E57577" w:rsidRDefault="002D3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A5" w:rsidRDefault="002D39A5" w:rsidP="00513BF0">
      <w:pPr>
        <w:spacing w:line="240" w:lineRule="auto"/>
      </w:pPr>
      <w:r>
        <w:separator/>
      </w:r>
    </w:p>
  </w:footnote>
  <w:footnote w:type="continuationSeparator" w:id="0">
    <w:p w:rsidR="002D39A5" w:rsidRDefault="002D39A5" w:rsidP="00513BF0">
      <w:pPr>
        <w:spacing w:line="240" w:lineRule="auto"/>
      </w:pPr>
      <w:r>
        <w:continuationSeparator/>
      </w:r>
    </w:p>
  </w:footnote>
  <w:footnote w:id="1">
    <w:p w:rsidR="00E54E37" w:rsidRDefault="00E54E37" w:rsidP="00E54E37">
      <w:pPr>
        <w:pStyle w:val="FootnoteText"/>
      </w:pPr>
      <w:r>
        <w:rPr>
          <w:rStyle w:val="FootnoteReference"/>
        </w:rPr>
        <w:footnoteRef/>
      </w:r>
      <w:r>
        <w:t xml:space="preserve"> 1. </w:t>
      </w:r>
      <w:proofErr w:type="spellStart"/>
      <w:r>
        <w:t>ArcelorMittal’s</w:t>
      </w:r>
      <w:proofErr w:type="spellEnd"/>
      <w:r>
        <w:t xml:space="preserve"> (ACM) and Nippon Steel &amp; Sumitomo Metal Corporation’s equal joint venture purchase of ThyssenKrupp’s Alabama steel plant.</w:t>
      </w:r>
    </w:p>
    <w:p w:rsidR="00E54E37" w:rsidRDefault="00E54E37" w:rsidP="00E54E37">
      <w:pPr>
        <w:pStyle w:val="FootnoteText"/>
      </w:pPr>
      <w:r>
        <w:t xml:space="preserve">2. </w:t>
      </w:r>
      <w:proofErr w:type="spellStart"/>
      <w:r>
        <w:t>Posco</w:t>
      </w:r>
      <w:proofErr w:type="spellEnd"/>
      <w:r>
        <w:t xml:space="preserve"> and China Steel Corporation’s joint venture 15% acquisition of ACM’s Canadian iron ore mines.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9E6A6F">
    <w:pPr>
      <w:pStyle w:val="Header"/>
    </w:pPr>
    <w:r>
      <w:rPr>
        <w:noProof/>
        <w:lang w:val="en-US"/>
      </w:rPr>
      <w:drawing>
        <wp:anchor distT="0" distB="0" distL="114300" distR="114300" simplePos="0" relativeHeight="251661312" behindDoc="0" locked="1" layoutInCell="1" allowOverlap="1" wp14:anchorId="1DBFAE3F" wp14:editId="5D8C70EA">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2D3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9E6A6F">
    <w:pPr>
      <w:pStyle w:val="Header"/>
    </w:pPr>
    <w:r>
      <w:rPr>
        <w:noProof/>
        <w:lang w:val="en-US"/>
      </w:rPr>
      <w:drawing>
        <wp:anchor distT="0" distB="0" distL="114300" distR="114300" simplePos="0" relativeHeight="251660288" behindDoc="0" locked="1" layoutInCell="1" allowOverlap="1" wp14:anchorId="6FD4AC87" wp14:editId="4CEBA9FC">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2D3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9E6A6F">
    <w:pPr>
      <w:pStyle w:val="Header"/>
    </w:pPr>
    <w:r>
      <w:rPr>
        <w:noProof/>
        <w:lang w:val="en-US"/>
      </w:rPr>
      <w:drawing>
        <wp:anchor distT="0" distB="0" distL="114300" distR="114300" simplePos="0" relativeHeight="251659264" behindDoc="0" locked="1" layoutInCell="1" allowOverlap="1" wp14:anchorId="07E4F474" wp14:editId="7582B9B0">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55A2"/>
    <w:multiLevelType w:val="hybridMultilevel"/>
    <w:tmpl w:val="E4345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37"/>
    <w:rsid w:val="00143317"/>
    <w:rsid w:val="001C62A9"/>
    <w:rsid w:val="002D39A5"/>
    <w:rsid w:val="003638DD"/>
    <w:rsid w:val="003F0F54"/>
    <w:rsid w:val="004C6648"/>
    <w:rsid w:val="00513BF0"/>
    <w:rsid w:val="008529A9"/>
    <w:rsid w:val="008561F0"/>
    <w:rsid w:val="00901042"/>
    <w:rsid w:val="00955E6D"/>
    <w:rsid w:val="009E6A6F"/>
    <w:rsid w:val="00D43F59"/>
    <w:rsid w:val="00E54E37"/>
    <w:rsid w:val="00F41CEB"/>
    <w:rsid w:val="00F84654"/>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37"/>
    <w:pPr>
      <w:spacing w:after="0" w:line="240" w:lineRule="atLeast"/>
    </w:pPr>
    <w:rPr>
      <w:rFonts w:ascii="Georgia" w:eastAsia="Calibri"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BodyText">
    <w:name w:val="Body Text"/>
    <w:basedOn w:val="Normal"/>
    <w:link w:val="BodyTextChar"/>
    <w:uiPriority w:val="99"/>
    <w:unhideWhenUsed/>
    <w:rsid w:val="00E54E37"/>
    <w:pPr>
      <w:spacing w:after="240"/>
    </w:pPr>
  </w:style>
  <w:style w:type="character" w:customStyle="1" w:styleId="BodyTextChar">
    <w:name w:val="Body Text Char"/>
    <w:basedOn w:val="DefaultParagraphFont"/>
    <w:link w:val="BodyText"/>
    <w:uiPriority w:val="99"/>
    <w:rsid w:val="00E54E37"/>
    <w:rPr>
      <w:rFonts w:ascii="Georgia" w:eastAsia="Calibri" w:hAnsi="Georgia" w:cs="Times New Roman"/>
      <w:sz w:val="20"/>
    </w:rPr>
  </w:style>
  <w:style w:type="paragraph" w:styleId="Title">
    <w:name w:val="Title"/>
    <w:basedOn w:val="Normal"/>
    <w:next w:val="Normal"/>
    <w:link w:val="TitleChar"/>
    <w:uiPriority w:val="10"/>
    <w:qFormat/>
    <w:rsid w:val="00E54E3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4E3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4E37"/>
    <w:pPr>
      <w:spacing w:line="200" w:lineRule="atLeast"/>
    </w:pPr>
    <w:rPr>
      <w:i/>
      <w:sz w:val="18"/>
    </w:rPr>
  </w:style>
  <w:style w:type="character" w:customStyle="1" w:styleId="AddressChar">
    <w:name w:val="Address Char"/>
    <w:basedOn w:val="DefaultParagraphFont"/>
    <w:link w:val="Address"/>
    <w:rsid w:val="00E54E37"/>
    <w:rPr>
      <w:rFonts w:ascii="Georgia" w:eastAsia="Calibri" w:hAnsi="Georgia" w:cs="Times New Roman"/>
      <w:i/>
      <w:sz w:val="18"/>
    </w:rPr>
  </w:style>
  <w:style w:type="paragraph" w:customStyle="1" w:styleId="Heading">
    <w:name w:val="Heading"/>
    <w:basedOn w:val="Normal"/>
    <w:rsid w:val="00E54E37"/>
    <w:pPr>
      <w:spacing w:line="240" w:lineRule="auto"/>
    </w:pPr>
    <w:rPr>
      <w:rFonts w:ascii="Arial" w:eastAsia="Times New Roman" w:hAnsi="Arial"/>
      <w:b/>
      <w:sz w:val="24"/>
      <w:szCs w:val="20"/>
    </w:rPr>
  </w:style>
  <w:style w:type="character" w:styleId="Hyperlink">
    <w:name w:val="Hyperlink"/>
    <w:basedOn w:val="DefaultParagraphFont"/>
    <w:uiPriority w:val="99"/>
    <w:unhideWhenUsed/>
    <w:rsid w:val="00E54E37"/>
    <w:rPr>
      <w:strike w:val="0"/>
      <w:dstrike w:val="0"/>
      <w:color w:val="0097DC"/>
      <w:u w:val="none"/>
      <w:effect w:val="none"/>
    </w:rPr>
  </w:style>
  <w:style w:type="paragraph" w:styleId="FootnoteText">
    <w:name w:val="footnote text"/>
    <w:basedOn w:val="Normal"/>
    <w:link w:val="FootnoteTextChar"/>
    <w:uiPriority w:val="99"/>
    <w:semiHidden/>
    <w:unhideWhenUsed/>
    <w:rsid w:val="00E54E37"/>
    <w:pPr>
      <w:spacing w:line="240" w:lineRule="auto"/>
    </w:pPr>
    <w:rPr>
      <w:szCs w:val="20"/>
    </w:rPr>
  </w:style>
  <w:style w:type="character" w:customStyle="1" w:styleId="FootnoteTextChar">
    <w:name w:val="Footnote Text Char"/>
    <w:basedOn w:val="DefaultParagraphFont"/>
    <w:link w:val="FootnoteText"/>
    <w:uiPriority w:val="99"/>
    <w:semiHidden/>
    <w:rsid w:val="00E54E37"/>
    <w:rPr>
      <w:rFonts w:ascii="Georgia" w:eastAsia="Calibri" w:hAnsi="Georgia" w:cs="Times New Roman"/>
      <w:sz w:val="20"/>
      <w:szCs w:val="20"/>
    </w:rPr>
  </w:style>
  <w:style w:type="paragraph" w:styleId="ListParagraph">
    <w:name w:val="List Paragraph"/>
    <w:basedOn w:val="Normal"/>
    <w:uiPriority w:val="34"/>
    <w:qFormat/>
    <w:rsid w:val="00E54E37"/>
    <w:pPr>
      <w:ind w:left="720"/>
      <w:contextualSpacing/>
    </w:pPr>
  </w:style>
  <w:style w:type="character" w:styleId="FootnoteReference">
    <w:name w:val="footnote reference"/>
    <w:basedOn w:val="DefaultParagraphFont"/>
    <w:uiPriority w:val="99"/>
    <w:semiHidden/>
    <w:unhideWhenUsed/>
    <w:rsid w:val="00E54E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37"/>
    <w:pPr>
      <w:spacing w:after="0" w:line="240" w:lineRule="atLeast"/>
    </w:pPr>
    <w:rPr>
      <w:rFonts w:ascii="Georgia" w:eastAsia="Calibri"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BodyText">
    <w:name w:val="Body Text"/>
    <w:basedOn w:val="Normal"/>
    <w:link w:val="BodyTextChar"/>
    <w:uiPriority w:val="99"/>
    <w:unhideWhenUsed/>
    <w:rsid w:val="00E54E37"/>
    <w:pPr>
      <w:spacing w:after="240"/>
    </w:pPr>
  </w:style>
  <w:style w:type="character" w:customStyle="1" w:styleId="BodyTextChar">
    <w:name w:val="Body Text Char"/>
    <w:basedOn w:val="DefaultParagraphFont"/>
    <w:link w:val="BodyText"/>
    <w:uiPriority w:val="99"/>
    <w:rsid w:val="00E54E37"/>
    <w:rPr>
      <w:rFonts w:ascii="Georgia" w:eastAsia="Calibri" w:hAnsi="Georgia" w:cs="Times New Roman"/>
      <w:sz w:val="20"/>
    </w:rPr>
  </w:style>
  <w:style w:type="paragraph" w:styleId="Title">
    <w:name w:val="Title"/>
    <w:basedOn w:val="Normal"/>
    <w:next w:val="Normal"/>
    <w:link w:val="TitleChar"/>
    <w:uiPriority w:val="10"/>
    <w:qFormat/>
    <w:rsid w:val="00E54E3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4E3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4E37"/>
    <w:pPr>
      <w:spacing w:line="200" w:lineRule="atLeast"/>
    </w:pPr>
    <w:rPr>
      <w:i/>
      <w:sz w:val="18"/>
    </w:rPr>
  </w:style>
  <w:style w:type="character" w:customStyle="1" w:styleId="AddressChar">
    <w:name w:val="Address Char"/>
    <w:basedOn w:val="DefaultParagraphFont"/>
    <w:link w:val="Address"/>
    <w:rsid w:val="00E54E37"/>
    <w:rPr>
      <w:rFonts w:ascii="Georgia" w:eastAsia="Calibri" w:hAnsi="Georgia" w:cs="Times New Roman"/>
      <w:i/>
      <w:sz w:val="18"/>
    </w:rPr>
  </w:style>
  <w:style w:type="paragraph" w:customStyle="1" w:styleId="Heading">
    <w:name w:val="Heading"/>
    <w:basedOn w:val="Normal"/>
    <w:rsid w:val="00E54E37"/>
    <w:pPr>
      <w:spacing w:line="240" w:lineRule="auto"/>
    </w:pPr>
    <w:rPr>
      <w:rFonts w:ascii="Arial" w:eastAsia="Times New Roman" w:hAnsi="Arial"/>
      <w:b/>
      <w:sz w:val="24"/>
      <w:szCs w:val="20"/>
    </w:rPr>
  </w:style>
  <w:style w:type="character" w:styleId="Hyperlink">
    <w:name w:val="Hyperlink"/>
    <w:basedOn w:val="DefaultParagraphFont"/>
    <w:uiPriority w:val="99"/>
    <w:unhideWhenUsed/>
    <w:rsid w:val="00E54E37"/>
    <w:rPr>
      <w:strike w:val="0"/>
      <w:dstrike w:val="0"/>
      <w:color w:val="0097DC"/>
      <w:u w:val="none"/>
      <w:effect w:val="none"/>
    </w:rPr>
  </w:style>
  <w:style w:type="paragraph" w:styleId="FootnoteText">
    <w:name w:val="footnote text"/>
    <w:basedOn w:val="Normal"/>
    <w:link w:val="FootnoteTextChar"/>
    <w:uiPriority w:val="99"/>
    <w:semiHidden/>
    <w:unhideWhenUsed/>
    <w:rsid w:val="00E54E37"/>
    <w:pPr>
      <w:spacing w:line="240" w:lineRule="auto"/>
    </w:pPr>
    <w:rPr>
      <w:szCs w:val="20"/>
    </w:rPr>
  </w:style>
  <w:style w:type="character" w:customStyle="1" w:styleId="FootnoteTextChar">
    <w:name w:val="Footnote Text Char"/>
    <w:basedOn w:val="DefaultParagraphFont"/>
    <w:link w:val="FootnoteText"/>
    <w:uiPriority w:val="99"/>
    <w:semiHidden/>
    <w:rsid w:val="00E54E37"/>
    <w:rPr>
      <w:rFonts w:ascii="Georgia" w:eastAsia="Calibri" w:hAnsi="Georgia" w:cs="Times New Roman"/>
      <w:sz w:val="20"/>
      <w:szCs w:val="20"/>
    </w:rPr>
  </w:style>
  <w:style w:type="paragraph" w:styleId="ListParagraph">
    <w:name w:val="List Paragraph"/>
    <w:basedOn w:val="Normal"/>
    <w:uiPriority w:val="34"/>
    <w:qFormat/>
    <w:rsid w:val="00E54E37"/>
    <w:pPr>
      <w:ind w:left="720"/>
      <w:contextualSpacing/>
    </w:pPr>
  </w:style>
  <w:style w:type="character" w:styleId="FootnoteReference">
    <w:name w:val="footnote reference"/>
    <w:basedOn w:val="DefaultParagraphFont"/>
    <w:uiPriority w:val="99"/>
    <w:semiHidden/>
    <w:unhideWhenUsed/>
    <w:rsid w:val="00E54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Shelly Ko Van Pelt</cp:lastModifiedBy>
  <cp:revision>2</cp:revision>
  <cp:lastPrinted>2014-02-20T20:40:00Z</cp:lastPrinted>
  <dcterms:created xsi:type="dcterms:W3CDTF">2014-02-20T21:16:00Z</dcterms:created>
  <dcterms:modified xsi:type="dcterms:W3CDTF">2014-02-20T21:16:00Z</dcterms:modified>
</cp:coreProperties>
</file>