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CAF" w:rsidRDefault="00700C89">
      <w:pPr>
        <w:pStyle w:val="Title"/>
        <w:rPr>
          <w:rFonts w:ascii="Georgia" w:hAnsi="Georgia"/>
        </w:rPr>
      </w:pPr>
      <w:r>
        <w:rPr>
          <w:rFonts w:ascii="Georgia" w:hAnsi="Georgia"/>
        </w:rPr>
        <w:t>News release</w:t>
      </w:r>
    </w:p>
    <w:tbl>
      <w:tblPr>
        <w:tblW w:w="0" w:type="auto"/>
        <w:tblLayout w:type="fixed"/>
        <w:tblLook w:val="0000" w:firstRow="0" w:lastRow="0" w:firstColumn="0" w:lastColumn="0" w:noHBand="0" w:noVBand="0"/>
      </w:tblPr>
      <w:tblGrid>
        <w:gridCol w:w="1818"/>
        <w:gridCol w:w="7290"/>
      </w:tblGrid>
      <w:tr w:rsidR="00FC4CAF" w:rsidTr="006A0D2D">
        <w:tc>
          <w:tcPr>
            <w:tcW w:w="1818" w:type="dxa"/>
          </w:tcPr>
          <w:p w:rsidR="00FC4CAF" w:rsidRDefault="00700C89">
            <w:pPr>
              <w:rPr>
                <w:i/>
              </w:rPr>
            </w:pPr>
            <w:r>
              <w:rPr>
                <w:i/>
              </w:rPr>
              <w:t>Date</w:t>
            </w:r>
          </w:p>
        </w:tc>
        <w:tc>
          <w:tcPr>
            <w:tcW w:w="7290" w:type="dxa"/>
          </w:tcPr>
          <w:p w:rsidR="00FC4CAF" w:rsidRPr="00D10A37" w:rsidRDefault="00700C89" w:rsidP="00201296">
            <w:pPr>
              <w:ind w:right="-391"/>
              <w:rPr>
                <w:b/>
              </w:rPr>
            </w:pPr>
            <w:r w:rsidRPr="00D10A37">
              <w:rPr>
                <w:b/>
              </w:rPr>
              <w:t xml:space="preserve">UNDER EMBARGO: </w:t>
            </w:r>
            <w:r w:rsidR="00201296">
              <w:rPr>
                <w:b/>
              </w:rPr>
              <w:t>09:00 GMT</w:t>
            </w:r>
            <w:r w:rsidRPr="00D10A37">
              <w:rPr>
                <w:b/>
              </w:rPr>
              <w:t xml:space="preserve">, </w:t>
            </w:r>
            <w:r w:rsidR="00201296">
              <w:rPr>
                <w:b/>
              </w:rPr>
              <w:t>30</w:t>
            </w:r>
            <w:r w:rsidR="001F75B8" w:rsidRPr="00D10A37">
              <w:rPr>
                <w:b/>
              </w:rPr>
              <w:t xml:space="preserve"> </w:t>
            </w:r>
            <w:r w:rsidR="00D10A37">
              <w:rPr>
                <w:b/>
              </w:rPr>
              <w:t xml:space="preserve">January </w:t>
            </w:r>
            <w:r w:rsidRPr="00D10A37">
              <w:rPr>
                <w:b/>
              </w:rPr>
              <w:t>201</w:t>
            </w:r>
            <w:r w:rsidR="009E4D39" w:rsidRPr="00D10A37">
              <w:rPr>
                <w:b/>
              </w:rPr>
              <w:t>4</w:t>
            </w:r>
          </w:p>
        </w:tc>
      </w:tr>
      <w:tr w:rsidR="00FC4CAF" w:rsidRPr="00361D96" w:rsidTr="006A0D2D">
        <w:tc>
          <w:tcPr>
            <w:tcW w:w="1818" w:type="dxa"/>
          </w:tcPr>
          <w:p w:rsidR="00FC4CAF" w:rsidRDefault="00FC4CAF">
            <w:pPr>
              <w:rPr>
                <w:i/>
              </w:rPr>
            </w:pPr>
          </w:p>
          <w:p w:rsidR="00FC4CAF" w:rsidRDefault="00700C89">
            <w:pPr>
              <w:rPr>
                <w:i/>
              </w:rPr>
            </w:pPr>
            <w:r>
              <w:rPr>
                <w:i/>
              </w:rPr>
              <w:t>Contact</w:t>
            </w:r>
          </w:p>
        </w:tc>
        <w:tc>
          <w:tcPr>
            <w:tcW w:w="7290" w:type="dxa"/>
          </w:tcPr>
          <w:p w:rsidR="00FC4CAF" w:rsidRPr="00D3331D" w:rsidRDefault="00FC4CAF">
            <w:pPr>
              <w:tabs>
                <w:tab w:val="left" w:pos="1440"/>
              </w:tabs>
              <w:ind w:left="1440" w:hanging="1440"/>
              <w:rPr>
                <w:rFonts w:cs="Arial"/>
                <w:b/>
                <w:bCs/>
                <w:color w:val="000000"/>
                <w:lang w:val="en-US"/>
              </w:rPr>
            </w:pPr>
          </w:p>
          <w:p w:rsidR="00FC4CAF" w:rsidRDefault="00700C89">
            <w:pPr>
              <w:tabs>
                <w:tab w:val="left" w:pos="1440"/>
              </w:tabs>
              <w:ind w:left="1440" w:hanging="1440"/>
              <w:rPr>
                <w:rFonts w:cs="Arial"/>
                <w:color w:val="000000"/>
                <w:lang w:val="it-IT"/>
              </w:rPr>
            </w:pPr>
            <w:r>
              <w:rPr>
                <w:rFonts w:cs="Arial"/>
                <w:b/>
                <w:bCs/>
                <w:color w:val="000000"/>
                <w:lang w:val="it-IT"/>
              </w:rPr>
              <w:t>Mike Davies</w:t>
            </w:r>
            <w:r>
              <w:rPr>
                <w:rFonts w:cs="Arial"/>
                <w:bCs/>
                <w:color w:val="000000"/>
                <w:lang w:val="it-IT"/>
              </w:rPr>
              <w:t>, PwC</w:t>
            </w:r>
          </w:p>
          <w:p w:rsidR="00FC4CAF" w:rsidRDefault="00700C89">
            <w:pPr>
              <w:tabs>
                <w:tab w:val="left" w:pos="1440"/>
              </w:tabs>
              <w:ind w:left="1440" w:hanging="1440"/>
              <w:rPr>
                <w:rFonts w:cs="Arial"/>
                <w:color w:val="000000"/>
                <w:lang w:val="en-US"/>
              </w:rPr>
            </w:pPr>
            <w:r>
              <w:rPr>
                <w:rFonts w:cs="Arial"/>
                <w:color w:val="000000"/>
                <w:lang w:val="en-US"/>
              </w:rPr>
              <w:t xml:space="preserve">Tel: +44 (0) </w:t>
            </w:r>
            <w:r w:rsidR="00201296">
              <w:rPr>
                <w:rFonts w:cs="Arial"/>
                <w:color w:val="000000"/>
                <w:lang w:val="en-US"/>
              </w:rPr>
              <w:t>20 7804 2378</w:t>
            </w:r>
          </w:p>
          <w:p w:rsidR="00FC4CAF" w:rsidRDefault="00700C89">
            <w:pPr>
              <w:tabs>
                <w:tab w:val="left" w:pos="1440"/>
              </w:tabs>
              <w:ind w:left="1440" w:hanging="1440"/>
              <w:rPr>
                <w:rFonts w:cs="Arial"/>
                <w:color w:val="000000"/>
                <w:lang w:val="it-IT"/>
              </w:rPr>
            </w:pPr>
            <w:r>
              <w:rPr>
                <w:rFonts w:cs="Arial"/>
                <w:color w:val="000000"/>
                <w:lang w:val="it-IT"/>
              </w:rPr>
              <w:t xml:space="preserve">e-mail: </w:t>
            </w:r>
            <w:hyperlink r:id="rId9" w:history="1">
              <w:r>
                <w:rPr>
                  <w:rStyle w:val="Hyperlink"/>
                  <w:rFonts w:cs="Arial"/>
                  <w:lang w:val="it-IT"/>
                </w:rPr>
                <w:t>mike.davies@uk.pwc.com</w:t>
              </w:r>
            </w:hyperlink>
          </w:p>
        </w:tc>
      </w:tr>
      <w:tr w:rsidR="00FC4CAF" w:rsidTr="006A0D2D">
        <w:tc>
          <w:tcPr>
            <w:tcW w:w="1818" w:type="dxa"/>
          </w:tcPr>
          <w:p w:rsidR="003E2100" w:rsidRPr="005530E0" w:rsidRDefault="003E2100">
            <w:pPr>
              <w:rPr>
                <w:i/>
                <w:lang w:val="de-DE"/>
              </w:rPr>
            </w:pPr>
          </w:p>
          <w:p w:rsidR="00FC4CAF" w:rsidRDefault="00700C89">
            <w:pPr>
              <w:rPr>
                <w:i/>
              </w:rPr>
            </w:pPr>
            <w:r>
              <w:rPr>
                <w:i/>
              </w:rPr>
              <w:t xml:space="preserve">Pages </w:t>
            </w:r>
          </w:p>
        </w:tc>
        <w:tc>
          <w:tcPr>
            <w:tcW w:w="7290" w:type="dxa"/>
          </w:tcPr>
          <w:p w:rsidR="00FC4CAF" w:rsidRDefault="00FC4CAF"/>
          <w:p w:rsidR="004C24C2" w:rsidRDefault="00027896" w:rsidP="00027896">
            <w:r>
              <w:t>2</w:t>
            </w:r>
          </w:p>
        </w:tc>
      </w:tr>
    </w:tbl>
    <w:p w:rsidR="00FC4CAF" w:rsidRDefault="00FC4CAF" w:rsidP="00D10A37">
      <w:pPr>
        <w:pStyle w:val="Title"/>
        <w:spacing w:after="0"/>
        <w:contextualSpacing w:val="0"/>
      </w:pPr>
    </w:p>
    <w:p w:rsidR="00201296" w:rsidRPr="00201296" w:rsidRDefault="00201296" w:rsidP="00201296">
      <w:pPr>
        <w:spacing w:line="240" w:lineRule="auto"/>
        <w:jc w:val="center"/>
        <w:rPr>
          <w:rFonts w:eastAsia="Times New Roman" w:cs="Arial"/>
          <w:b/>
          <w:bCs/>
          <w:kern w:val="32"/>
          <w:sz w:val="28"/>
          <w:szCs w:val="28"/>
          <w:lang w:val="en-US"/>
        </w:rPr>
      </w:pPr>
      <w:r w:rsidRPr="00201296">
        <w:rPr>
          <w:rFonts w:eastAsia="Times New Roman" w:cs="Arial"/>
          <w:b/>
          <w:bCs/>
          <w:kern w:val="32"/>
          <w:sz w:val="28"/>
          <w:szCs w:val="28"/>
          <w:lang w:val="en-US"/>
        </w:rPr>
        <w:t>PwC Sponsors International Valuation Standards Council (IVSC)</w:t>
      </w:r>
      <w:r>
        <w:rPr>
          <w:rFonts w:eastAsia="Times New Roman" w:cs="Arial"/>
          <w:b/>
          <w:bCs/>
          <w:kern w:val="32"/>
          <w:sz w:val="28"/>
          <w:szCs w:val="28"/>
          <w:lang w:val="en-US"/>
        </w:rPr>
        <w:t xml:space="preserve"> </w:t>
      </w:r>
      <w:r w:rsidRPr="00201296">
        <w:rPr>
          <w:rFonts w:eastAsia="Times New Roman" w:cs="Arial"/>
          <w:b/>
          <w:bCs/>
          <w:kern w:val="32"/>
          <w:sz w:val="28"/>
          <w:szCs w:val="28"/>
          <w:lang w:val="en-US"/>
        </w:rPr>
        <w:t>to suppor</w:t>
      </w:r>
      <w:r>
        <w:rPr>
          <w:rFonts w:eastAsia="Times New Roman" w:cs="Arial"/>
          <w:b/>
          <w:bCs/>
          <w:kern w:val="32"/>
          <w:sz w:val="28"/>
          <w:szCs w:val="28"/>
          <w:lang w:val="en-US"/>
        </w:rPr>
        <w:t xml:space="preserve">t quest for globally recognized </w:t>
      </w:r>
      <w:r w:rsidRPr="00201296">
        <w:rPr>
          <w:rFonts w:eastAsia="Times New Roman" w:cs="Arial"/>
          <w:b/>
          <w:bCs/>
          <w:kern w:val="32"/>
          <w:sz w:val="28"/>
          <w:szCs w:val="28"/>
          <w:lang w:val="en-US"/>
        </w:rPr>
        <w:t>and accepted valuation standards</w:t>
      </w:r>
    </w:p>
    <w:p w:rsidR="00FC4CAF" w:rsidRPr="00734829" w:rsidRDefault="00FC4CAF">
      <w:pPr>
        <w:rPr>
          <w:rFonts w:cs="Arial"/>
          <w:iCs/>
        </w:rPr>
      </w:pPr>
    </w:p>
    <w:p w:rsidR="00201296" w:rsidRPr="00201296" w:rsidRDefault="00201296" w:rsidP="00201296">
      <w:pPr>
        <w:rPr>
          <w:rFonts w:cs="Arial"/>
          <w:color w:val="000000"/>
          <w:sz w:val="22"/>
          <w:lang w:val="en-US"/>
        </w:rPr>
      </w:pPr>
      <w:r>
        <w:rPr>
          <w:rFonts w:cs="Arial"/>
          <w:b/>
          <w:bCs/>
          <w:szCs w:val="20"/>
        </w:rPr>
        <w:t>LONDON – 30</w:t>
      </w:r>
      <w:r w:rsidRPr="00201296">
        <w:rPr>
          <w:rFonts w:cs="Arial"/>
          <w:b/>
          <w:bCs/>
          <w:szCs w:val="20"/>
          <w:vertAlign w:val="superscript"/>
        </w:rPr>
        <w:t>th</w:t>
      </w:r>
      <w:r>
        <w:rPr>
          <w:rFonts w:cs="Arial"/>
          <w:b/>
          <w:bCs/>
          <w:szCs w:val="20"/>
        </w:rPr>
        <w:t xml:space="preserve"> </w:t>
      </w:r>
      <w:r w:rsidR="009D06A6">
        <w:rPr>
          <w:rFonts w:cs="Arial"/>
          <w:b/>
          <w:bCs/>
          <w:szCs w:val="20"/>
        </w:rPr>
        <w:t>Jan</w:t>
      </w:r>
      <w:r w:rsidR="00700C89" w:rsidRPr="003E2100">
        <w:rPr>
          <w:rFonts w:cs="Arial"/>
          <w:b/>
          <w:bCs/>
          <w:szCs w:val="20"/>
        </w:rPr>
        <w:t xml:space="preserve"> 201</w:t>
      </w:r>
      <w:r w:rsidR="009E4D39" w:rsidRPr="003E2100">
        <w:rPr>
          <w:rFonts w:cs="Arial"/>
          <w:b/>
          <w:bCs/>
          <w:szCs w:val="20"/>
        </w:rPr>
        <w:t>4</w:t>
      </w:r>
      <w:r w:rsidR="00700C89" w:rsidRPr="003E2100">
        <w:rPr>
          <w:rFonts w:cs="Arial"/>
          <w:b/>
          <w:bCs/>
          <w:szCs w:val="20"/>
        </w:rPr>
        <w:t xml:space="preserve"> </w:t>
      </w:r>
      <w:r w:rsidR="00700C89" w:rsidRPr="003E2100">
        <w:rPr>
          <w:rFonts w:cs="Arial"/>
          <w:bCs/>
          <w:szCs w:val="20"/>
        </w:rPr>
        <w:t>–</w:t>
      </w:r>
      <w:r w:rsidR="009D06A6">
        <w:rPr>
          <w:rFonts w:cs="Arial"/>
          <w:bCs/>
          <w:szCs w:val="20"/>
        </w:rPr>
        <w:t xml:space="preserve"> </w:t>
      </w:r>
      <w:r w:rsidRPr="00201296">
        <w:rPr>
          <w:rFonts w:cs="Arial"/>
          <w:color w:val="000000"/>
          <w:sz w:val="22"/>
          <w:lang w:val="en-US"/>
        </w:rPr>
        <w:t>PwC today announced its sponsorship of the International Valuation Standards Council (IVSC), an organisation focused on creating a set of global valuation standards and promoting quality within the valuation profession.</w:t>
      </w:r>
    </w:p>
    <w:p w:rsidR="00201296" w:rsidRPr="00201296" w:rsidRDefault="00201296" w:rsidP="00201296">
      <w:pPr>
        <w:rPr>
          <w:rFonts w:cs="Arial"/>
          <w:color w:val="000000"/>
          <w:sz w:val="22"/>
          <w:lang w:val="en-US"/>
        </w:rPr>
      </w:pPr>
    </w:p>
    <w:p w:rsidR="00201296" w:rsidRPr="00201296" w:rsidRDefault="00201296" w:rsidP="00201296">
      <w:pPr>
        <w:rPr>
          <w:rFonts w:cs="Arial"/>
          <w:color w:val="000000"/>
          <w:sz w:val="22"/>
          <w:lang w:val="en-US"/>
        </w:rPr>
      </w:pPr>
      <w:r w:rsidRPr="00201296">
        <w:rPr>
          <w:rFonts w:cs="Arial"/>
          <w:color w:val="000000"/>
          <w:sz w:val="22"/>
          <w:lang w:val="en-US"/>
        </w:rPr>
        <w:t>PwC’s sponsorship highlights the global importance of the IVSC’s work and reflects the significance of global valuation standards in restoring confidence in the financial markets.</w:t>
      </w:r>
    </w:p>
    <w:p w:rsidR="00201296" w:rsidRPr="00201296" w:rsidRDefault="00201296" w:rsidP="00201296">
      <w:pPr>
        <w:rPr>
          <w:rFonts w:cs="Arial"/>
          <w:color w:val="000000"/>
          <w:sz w:val="22"/>
          <w:lang w:val="en-US"/>
        </w:rPr>
      </w:pPr>
    </w:p>
    <w:p w:rsidR="00201296" w:rsidRPr="00201296" w:rsidRDefault="00201296" w:rsidP="00201296">
      <w:pPr>
        <w:rPr>
          <w:rFonts w:cs="Arial"/>
          <w:color w:val="000000"/>
          <w:sz w:val="22"/>
          <w:lang w:val="en-US"/>
        </w:rPr>
      </w:pPr>
      <w:r w:rsidRPr="00201296">
        <w:rPr>
          <w:rFonts w:cs="Arial"/>
          <w:color w:val="000000"/>
          <w:sz w:val="22"/>
          <w:lang w:val="en-US"/>
        </w:rPr>
        <w:t>John Hitchins, Global Chief Accountant at PwC said:</w:t>
      </w:r>
      <w:r>
        <w:rPr>
          <w:rFonts w:cs="Arial"/>
          <w:color w:val="000000"/>
          <w:sz w:val="22"/>
          <w:lang w:val="en-US"/>
        </w:rPr>
        <w:t xml:space="preserve"> </w:t>
      </w:r>
      <w:r w:rsidRPr="00201296">
        <w:rPr>
          <w:rFonts w:cs="Arial"/>
          <w:color w:val="000000"/>
          <w:sz w:val="22"/>
          <w:lang w:val="en-US"/>
        </w:rPr>
        <w:t>“We support the stated objectives of the IVSC, and have been especially encouraged by its recent actions, including the appointment of Sir David Tweedie as the Chairman of the Board of Trustees in September 2012. “Under the vision set out by Sir David, our firm is pleased to help advance the IVSC’s objective to develop high quality international valuation standards and to support their adoption and use.”</w:t>
      </w:r>
    </w:p>
    <w:p w:rsidR="00201296" w:rsidRPr="00201296" w:rsidRDefault="00201296" w:rsidP="00201296">
      <w:pPr>
        <w:rPr>
          <w:rFonts w:cs="Arial"/>
          <w:color w:val="000000"/>
          <w:sz w:val="22"/>
          <w:lang w:val="en-US"/>
        </w:rPr>
      </w:pPr>
    </w:p>
    <w:p w:rsidR="00201296" w:rsidRDefault="00201296" w:rsidP="00201296">
      <w:pPr>
        <w:rPr>
          <w:rFonts w:cs="Arial"/>
          <w:color w:val="000000"/>
          <w:sz w:val="22"/>
          <w:lang w:val="en-US"/>
        </w:rPr>
      </w:pPr>
      <w:r w:rsidRPr="00201296">
        <w:rPr>
          <w:rFonts w:cs="Arial"/>
          <w:color w:val="000000"/>
          <w:sz w:val="22"/>
          <w:lang w:val="en-US"/>
        </w:rPr>
        <w:t>John Glynn, US &amp; Global Valuation Services leader for PwC adds: “The IVSC is positioned to lead the creation of a substantive global valuation technical framework that will help improve the quality and consistency of valuations performed, particularly in the public interest arena such as financial reporting. Accomplishing these goals along with improvements to the professional infrastructure for valuation providers in many countries will allow for better comparability across the financial markets and increased confidence in the valuations performed.”</w:t>
      </w:r>
    </w:p>
    <w:p w:rsidR="00201296" w:rsidRPr="00201296" w:rsidRDefault="00201296" w:rsidP="00201296">
      <w:pPr>
        <w:rPr>
          <w:rFonts w:cs="Arial"/>
          <w:color w:val="000000"/>
          <w:sz w:val="22"/>
          <w:lang w:val="en-US"/>
        </w:rPr>
      </w:pPr>
    </w:p>
    <w:p w:rsidR="00201296" w:rsidRDefault="00201296" w:rsidP="00201296">
      <w:pPr>
        <w:rPr>
          <w:rFonts w:cs="Arial"/>
          <w:color w:val="000000"/>
          <w:sz w:val="22"/>
          <w:lang w:val="en-US"/>
        </w:rPr>
      </w:pPr>
      <w:r w:rsidRPr="00201296">
        <w:rPr>
          <w:rFonts w:cs="Arial"/>
          <w:color w:val="000000"/>
          <w:sz w:val="22"/>
          <w:lang w:val="en-US"/>
        </w:rPr>
        <w:t>Sir David Tweedie, Chairman of the IVSC Board of Trustees comments:</w:t>
      </w:r>
    </w:p>
    <w:p w:rsidR="00201296" w:rsidRPr="00201296" w:rsidRDefault="00201296" w:rsidP="00201296">
      <w:pPr>
        <w:rPr>
          <w:rFonts w:cs="Arial"/>
          <w:color w:val="000000"/>
          <w:sz w:val="22"/>
          <w:lang w:val="en-US"/>
        </w:rPr>
      </w:pPr>
    </w:p>
    <w:p w:rsidR="00201296" w:rsidRDefault="00201296" w:rsidP="00201296">
      <w:pPr>
        <w:rPr>
          <w:rFonts w:cs="Arial"/>
          <w:color w:val="000000"/>
          <w:sz w:val="22"/>
          <w:lang w:val="en-US"/>
        </w:rPr>
      </w:pPr>
      <w:r w:rsidRPr="00201296">
        <w:rPr>
          <w:rFonts w:cs="Arial"/>
          <w:color w:val="000000"/>
          <w:sz w:val="22"/>
          <w:lang w:val="en-US"/>
        </w:rPr>
        <w:t xml:space="preserve">“The agreement by PwC to provide financial support to the IVSC represents a very positive start to 2014. It is tangible evidence of the growing consensus that the IVSC is enhancing trust in valuation – an activity that is a vital component of the global financial system. </w:t>
      </w:r>
    </w:p>
    <w:p w:rsidR="00734829" w:rsidRPr="00201296" w:rsidRDefault="00734829" w:rsidP="00201296">
      <w:pPr>
        <w:rPr>
          <w:rFonts w:cs="Arial"/>
          <w:color w:val="000000"/>
          <w:sz w:val="22"/>
          <w:lang w:val="en-US"/>
        </w:rPr>
      </w:pPr>
      <w:bookmarkStart w:id="0" w:name="_GoBack"/>
      <w:bookmarkEnd w:id="0"/>
    </w:p>
    <w:p w:rsidR="000A6FE3" w:rsidRDefault="00201296" w:rsidP="00201296">
      <w:pPr>
        <w:rPr>
          <w:rFonts w:cs="Arial"/>
          <w:color w:val="000000"/>
          <w:sz w:val="22"/>
          <w:lang w:val="en-US"/>
        </w:rPr>
      </w:pPr>
      <w:r w:rsidRPr="00201296">
        <w:rPr>
          <w:rFonts w:cs="Arial"/>
          <w:color w:val="000000"/>
          <w:sz w:val="22"/>
          <w:lang w:val="en-US"/>
        </w:rPr>
        <w:t xml:space="preserve">“PwC joins a growing list of leading organisations that share the belief that raising standards of international valuation practice benefits the capital markets, contributes to the growth of strong economies around the world, and leads to improved confidence of investors and users of valuation services.” </w:t>
      </w:r>
    </w:p>
    <w:p w:rsidR="000A6FE3" w:rsidRDefault="000A6FE3" w:rsidP="000A6FE3">
      <w:pPr>
        <w:rPr>
          <w:lang w:val="en-US"/>
        </w:rPr>
      </w:pPr>
    </w:p>
    <w:p w:rsidR="00201296" w:rsidRPr="00201296" w:rsidRDefault="00201296" w:rsidP="00201296">
      <w:pPr>
        <w:rPr>
          <w:rFonts w:cs="Arial"/>
          <w:color w:val="000000"/>
          <w:sz w:val="22"/>
          <w:lang w:val="en-US"/>
        </w:rPr>
      </w:pPr>
      <w:r w:rsidRPr="00201296">
        <w:rPr>
          <w:rFonts w:cs="Arial"/>
          <w:color w:val="000000"/>
          <w:sz w:val="22"/>
          <w:lang w:val="en-US"/>
        </w:rPr>
        <w:t>As a sponsor, PwC will provide financial support to the organization and actively contribute to the development and revision of the IVSC’s International Valuation Standards and the advancement of its roadmap for a high quality professional framework around the world.</w:t>
      </w:r>
    </w:p>
    <w:p w:rsidR="00201296" w:rsidRPr="00201296" w:rsidRDefault="00201296" w:rsidP="00201296">
      <w:pPr>
        <w:rPr>
          <w:rFonts w:cs="Arial"/>
          <w:color w:val="000000"/>
          <w:sz w:val="22"/>
          <w:lang w:val="en-US"/>
        </w:rPr>
      </w:pPr>
    </w:p>
    <w:p w:rsidR="00201296" w:rsidRPr="00201296" w:rsidRDefault="00201296" w:rsidP="00201296">
      <w:pPr>
        <w:rPr>
          <w:rFonts w:cs="Arial"/>
          <w:color w:val="000000"/>
          <w:sz w:val="22"/>
          <w:lang w:val="en-US"/>
        </w:rPr>
      </w:pPr>
      <w:r w:rsidRPr="00201296">
        <w:rPr>
          <w:rFonts w:cs="Arial"/>
          <w:color w:val="000000"/>
          <w:sz w:val="22"/>
          <w:lang w:val="en-US"/>
        </w:rPr>
        <w:t>-ENDS-</w:t>
      </w:r>
    </w:p>
    <w:p w:rsidR="00201296" w:rsidRPr="00201296" w:rsidRDefault="00201296" w:rsidP="00201296">
      <w:pPr>
        <w:rPr>
          <w:rFonts w:cs="Arial"/>
          <w:color w:val="000000"/>
          <w:sz w:val="22"/>
          <w:lang w:val="en-US"/>
        </w:rPr>
      </w:pPr>
    </w:p>
    <w:p w:rsidR="00201296" w:rsidRPr="000A6FE3" w:rsidRDefault="00201296" w:rsidP="00201296">
      <w:pPr>
        <w:rPr>
          <w:rFonts w:cs="Arial"/>
          <w:b/>
          <w:color w:val="000000"/>
          <w:sz w:val="22"/>
          <w:lang w:val="en-US"/>
        </w:rPr>
      </w:pPr>
      <w:r w:rsidRPr="000A6FE3">
        <w:rPr>
          <w:rFonts w:cs="Arial"/>
          <w:b/>
          <w:color w:val="000000"/>
          <w:sz w:val="22"/>
          <w:lang w:val="en-US"/>
        </w:rPr>
        <w:t>NOTES TO EDITORS</w:t>
      </w:r>
    </w:p>
    <w:p w:rsidR="00201296" w:rsidRPr="00201296" w:rsidRDefault="00201296" w:rsidP="00201296">
      <w:pPr>
        <w:rPr>
          <w:rFonts w:cs="Arial"/>
          <w:color w:val="000000"/>
          <w:sz w:val="22"/>
          <w:lang w:val="en-US"/>
        </w:rPr>
      </w:pPr>
    </w:p>
    <w:p w:rsidR="00201296" w:rsidRPr="000A6FE3" w:rsidRDefault="00201296" w:rsidP="00201296">
      <w:pPr>
        <w:rPr>
          <w:rFonts w:cs="Arial"/>
          <w:b/>
          <w:color w:val="000000"/>
          <w:sz w:val="22"/>
          <w:lang w:val="en-US"/>
        </w:rPr>
      </w:pPr>
      <w:r w:rsidRPr="000A6FE3">
        <w:rPr>
          <w:rFonts w:cs="Arial"/>
          <w:b/>
          <w:color w:val="000000"/>
          <w:sz w:val="22"/>
          <w:lang w:val="en-US"/>
        </w:rPr>
        <w:t>About the IVSC</w:t>
      </w:r>
    </w:p>
    <w:p w:rsidR="00201296" w:rsidRPr="00201296" w:rsidRDefault="00201296" w:rsidP="00201296">
      <w:pPr>
        <w:rPr>
          <w:rFonts w:cs="Arial"/>
          <w:color w:val="000000"/>
          <w:sz w:val="22"/>
          <w:lang w:val="en-US"/>
        </w:rPr>
      </w:pPr>
    </w:p>
    <w:p w:rsidR="00201296" w:rsidRDefault="00201296" w:rsidP="00201296">
      <w:pPr>
        <w:rPr>
          <w:rFonts w:cs="Arial"/>
          <w:color w:val="000000"/>
          <w:sz w:val="22"/>
          <w:lang w:val="en-US"/>
        </w:rPr>
      </w:pPr>
      <w:r w:rsidRPr="00201296">
        <w:rPr>
          <w:rFonts w:cs="Arial"/>
          <w:color w:val="000000"/>
          <w:sz w:val="22"/>
          <w:lang w:val="en-US"/>
        </w:rPr>
        <w:t xml:space="preserve">The International Valuation Standards Council (IVSC) is an independent, not-for-profit, private sector organisation. As the established international standard setter for valuation, the IVSC develops and maintains standards for the reporting and disclosure of valuations, especially those that will be relied upon by investors and other third party stakeholders in financial statements or other published documents. It also supports the need to develop a framework of guidance on best practice for valuations of the various classes of assets and liabilities and for the consistent delivery of the standards by properly trained professionals around the globe. </w:t>
      </w:r>
    </w:p>
    <w:p w:rsidR="000A6FE3" w:rsidRPr="00201296" w:rsidRDefault="000A6FE3" w:rsidP="00201296">
      <w:pPr>
        <w:rPr>
          <w:rFonts w:cs="Arial"/>
          <w:color w:val="000000"/>
          <w:sz w:val="22"/>
          <w:lang w:val="en-US"/>
        </w:rPr>
      </w:pPr>
    </w:p>
    <w:p w:rsidR="00201296" w:rsidRPr="00201296" w:rsidRDefault="00201296" w:rsidP="00201296">
      <w:pPr>
        <w:rPr>
          <w:rFonts w:cs="Arial"/>
          <w:color w:val="000000"/>
          <w:sz w:val="22"/>
          <w:lang w:val="en-US"/>
        </w:rPr>
      </w:pPr>
      <w:r w:rsidRPr="00201296">
        <w:rPr>
          <w:rFonts w:cs="Arial"/>
          <w:color w:val="000000"/>
          <w:sz w:val="22"/>
          <w:lang w:val="en-US"/>
        </w:rPr>
        <w:t xml:space="preserve">The governance structure of the IVSC includes two independent technical Boards – the International Valuation Standards Board and the International Valuation Professional Board – and a global Board of Trustees responsible for the overall strategic direction and funding of the IVSC. </w:t>
      </w:r>
    </w:p>
    <w:p w:rsidR="00201296" w:rsidRPr="00201296" w:rsidRDefault="00201296" w:rsidP="00201296">
      <w:pPr>
        <w:rPr>
          <w:rFonts w:cs="Arial"/>
          <w:color w:val="000000"/>
          <w:sz w:val="22"/>
          <w:lang w:val="en-US"/>
        </w:rPr>
      </w:pPr>
    </w:p>
    <w:p w:rsidR="00201296" w:rsidRPr="00201296" w:rsidRDefault="00201296" w:rsidP="00201296">
      <w:pPr>
        <w:rPr>
          <w:rFonts w:cs="Arial"/>
          <w:color w:val="000000"/>
          <w:sz w:val="22"/>
          <w:lang w:val="en-US"/>
        </w:rPr>
      </w:pPr>
      <w:r w:rsidRPr="00201296">
        <w:rPr>
          <w:rFonts w:cs="Arial"/>
          <w:color w:val="000000"/>
          <w:sz w:val="22"/>
          <w:lang w:val="en-US"/>
        </w:rPr>
        <w:t>For more information please visit: www.ivsc.org</w:t>
      </w:r>
      <w:r w:rsidR="009D06A6">
        <w:rPr>
          <w:rFonts w:cs="Arial"/>
          <w:color w:val="000000"/>
          <w:sz w:val="22"/>
          <w:lang w:val="en-US"/>
        </w:rPr>
        <w:t>.</w:t>
      </w:r>
      <w:r w:rsidRPr="00201296">
        <w:rPr>
          <w:rFonts w:cs="Arial"/>
          <w:color w:val="000000"/>
          <w:sz w:val="22"/>
          <w:lang w:val="en-US"/>
        </w:rPr>
        <w:t xml:space="preserve"> </w:t>
      </w:r>
    </w:p>
    <w:p w:rsidR="00201296" w:rsidRPr="00201296" w:rsidRDefault="00201296" w:rsidP="00201296">
      <w:pPr>
        <w:rPr>
          <w:rFonts w:cs="Arial"/>
          <w:color w:val="000000"/>
          <w:sz w:val="22"/>
          <w:lang w:val="en-US"/>
        </w:rPr>
      </w:pPr>
    </w:p>
    <w:p w:rsidR="00201296" w:rsidRPr="000A6FE3" w:rsidRDefault="00201296" w:rsidP="00201296">
      <w:pPr>
        <w:rPr>
          <w:rFonts w:cs="Arial"/>
          <w:b/>
          <w:color w:val="000000"/>
          <w:sz w:val="22"/>
          <w:lang w:val="en-US"/>
        </w:rPr>
      </w:pPr>
      <w:r w:rsidRPr="000A6FE3">
        <w:rPr>
          <w:rFonts w:cs="Arial"/>
          <w:b/>
          <w:color w:val="000000"/>
          <w:sz w:val="22"/>
          <w:lang w:val="en-US"/>
        </w:rPr>
        <w:t>About PwC</w:t>
      </w:r>
    </w:p>
    <w:p w:rsidR="000A6FE3" w:rsidRPr="00201296" w:rsidRDefault="000A6FE3" w:rsidP="00201296">
      <w:pPr>
        <w:rPr>
          <w:rFonts w:cs="Arial"/>
          <w:color w:val="000000"/>
          <w:sz w:val="22"/>
          <w:lang w:val="en-US"/>
        </w:rPr>
      </w:pPr>
    </w:p>
    <w:p w:rsidR="000A6FE3" w:rsidRDefault="000A6FE3" w:rsidP="00201296">
      <w:pPr>
        <w:rPr>
          <w:rFonts w:cs="Arial"/>
          <w:color w:val="000000"/>
          <w:sz w:val="22"/>
          <w:lang w:val="en-US"/>
        </w:rPr>
      </w:pPr>
      <w:r w:rsidRPr="000A6FE3">
        <w:rPr>
          <w:rFonts w:cs="Arial"/>
          <w:color w:val="000000"/>
          <w:sz w:val="22"/>
          <w:lang w:val="en-US"/>
        </w:rPr>
        <w:t xml:space="preserve">PwC helps organisations and individuals create the value they’re looking for. We’re a network of firms in 157 countries with over 184,000 people who are committed to delivering quality in assurance, tax and advisory services. Tell us what matters to you and find out more by visiting us at </w:t>
      </w:r>
      <w:hyperlink r:id="rId10" w:history="1">
        <w:r w:rsidRPr="00905F27">
          <w:rPr>
            <w:rStyle w:val="Hyperlink"/>
            <w:rFonts w:cs="Arial"/>
            <w:sz w:val="22"/>
            <w:lang w:val="en-US"/>
          </w:rPr>
          <w:t>www.pwc.com</w:t>
        </w:r>
      </w:hyperlink>
      <w:r w:rsidRPr="000A6FE3">
        <w:rPr>
          <w:rFonts w:cs="Arial"/>
          <w:color w:val="000000"/>
          <w:sz w:val="22"/>
          <w:lang w:val="en-US"/>
        </w:rPr>
        <w:t>.</w:t>
      </w:r>
    </w:p>
    <w:p w:rsidR="000A6FE3" w:rsidRDefault="000A6FE3" w:rsidP="00201296">
      <w:pPr>
        <w:rPr>
          <w:rFonts w:cs="Arial"/>
          <w:color w:val="000000"/>
          <w:sz w:val="22"/>
          <w:lang w:val="en-US"/>
        </w:rPr>
      </w:pPr>
    </w:p>
    <w:p w:rsidR="00201296" w:rsidRPr="00201296" w:rsidRDefault="00201296" w:rsidP="00201296">
      <w:pPr>
        <w:rPr>
          <w:rFonts w:cs="Arial"/>
          <w:color w:val="000000"/>
          <w:sz w:val="22"/>
          <w:lang w:val="en-US"/>
        </w:rPr>
      </w:pPr>
      <w:r w:rsidRPr="00201296">
        <w:rPr>
          <w:rFonts w:cs="Arial"/>
          <w:color w:val="000000"/>
          <w:sz w:val="22"/>
          <w:lang w:val="en-US"/>
        </w:rPr>
        <w:t xml:space="preserve">Tell us what matters to you and find out more by visiting us at www.pwc.com. </w:t>
      </w:r>
    </w:p>
    <w:p w:rsidR="00201296" w:rsidRPr="00201296" w:rsidRDefault="00201296" w:rsidP="00201296">
      <w:pPr>
        <w:rPr>
          <w:rFonts w:cs="Arial"/>
          <w:color w:val="000000"/>
          <w:sz w:val="22"/>
          <w:lang w:val="en-US"/>
        </w:rPr>
      </w:pPr>
    </w:p>
    <w:p w:rsidR="005530E0" w:rsidRDefault="00201296" w:rsidP="00201296">
      <w:pPr>
        <w:rPr>
          <w:rFonts w:cs="Arial"/>
          <w:color w:val="000000"/>
          <w:sz w:val="22"/>
          <w:lang w:val="en-US"/>
        </w:rPr>
      </w:pPr>
      <w:r w:rsidRPr="00201296">
        <w:rPr>
          <w:rFonts w:cs="Arial"/>
          <w:color w:val="000000"/>
          <w:sz w:val="22"/>
          <w:lang w:val="en-US"/>
        </w:rPr>
        <w:t>PwC’s point of view regarding the need for global valuation standards and a strengthened valuation professional framework were recently published in two position papers titled, Global valuation standards: Charting a course for the future, and The Valuation Profession, At a Crossroads. For more information, visit us online at www.pwc.com.</w:t>
      </w:r>
    </w:p>
    <w:p w:rsidR="005530E0" w:rsidRPr="009B44D7" w:rsidRDefault="005530E0">
      <w:pPr>
        <w:rPr>
          <w:rFonts w:cs="Arial"/>
          <w:color w:val="000000"/>
          <w:sz w:val="22"/>
          <w:lang w:val="en-US"/>
        </w:rPr>
      </w:pPr>
    </w:p>
    <w:p w:rsidR="00D3331D" w:rsidRPr="00C455D8" w:rsidRDefault="00D3331D" w:rsidP="00027896">
      <w:pPr>
        <w:spacing w:line="240" w:lineRule="auto"/>
        <w:rPr>
          <w:szCs w:val="20"/>
        </w:rPr>
      </w:pPr>
      <w:r w:rsidRPr="00C455D8">
        <w:rPr>
          <w:szCs w:val="20"/>
        </w:rPr>
        <w:t>©201</w:t>
      </w:r>
      <w:r w:rsidR="00156132" w:rsidRPr="00C455D8">
        <w:rPr>
          <w:szCs w:val="20"/>
        </w:rPr>
        <w:t>4</w:t>
      </w:r>
      <w:r w:rsidRPr="00C455D8">
        <w:rPr>
          <w:szCs w:val="20"/>
        </w:rPr>
        <w:t xml:space="preserve"> PwC. All rights reserved</w:t>
      </w:r>
    </w:p>
    <w:p w:rsidR="00D3331D" w:rsidRPr="00C455D8" w:rsidRDefault="00D3331D" w:rsidP="009D06A6">
      <w:pPr>
        <w:spacing w:line="240" w:lineRule="auto"/>
        <w:rPr>
          <w:szCs w:val="20"/>
        </w:rPr>
      </w:pPr>
    </w:p>
    <w:p w:rsidR="00D3331D" w:rsidRPr="00C455D8" w:rsidRDefault="00D3331D" w:rsidP="00027896">
      <w:pPr>
        <w:spacing w:line="240" w:lineRule="auto"/>
        <w:rPr>
          <w:szCs w:val="20"/>
        </w:rPr>
      </w:pPr>
      <w:r w:rsidRPr="00C455D8">
        <w:rPr>
          <w:szCs w:val="20"/>
        </w:rPr>
        <w:t>PwC refers to the PwC network and/or one or more of its member firms, each of which is a separate legal entity. Please see www.pwc.com/structure for further details.</w:t>
      </w:r>
    </w:p>
    <w:p w:rsidR="00FC4CAF" w:rsidRPr="009B44D7" w:rsidRDefault="00FC4CAF">
      <w:pPr>
        <w:pStyle w:val="NormalWeb"/>
        <w:spacing w:before="0" w:beforeAutospacing="0" w:after="0" w:afterAutospacing="0"/>
        <w:rPr>
          <w:rFonts w:ascii="Georgia" w:hAnsi="Georgia"/>
          <w:sz w:val="22"/>
          <w:szCs w:val="22"/>
          <w:lang w:val="en-GB"/>
        </w:rPr>
      </w:pPr>
    </w:p>
    <w:sectPr w:rsidR="00FC4CAF" w:rsidRPr="009B44D7" w:rsidSect="001C396E">
      <w:headerReference w:type="even" r:id="rId11"/>
      <w:headerReference w:type="default" r:id="rId12"/>
      <w:footerReference w:type="even" r:id="rId13"/>
      <w:footerReference w:type="default" r:id="rId14"/>
      <w:headerReference w:type="first" r:id="rId15"/>
      <w:pgSz w:w="11907" w:h="16839"/>
      <w:pgMar w:top="2880" w:right="850" w:bottom="720" w:left="1984"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921" w:rsidRDefault="00D01921">
      <w:pPr>
        <w:spacing w:line="240" w:lineRule="auto"/>
      </w:pPr>
      <w:r>
        <w:separator/>
      </w:r>
    </w:p>
  </w:endnote>
  <w:endnote w:type="continuationSeparator" w:id="0">
    <w:p w:rsidR="00D01921" w:rsidRDefault="00D019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28" w:rsidRDefault="00E80E28">
    <w:pPr>
      <w:pStyle w:val="Footer"/>
    </w:pPr>
    <w:r>
      <w:fldChar w:fldCharType="begin"/>
    </w:r>
    <w:r>
      <w:instrText xml:space="preserve"> PAGE  \* MERGEFORMAT </w:instrText>
    </w:r>
    <w:r>
      <w:fldChar w:fldCharType="separate"/>
    </w:r>
    <w:r w:rsidR="00734829">
      <w:rPr>
        <w:noProof/>
      </w:rPr>
      <w:t>2</w:t>
    </w:r>
    <w:r>
      <w:rPr>
        <w:noProof/>
      </w:rPr>
      <w:fldChar w:fldCharType="end"/>
    </w:r>
    <w:r>
      <w:t xml:space="preserve"> of </w:t>
    </w:r>
    <w:r w:rsidR="00D01921">
      <w:fldChar w:fldCharType="begin"/>
    </w:r>
    <w:r w:rsidR="00D01921">
      <w:instrText xml:space="preserve"> NUMPAGES  \* MERGEFORMAT </w:instrText>
    </w:r>
    <w:r w:rsidR="00D01921">
      <w:fldChar w:fldCharType="separate"/>
    </w:r>
    <w:r w:rsidR="00734829">
      <w:rPr>
        <w:noProof/>
      </w:rPr>
      <w:t>2</w:t>
    </w:r>
    <w:r w:rsidR="00D0192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28" w:rsidRDefault="00E80E28">
    <w:pPr>
      <w:pStyle w:val="Footer"/>
    </w:pPr>
    <w:r>
      <w:fldChar w:fldCharType="begin"/>
    </w:r>
    <w:r>
      <w:instrText xml:space="preserve"> PAGE  \* MERGEFORMAT </w:instrText>
    </w:r>
    <w:r>
      <w:fldChar w:fldCharType="separate"/>
    </w:r>
    <w:r w:rsidR="000A6FE3">
      <w:rPr>
        <w:noProof/>
      </w:rPr>
      <w:t>3</w:t>
    </w:r>
    <w:r>
      <w:rPr>
        <w:noProof/>
      </w:rPr>
      <w:fldChar w:fldCharType="end"/>
    </w:r>
    <w:r>
      <w:t xml:space="preserve"> of </w:t>
    </w:r>
    <w:r w:rsidR="00D01921">
      <w:fldChar w:fldCharType="begin"/>
    </w:r>
    <w:r w:rsidR="00D01921">
      <w:instrText xml:space="preserve"> NUMPAGES  \* MERGEFORMAT </w:instrText>
    </w:r>
    <w:r w:rsidR="00D01921">
      <w:fldChar w:fldCharType="separate"/>
    </w:r>
    <w:r w:rsidR="000A6FE3">
      <w:rPr>
        <w:noProof/>
      </w:rPr>
      <w:t>3</w:t>
    </w:r>
    <w:r w:rsidR="00D0192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921" w:rsidRDefault="00D01921">
      <w:pPr>
        <w:spacing w:line="240" w:lineRule="auto"/>
      </w:pPr>
      <w:r>
        <w:separator/>
      </w:r>
    </w:p>
  </w:footnote>
  <w:footnote w:type="continuationSeparator" w:id="0">
    <w:p w:rsidR="00D01921" w:rsidRDefault="00D019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28" w:rsidRDefault="00E80E28">
    <w:pPr>
      <w:pStyle w:val="Header"/>
    </w:pPr>
    <w:r>
      <w:rPr>
        <w:noProof/>
        <w:lang w:val="en-US"/>
      </w:rPr>
      <w:drawing>
        <wp:anchor distT="0" distB="0" distL="114300" distR="114300" simplePos="0" relativeHeight="251658752" behindDoc="0" locked="1" layoutInCell="1" allowOverlap="1" wp14:anchorId="18A7CF45" wp14:editId="78C73FDD">
          <wp:simplePos x="0" y="0"/>
          <wp:positionH relativeFrom="page">
            <wp:posOffset>431165</wp:posOffset>
          </wp:positionH>
          <wp:positionV relativeFrom="page">
            <wp:posOffset>490855</wp:posOffset>
          </wp:positionV>
          <wp:extent cx="1410970" cy="12687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E80E28" w:rsidRDefault="00E80E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28" w:rsidRDefault="00E80E28">
    <w:pPr>
      <w:pStyle w:val="Header"/>
    </w:pPr>
    <w:r>
      <w:rPr>
        <w:noProof/>
        <w:lang w:val="en-US"/>
      </w:rPr>
      <w:drawing>
        <wp:anchor distT="0" distB="0" distL="114300" distR="114300" simplePos="0" relativeHeight="251657728" behindDoc="0" locked="1" layoutInCell="1" allowOverlap="1" wp14:anchorId="0EE9EB2A" wp14:editId="3EEF50B2">
          <wp:simplePos x="0" y="0"/>
          <wp:positionH relativeFrom="page">
            <wp:posOffset>431165</wp:posOffset>
          </wp:positionH>
          <wp:positionV relativeFrom="page">
            <wp:posOffset>490855</wp:posOffset>
          </wp:positionV>
          <wp:extent cx="1410970" cy="12687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E80E28" w:rsidRDefault="00E80E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28" w:rsidRDefault="00E80E28">
    <w:pPr>
      <w:pStyle w:val="Header"/>
    </w:pPr>
    <w:r>
      <w:rPr>
        <w:noProof/>
        <w:lang w:val="en-US"/>
      </w:rPr>
      <w:drawing>
        <wp:anchor distT="0" distB="0" distL="114300" distR="114300" simplePos="0" relativeHeight="251656704" behindDoc="0" locked="1" layoutInCell="1" allowOverlap="1" wp14:anchorId="7DF79D78" wp14:editId="1F60F883">
          <wp:simplePos x="0" y="0"/>
          <wp:positionH relativeFrom="page">
            <wp:posOffset>431165</wp:posOffset>
          </wp:positionH>
          <wp:positionV relativeFrom="page">
            <wp:posOffset>490855</wp:posOffset>
          </wp:positionV>
          <wp:extent cx="1410970" cy="1268730"/>
          <wp:effectExtent l="0" t="0" r="0" b="0"/>
          <wp:wrapNone/>
          <wp:docPr id="15"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018F6D18"/>
    <w:multiLevelType w:val="hybridMultilevel"/>
    <w:tmpl w:val="76B6A92A"/>
    <w:lvl w:ilvl="0" w:tplc="0807000F">
      <w:start w:val="1"/>
      <w:numFmt w:val="decimal"/>
      <w:lvlText w:val="%1."/>
      <w:lvlJc w:val="left"/>
      <w:pPr>
        <w:ind w:left="756" w:hanging="360"/>
      </w:pPr>
    </w:lvl>
    <w:lvl w:ilvl="1" w:tplc="08070019" w:tentative="1">
      <w:start w:val="1"/>
      <w:numFmt w:val="lowerLetter"/>
      <w:lvlText w:val="%2."/>
      <w:lvlJc w:val="left"/>
      <w:pPr>
        <w:ind w:left="1476" w:hanging="360"/>
      </w:pPr>
    </w:lvl>
    <w:lvl w:ilvl="2" w:tplc="0807001B" w:tentative="1">
      <w:start w:val="1"/>
      <w:numFmt w:val="lowerRoman"/>
      <w:lvlText w:val="%3."/>
      <w:lvlJc w:val="right"/>
      <w:pPr>
        <w:ind w:left="2196" w:hanging="180"/>
      </w:pPr>
    </w:lvl>
    <w:lvl w:ilvl="3" w:tplc="0807000F" w:tentative="1">
      <w:start w:val="1"/>
      <w:numFmt w:val="decimal"/>
      <w:lvlText w:val="%4."/>
      <w:lvlJc w:val="left"/>
      <w:pPr>
        <w:ind w:left="2916" w:hanging="360"/>
      </w:pPr>
    </w:lvl>
    <w:lvl w:ilvl="4" w:tplc="08070019" w:tentative="1">
      <w:start w:val="1"/>
      <w:numFmt w:val="lowerLetter"/>
      <w:lvlText w:val="%5."/>
      <w:lvlJc w:val="left"/>
      <w:pPr>
        <w:ind w:left="3636" w:hanging="360"/>
      </w:pPr>
    </w:lvl>
    <w:lvl w:ilvl="5" w:tplc="0807001B" w:tentative="1">
      <w:start w:val="1"/>
      <w:numFmt w:val="lowerRoman"/>
      <w:lvlText w:val="%6."/>
      <w:lvlJc w:val="right"/>
      <w:pPr>
        <w:ind w:left="4356" w:hanging="180"/>
      </w:pPr>
    </w:lvl>
    <w:lvl w:ilvl="6" w:tplc="0807000F" w:tentative="1">
      <w:start w:val="1"/>
      <w:numFmt w:val="decimal"/>
      <w:lvlText w:val="%7."/>
      <w:lvlJc w:val="left"/>
      <w:pPr>
        <w:ind w:left="5076" w:hanging="360"/>
      </w:pPr>
    </w:lvl>
    <w:lvl w:ilvl="7" w:tplc="08070019" w:tentative="1">
      <w:start w:val="1"/>
      <w:numFmt w:val="lowerLetter"/>
      <w:lvlText w:val="%8."/>
      <w:lvlJc w:val="left"/>
      <w:pPr>
        <w:ind w:left="5796" w:hanging="360"/>
      </w:pPr>
    </w:lvl>
    <w:lvl w:ilvl="8" w:tplc="0807001B" w:tentative="1">
      <w:start w:val="1"/>
      <w:numFmt w:val="lowerRoman"/>
      <w:lvlText w:val="%9."/>
      <w:lvlJc w:val="right"/>
      <w:pPr>
        <w:ind w:left="6516" w:hanging="180"/>
      </w:pPr>
    </w:lvl>
  </w:abstractNum>
  <w:abstractNum w:abstractNumId="11">
    <w:nsid w:val="04A14E5D"/>
    <w:multiLevelType w:val="hybridMultilevel"/>
    <w:tmpl w:val="DEF4F5D6"/>
    <w:lvl w:ilvl="0" w:tplc="1702054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3">
    <w:nsid w:val="26E72A0D"/>
    <w:multiLevelType w:val="hybridMultilevel"/>
    <w:tmpl w:val="8110EAB8"/>
    <w:lvl w:ilvl="0" w:tplc="64D264B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8868B0"/>
    <w:multiLevelType w:val="hybridMultilevel"/>
    <w:tmpl w:val="F4CE3CDC"/>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48D179A"/>
    <w:multiLevelType w:val="hybridMultilevel"/>
    <w:tmpl w:val="E6A4BF50"/>
    <w:lvl w:ilvl="0" w:tplc="0807000F">
      <w:start w:val="1"/>
      <w:numFmt w:val="decimal"/>
      <w:lvlText w:val="%1."/>
      <w:lvlJc w:val="left"/>
      <w:pPr>
        <w:ind w:left="756" w:hanging="360"/>
      </w:pPr>
    </w:lvl>
    <w:lvl w:ilvl="1" w:tplc="08070019" w:tentative="1">
      <w:start w:val="1"/>
      <w:numFmt w:val="lowerLetter"/>
      <w:lvlText w:val="%2."/>
      <w:lvlJc w:val="left"/>
      <w:pPr>
        <w:ind w:left="1476" w:hanging="360"/>
      </w:pPr>
    </w:lvl>
    <w:lvl w:ilvl="2" w:tplc="0807001B" w:tentative="1">
      <w:start w:val="1"/>
      <w:numFmt w:val="lowerRoman"/>
      <w:lvlText w:val="%3."/>
      <w:lvlJc w:val="right"/>
      <w:pPr>
        <w:ind w:left="2196" w:hanging="180"/>
      </w:pPr>
    </w:lvl>
    <w:lvl w:ilvl="3" w:tplc="0807000F" w:tentative="1">
      <w:start w:val="1"/>
      <w:numFmt w:val="decimal"/>
      <w:lvlText w:val="%4."/>
      <w:lvlJc w:val="left"/>
      <w:pPr>
        <w:ind w:left="2916" w:hanging="360"/>
      </w:pPr>
    </w:lvl>
    <w:lvl w:ilvl="4" w:tplc="08070019" w:tentative="1">
      <w:start w:val="1"/>
      <w:numFmt w:val="lowerLetter"/>
      <w:lvlText w:val="%5."/>
      <w:lvlJc w:val="left"/>
      <w:pPr>
        <w:ind w:left="3636" w:hanging="360"/>
      </w:pPr>
    </w:lvl>
    <w:lvl w:ilvl="5" w:tplc="0807001B" w:tentative="1">
      <w:start w:val="1"/>
      <w:numFmt w:val="lowerRoman"/>
      <w:lvlText w:val="%6."/>
      <w:lvlJc w:val="right"/>
      <w:pPr>
        <w:ind w:left="4356" w:hanging="180"/>
      </w:pPr>
    </w:lvl>
    <w:lvl w:ilvl="6" w:tplc="0807000F" w:tentative="1">
      <w:start w:val="1"/>
      <w:numFmt w:val="decimal"/>
      <w:lvlText w:val="%7."/>
      <w:lvlJc w:val="left"/>
      <w:pPr>
        <w:ind w:left="5076" w:hanging="360"/>
      </w:pPr>
    </w:lvl>
    <w:lvl w:ilvl="7" w:tplc="08070019" w:tentative="1">
      <w:start w:val="1"/>
      <w:numFmt w:val="lowerLetter"/>
      <w:lvlText w:val="%8."/>
      <w:lvlJc w:val="left"/>
      <w:pPr>
        <w:ind w:left="5796" w:hanging="360"/>
      </w:pPr>
    </w:lvl>
    <w:lvl w:ilvl="8" w:tplc="0807001B" w:tentative="1">
      <w:start w:val="1"/>
      <w:numFmt w:val="lowerRoman"/>
      <w:lvlText w:val="%9."/>
      <w:lvlJc w:val="right"/>
      <w:pPr>
        <w:ind w:left="6516" w:hanging="180"/>
      </w:pPr>
    </w:lvl>
  </w:abstractNum>
  <w:abstractNum w:abstractNumId="16">
    <w:nsid w:val="4659139E"/>
    <w:multiLevelType w:val="hybridMultilevel"/>
    <w:tmpl w:val="3DB841CA"/>
    <w:lvl w:ilvl="0" w:tplc="6FCC793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430D34"/>
    <w:multiLevelType w:val="hybridMultilevel"/>
    <w:tmpl w:val="C59CA326"/>
    <w:lvl w:ilvl="0" w:tplc="E57435FE">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B714479"/>
    <w:multiLevelType w:val="hybridMultilevel"/>
    <w:tmpl w:val="25F6C006"/>
    <w:lvl w:ilvl="0" w:tplc="0409000F">
      <w:start w:val="1"/>
      <w:numFmt w:val="decimal"/>
      <w:lvlText w:val="%1."/>
      <w:lvlJc w:val="left"/>
      <w:pPr>
        <w:tabs>
          <w:tab w:val="num" w:pos="720"/>
        </w:tabs>
        <w:ind w:left="720" w:hanging="360"/>
      </w:pPr>
      <w:rPr>
        <w:rFonts w:hint="default"/>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9">
    <w:nsid w:val="759C38D7"/>
    <w:multiLevelType w:val="hybridMultilevel"/>
    <w:tmpl w:val="4C6E9340"/>
    <w:lvl w:ilvl="0" w:tplc="55D68D4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8"/>
  </w:num>
  <w:num w:numId="14">
    <w:abstractNumId w:val="15"/>
  </w:num>
  <w:num w:numId="15">
    <w:abstractNumId w:val="10"/>
  </w:num>
  <w:num w:numId="16">
    <w:abstractNumId w:val="14"/>
  </w:num>
  <w:num w:numId="17">
    <w:abstractNumId w:val="11"/>
  </w:num>
  <w:num w:numId="18">
    <w:abstractNumId w:val="17"/>
  </w:num>
  <w:num w:numId="19">
    <w:abstractNumId w:val="16"/>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AF"/>
    <w:rsid w:val="0000638A"/>
    <w:rsid w:val="00011BB5"/>
    <w:rsid w:val="00027896"/>
    <w:rsid w:val="00090E6A"/>
    <w:rsid w:val="000A6FE3"/>
    <w:rsid w:val="000C2CCC"/>
    <w:rsid w:val="000D0998"/>
    <w:rsid w:val="000D1997"/>
    <w:rsid w:val="000D4747"/>
    <w:rsid w:val="00104B42"/>
    <w:rsid w:val="0011238C"/>
    <w:rsid w:val="00116303"/>
    <w:rsid w:val="00116C4E"/>
    <w:rsid w:val="00140BE6"/>
    <w:rsid w:val="00156132"/>
    <w:rsid w:val="00170DCD"/>
    <w:rsid w:val="0017358B"/>
    <w:rsid w:val="00177529"/>
    <w:rsid w:val="0018056A"/>
    <w:rsid w:val="0018648B"/>
    <w:rsid w:val="001A7CFC"/>
    <w:rsid w:val="001B1D3F"/>
    <w:rsid w:val="001C396E"/>
    <w:rsid w:val="001D1455"/>
    <w:rsid w:val="001E08A2"/>
    <w:rsid w:val="001E1AC3"/>
    <w:rsid w:val="001F2C9F"/>
    <w:rsid w:val="001F344E"/>
    <w:rsid w:val="001F75B8"/>
    <w:rsid w:val="00201296"/>
    <w:rsid w:val="00211277"/>
    <w:rsid w:val="00230438"/>
    <w:rsid w:val="0023123E"/>
    <w:rsid w:val="00242323"/>
    <w:rsid w:val="00243D25"/>
    <w:rsid w:val="00252460"/>
    <w:rsid w:val="002728BE"/>
    <w:rsid w:val="0028188B"/>
    <w:rsid w:val="002904A6"/>
    <w:rsid w:val="002C316D"/>
    <w:rsid w:val="002D4DDA"/>
    <w:rsid w:val="002D62F3"/>
    <w:rsid w:val="002E744C"/>
    <w:rsid w:val="002F69B7"/>
    <w:rsid w:val="00321CA6"/>
    <w:rsid w:val="003252A4"/>
    <w:rsid w:val="00326A25"/>
    <w:rsid w:val="00335B35"/>
    <w:rsid w:val="00337844"/>
    <w:rsid w:val="00361D96"/>
    <w:rsid w:val="0038145E"/>
    <w:rsid w:val="003A266E"/>
    <w:rsid w:val="003B288D"/>
    <w:rsid w:val="003C7432"/>
    <w:rsid w:val="003E2034"/>
    <w:rsid w:val="003E2100"/>
    <w:rsid w:val="003E4245"/>
    <w:rsid w:val="003F50D7"/>
    <w:rsid w:val="00437C05"/>
    <w:rsid w:val="00440DE0"/>
    <w:rsid w:val="00441661"/>
    <w:rsid w:val="00472B3F"/>
    <w:rsid w:val="00490282"/>
    <w:rsid w:val="004A7C71"/>
    <w:rsid w:val="004B5EAA"/>
    <w:rsid w:val="004B6F98"/>
    <w:rsid w:val="004C24C2"/>
    <w:rsid w:val="004D0094"/>
    <w:rsid w:val="004F6B1D"/>
    <w:rsid w:val="00540001"/>
    <w:rsid w:val="00540D89"/>
    <w:rsid w:val="0054261F"/>
    <w:rsid w:val="00545AA0"/>
    <w:rsid w:val="005530E0"/>
    <w:rsid w:val="00561FC9"/>
    <w:rsid w:val="00566EBD"/>
    <w:rsid w:val="00572EF8"/>
    <w:rsid w:val="00593FD1"/>
    <w:rsid w:val="00595682"/>
    <w:rsid w:val="005B4ED5"/>
    <w:rsid w:val="005C2F82"/>
    <w:rsid w:val="005C3E42"/>
    <w:rsid w:val="005E5FCE"/>
    <w:rsid w:val="005F44BE"/>
    <w:rsid w:val="00640CAF"/>
    <w:rsid w:val="00671743"/>
    <w:rsid w:val="006814E8"/>
    <w:rsid w:val="00684458"/>
    <w:rsid w:val="006A0D2D"/>
    <w:rsid w:val="006A2ACF"/>
    <w:rsid w:val="006A3A2E"/>
    <w:rsid w:val="006B518B"/>
    <w:rsid w:val="006C773B"/>
    <w:rsid w:val="006D2A02"/>
    <w:rsid w:val="006D518C"/>
    <w:rsid w:val="00700C89"/>
    <w:rsid w:val="00704113"/>
    <w:rsid w:val="00717F12"/>
    <w:rsid w:val="00734829"/>
    <w:rsid w:val="0073725B"/>
    <w:rsid w:val="0076193F"/>
    <w:rsid w:val="00762CDB"/>
    <w:rsid w:val="007656D2"/>
    <w:rsid w:val="00774F9C"/>
    <w:rsid w:val="007815EB"/>
    <w:rsid w:val="0078639A"/>
    <w:rsid w:val="00786D6B"/>
    <w:rsid w:val="0079319F"/>
    <w:rsid w:val="007A69FD"/>
    <w:rsid w:val="007B71D9"/>
    <w:rsid w:val="007C47ED"/>
    <w:rsid w:val="0080226E"/>
    <w:rsid w:val="00802E10"/>
    <w:rsid w:val="008136CB"/>
    <w:rsid w:val="00822D7B"/>
    <w:rsid w:val="00822DD4"/>
    <w:rsid w:val="00836599"/>
    <w:rsid w:val="00845DEA"/>
    <w:rsid w:val="00853920"/>
    <w:rsid w:val="00876217"/>
    <w:rsid w:val="00885765"/>
    <w:rsid w:val="008B0DB1"/>
    <w:rsid w:val="008E3316"/>
    <w:rsid w:val="009174BC"/>
    <w:rsid w:val="00941ABC"/>
    <w:rsid w:val="0094444E"/>
    <w:rsid w:val="00945336"/>
    <w:rsid w:val="009516C4"/>
    <w:rsid w:val="00953F26"/>
    <w:rsid w:val="00962CD4"/>
    <w:rsid w:val="009B44D7"/>
    <w:rsid w:val="009C0E9D"/>
    <w:rsid w:val="009D06A6"/>
    <w:rsid w:val="009D0CBE"/>
    <w:rsid w:val="009D63A9"/>
    <w:rsid w:val="009E4D39"/>
    <w:rsid w:val="00A02909"/>
    <w:rsid w:val="00A14C92"/>
    <w:rsid w:val="00A26FCD"/>
    <w:rsid w:val="00A77EEF"/>
    <w:rsid w:val="00AB7B25"/>
    <w:rsid w:val="00AC1562"/>
    <w:rsid w:val="00AD0341"/>
    <w:rsid w:val="00B04857"/>
    <w:rsid w:val="00B2704C"/>
    <w:rsid w:val="00B32A6D"/>
    <w:rsid w:val="00B732F6"/>
    <w:rsid w:val="00BB5712"/>
    <w:rsid w:val="00BD1B80"/>
    <w:rsid w:val="00BF7C9C"/>
    <w:rsid w:val="00C02A9E"/>
    <w:rsid w:val="00C07982"/>
    <w:rsid w:val="00C1256C"/>
    <w:rsid w:val="00C15E32"/>
    <w:rsid w:val="00C336A9"/>
    <w:rsid w:val="00C35D5E"/>
    <w:rsid w:val="00C4070A"/>
    <w:rsid w:val="00C455D8"/>
    <w:rsid w:val="00C53CC8"/>
    <w:rsid w:val="00C57861"/>
    <w:rsid w:val="00C61436"/>
    <w:rsid w:val="00C62240"/>
    <w:rsid w:val="00C71296"/>
    <w:rsid w:val="00C748C3"/>
    <w:rsid w:val="00C83CCD"/>
    <w:rsid w:val="00CA4B59"/>
    <w:rsid w:val="00CC6DF8"/>
    <w:rsid w:val="00CD0953"/>
    <w:rsid w:val="00CD1A43"/>
    <w:rsid w:val="00CD5508"/>
    <w:rsid w:val="00CF05F6"/>
    <w:rsid w:val="00D0159A"/>
    <w:rsid w:val="00D01921"/>
    <w:rsid w:val="00D10A37"/>
    <w:rsid w:val="00D26CB4"/>
    <w:rsid w:val="00D3331D"/>
    <w:rsid w:val="00D760A5"/>
    <w:rsid w:val="00D8385A"/>
    <w:rsid w:val="00D933BA"/>
    <w:rsid w:val="00D973EE"/>
    <w:rsid w:val="00D979B4"/>
    <w:rsid w:val="00DA556C"/>
    <w:rsid w:val="00DC29EE"/>
    <w:rsid w:val="00DE3F98"/>
    <w:rsid w:val="00E00E86"/>
    <w:rsid w:val="00E063E4"/>
    <w:rsid w:val="00E21086"/>
    <w:rsid w:val="00E31C83"/>
    <w:rsid w:val="00E47FB6"/>
    <w:rsid w:val="00E80E28"/>
    <w:rsid w:val="00E972BC"/>
    <w:rsid w:val="00EB13D8"/>
    <w:rsid w:val="00EB38F5"/>
    <w:rsid w:val="00EC5464"/>
    <w:rsid w:val="00EF2093"/>
    <w:rsid w:val="00EF6B02"/>
    <w:rsid w:val="00F10720"/>
    <w:rsid w:val="00F20FDB"/>
    <w:rsid w:val="00F24DDB"/>
    <w:rsid w:val="00F2572A"/>
    <w:rsid w:val="00F25AA0"/>
    <w:rsid w:val="00F474DC"/>
    <w:rsid w:val="00F737C5"/>
    <w:rsid w:val="00F85A11"/>
    <w:rsid w:val="00F969EB"/>
    <w:rsid w:val="00FA07D2"/>
    <w:rsid w:val="00FA380D"/>
    <w:rsid w:val="00FB3A07"/>
    <w:rsid w:val="00FC18C3"/>
    <w:rsid w:val="00FC4CAF"/>
    <w:rsid w:val="00FD5AFA"/>
    <w:rsid w:val="00FE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AF"/>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FC4CAF"/>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CAF"/>
    <w:rPr>
      <w:rFonts w:ascii="Cambria" w:hAnsi="Cambria" w:cs="Times New Roman"/>
      <w:b/>
      <w:bCs/>
      <w:kern w:val="32"/>
      <w:sz w:val="32"/>
      <w:szCs w:val="32"/>
    </w:rPr>
  </w:style>
  <w:style w:type="paragraph" w:styleId="Header">
    <w:name w:val="header"/>
    <w:basedOn w:val="Normal"/>
    <w:link w:val="HeaderChar"/>
    <w:uiPriority w:val="99"/>
    <w:semiHidden/>
    <w:rsid w:val="00FC4CAF"/>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FC4CAF"/>
    <w:rPr>
      <w:rFonts w:cs="Times New Roman"/>
    </w:rPr>
  </w:style>
  <w:style w:type="paragraph" w:styleId="Footer">
    <w:name w:val="footer"/>
    <w:basedOn w:val="Normal"/>
    <w:link w:val="FooterChar"/>
    <w:uiPriority w:val="99"/>
    <w:semiHidden/>
    <w:rsid w:val="00FC4CAF"/>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FC4CAF"/>
    <w:rPr>
      <w:rFonts w:cs="Times New Roman"/>
    </w:rPr>
  </w:style>
  <w:style w:type="paragraph" w:styleId="BodyText">
    <w:name w:val="Body Text"/>
    <w:basedOn w:val="Normal"/>
    <w:link w:val="BodyTextChar"/>
    <w:uiPriority w:val="99"/>
    <w:semiHidden/>
    <w:rsid w:val="00FC4CAF"/>
    <w:pPr>
      <w:spacing w:after="240"/>
    </w:pPr>
  </w:style>
  <w:style w:type="character" w:customStyle="1" w:styleId="BodyTextChar">
    <w:name w:val="Body Text Char"/>
    <w:basedOn w:val="DefaultParagraphFont"/>
    <w:link w:val="BodyText"/>
    <w:uiPriority w:val="99"/>
    <w:semiHidden/>
    <w:locked/>
    <w:rsid w:val="00FC4CAF"/>
    <w:rPr>
      <w:rFonts w:ascii="Georgia" w:hAnsi="Georgia" w:cs="Times New Roman"/>
      <w:sz w:val="20"/>
    </w:rPr>
  </w:style>
  <w:style w:type="paragraph" w:styleId="Title">
    <w:name w:val="Title"/>
    <w:basedOn w:val="Normal"/>
    <w:next w:val="Normal"/>
    <w:link w:val="TitleChar"/>
    <w:uiPriority w:val="99"/>
    <w:qFormat/>
    <w:rsid w:val="00FC4CAF"/>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FC4CAF"/>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FC4CAF"/>
    <w:pPr>
      <w:spacing w:line="200" w:lineRule="atLeast"/>
    </w:pPr>
    <w:rPr>
      <w:i/>
      <w:sz w:val="18"/>
    </w:rPr>
  </w:style>
  <w:style w:type="character" w:customStyle="1" w:styleId="AddressChar">
    <w:name w:val="Address Char"/>
    <w:basedOn w:val="DefaultParagraphFont"/>
    <w:link w:val="Address"/>
    <w:uiPriority w:val="99"/>
    <w:locked/>
    <w:rsid w:val="00FC4CAF"/>
    <w:rPr>
      <w:rFonts w:ascii="Georgia" w:hAnsi="Georgia" w:cs="Times New Roman"/>
      <w:i/>
      <w:sz w:val="18"/>
    </w:rPr>
  </w:style>
  <w:style w:type="paragraph" w:customStyle="1" w:styleId="Disclaimer">
    <w:name w:val="Disclaimer"/>
    <w:basedOn w:val="Normal"/>
    <w:link w:val="DisclaimerChar"/>
    <w:uiPriority w:val="99"/>
    <w:rsid w:val="00FC4CAF"/>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FC4CAF"/>
    <w:rPr>
      <w:rFonts w:ascii="Arial" w:hAnsi="Arial" w:cs="Arial"/>
      <w:sz w:val="12"/>
    </w:rPr>
  </w:style>
  <w:style w:type="paragraph" w:styleId="ListParagraph">
    <w:name w:val="List Paragraph"/>
    <w:basedOn w:val="Normal"/>
    <w:uiPriority w:val="99"/>
    <w:qFormat/>
    <w:rsid w:val="00FC4CAF"/>
    <w:pPr>
      <w:ind w:left="720"/>
      <w:contextualSpacing/>
    </w:pPr>
  </w:style>
  <w:style w:type="character" w:styleId="Hyperlink">
    <w:name w:val="Hyperlink"/>
    <w:basedOn w:val="DefaultParagraphFont"/>
    <w:uiPriority w:val="99"/>
    <w:unhideWhenUsed/>
    <w:rsid w:val="00FC4CAF"/>
    <w:rPr>
      <w:color w:val="0000FF" w:themeColor="hyperlink"/>
      <w:u w:val="single"/>
    </w:rPr>
  </w:style>
  <w:style w:type="paragraph" w:styleId="NormalWeb">
    <w:name w:val="Normal (Web)"/>
    <w:basedOn w:val="Normal"/>
    <w:rsid w:val="00FC4CAF"/>
    <w:pPr>
      <w:spacing w:before="100" w:beforeAutospacing="1" w:after="100" w:afterAutospacing="1" w:line="240" w:lineRule="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FC4C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AF"/>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FC4CAF"/>
    <w:rPr>
      <w:sz w:val="16"/>
      <w:szCs w:val="16"/>
    </w:rPr>
  </w:style>
  <w:style w:type="paragraph" w:styleId="CommentText">
    <w:name w:val="annotation text"/>
    <w:basedOn w:val="Normal"/>
    <w:link w:val="CommentTextChar"/>
    <w:uiPriority w:val="99"/>
    <w:semiHidden/>
    <w:unhideWhenUsed/>
    <w:rsid w:val="00FC4CAF"/>
    <w:pPr>
      <w:spacing w:line="240" w:lineRule="auto"/>
    </w:pPr>
    <w:rPr>
      <w:szCs w:val="20"/>
    </w:rPr>
  </w:style>
  <w:style w:type="character" w:customStyle="1" w:styleId="CommentTextChar">
    <w:name w:val="Comment Text Char"/>
    <w:basedOn w:val="DefaultParagraphFont"/>
    <w:link w:val="CommentText"/>
    <w:uiPriority w:val="99"/>
    <w:semiHidden/>
    <w:rsid w:val="00FC4CAF"/>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FC4CAF"/>
    <w:rPr>
      <w:b/>
      <w:bCs/>
    </w:rPr>
  </w:style>
  <w:style w:type="character" w:customStyle="1" w:styleId="CommentSubjectChar">
    <w:name w:val="Comment Subject Char"/>
    <w:basedOn w:val="CommentTextChar"/>
    <w:link w:val="CommentSubject"/>
    <w:uiPriority w:val="99"/>
    <w:semiHidden/>
    <w:rsid w:val="00FC4CAF"/>
    <w:rPr>
      <w:rFonts w:ascii="Georgia" w:hAnsi="Georgia"/>
      <w:b/>
      <w:bCs/>
      <w:sz w:val="20"/>
      <w:szCs w:val="20"/>
      <w:lang w:val="en-GB" w:eastAsia="en-US"/>
    </w:rPr>
  </w:style>
  <w:style w:type="paragraph" w:customStyle="1" w:styleId="Default">
    <w:name w:val="Default"/>
    <w:rsid w:val="00C336A9"/>
    <w:pPr>
      <w:autoSpaceDE w:val="0"/>
      <w:autoSpaceDN w:val="0"/>
      <w:adjustRightInd w:val="0"/>
    </w:pPr>
    <w:rPr>
      <w:rFonts w:ascii="Georgia" w:hAnsi="Georgia" w:cs="Georgia"/>
      <w:color w:val="000000"/>
      <w:sz w:val="24"/>
      <w:szCs w:val="24"/>
      <w:lang w:val="en-US"/>
    </w:rPr>
  </w:style>
  <w:style w:type="table" w:styleId="TableGrid">
    <w:name w:val="Table Grid"/>
    <w:basedOn w:val="TableNormal"/>
    <w:uiPriority w:val="59"/>
    <w:locked/>
    <w:rsid w:val="004C24C2"/>
    <w:rPr>
      <w:rFonts w:ascii="Georgia" w:eastAsiaTheme="minorHAnsi" w:hAnsi="Georgia"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524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AF"/>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FC4CAF"/>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CAF"/>
    <w:rPr>
      <w:rFonts w:ascii="Cambria" w:hAnsi="Cambria" w:cs="Times New Roman"/>
      <w:b/>
      <w:bCs/>
      <w:kern w:val="32"/>
      <w:sz w:val="32"/>
      <w:szCs w:val="32"/>
    </w:rPr>
  </w:style>
  <w:style w:type="paragraph" w:styleId="Header">
    <w:name w:val="header"/>
    <w:basedOn w:val="Normal"/>
    <w:link w:val="HeaderChar"/>
    <w:uiPriority w:val="99"/>
    <w:semiHidden/>
    <w:rsid w:val="00FC4CAF"/>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FC4CAF"/>
    <w:rPr>
      <w:rFonts w:cs="Times New Roman"/>
    </w:rPr>
  </w:style>
  <w:style w:type="paragraph" w:styleId="Footer">
    <w:name w:val="footer"/>
    <w:basedOn w:val="Normal"/>
    <w:link w:val="FooterChar"/>
    <w:uiPriority w:val="99"/>
    <w:semiHidden/>
    <w:rsid w:val="00FC4CAF"/>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FC4CAF"/>
    <w:rPr>
      <w:rFonts w:cs="Times New Roman"/>
    </w:rPr>
  </w:style>
  <w:style w:type="paragraph" w:styleId="BodyText">
    <w:name w:val="Body Text"/>
    <w:basedOn w:val="Normal"/>
    <w:link w:val="BodyTextChar"/>
    <w:uiPriority w:val="99"/>
    <w:semiHidden/>
    <w:rsid w:val="00FC4CAF"/>
    <w:pPr>
      <w:spacing w:after="240"/>
    </w:pPr>
  </w:style>
  <w:style w:type="character" w:customStyle="1" w:styleId="BodyTextChar">
    <w:name w:val="Body Text Char"/>
    <w:basedOn w:val="DefaultParagraphFont"/>
    <w:link w:val="BodyText"/>
    <w:uiPriority w:val="99"/>
    <w:semiHidden/>
    <w:locked/>
    <w:rsid w:val="00FC4CAF"/>
    <w:rPr>
      <w:rFonts w:ascii="Georgia" w:hAnsi="Georgia" w:cs="Times New Roman"/>
      <w:sz w:val="20"/>
    </w:rPr>
  </w:style>
  <w:style w:type="paragraph" w:styleId="Title">
    <w:name w:val="Title"/>
    <w:basedOn w:val="Normal"/>
    <w:next w:val="Normal"/>
    <w:link w:val="TitleChar"/>
    <w:uiPriority w:val="99"/>
    <w:qFormat/>
    <w:rsid w:val="00FC4CAF"/>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FC4CAF"/>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FC4CAF"/>
    <w:pPr>
      <w:spacing w:line="200" w:lineRule="atLeast"/>
    </w:pPr>
    <w:rPr>
      <w:i/>
      <w:sz w:val="18"/>
    </w:rPr>
  </w:style>
  <w:style w:type="character" w:customStyle="1" w:styleId="AddressChar">
    <w:name w:val="Address Char"/>
    <w:basedOn w:val="DefaultParagraphFont"/>
    <w:link w:val="Address"/>
    <w:uiPriority w:val="99"/>
    <w:locked/>
    <w:rsid w:val="00FC4CAF"/>
    <w:rPr>
      <w:rFonts w:ascii="Georgia" w:hAnsi="Georgia" w:cs="Times New Roman"/>
      <w:i/>
      <w:sz w:val="18"/>
    </w:rPr>
  </w:style>
  <w:style w:type="paragraph" w:customStyle="1" w:styleId="Disclaimer">
    <w:name w:val="Disclaimer"/>
    <w:basedOn w:val="Normal"/>
    <w:link w:val="DisclaimerChar"/>
    <w:uiPriority w:val="99"/>
    <w:rsid w:val="00FC4CAF"/>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FC4CAF"/>
    <w:rPr>
      <w:rFonts w:ascii="Arial" w:hAnsi="Arial" w:cs="Arial"/>
      <w:sz w:val="12"/>
    </w:rPr>
  </w:style>
  <w:style w:type="paragraph" w:styleId="ListParagraph">
    <w:name w:val="List Paragraph"/>
    <w:basedOn w:val="Normal"/>
    <w:uiPriority w:val="99"/>
    <w:qFormat/>
    <w:rsid w:val="00FC4CAF"/>
    <w:pPr>
      <w:ind w:left="720"/>
      <w:contextualSpacing/>
    </w:pPr>
  </w:style>
  <w:style w:type="character" w:styleId="Hyperlink">
    <w:name w:val="Hyperlink"/>
    <w:basedOn w:val="DefaultParagraphFont"/>
    <w:uiPriority w:val="99"/>
    <w:unhideWhenUsed/>
    <w:rsid w:val="00FC4CAF"/>
    <w:rPr>
      <w:color w:val="0000FF" w:themeColor="hyperlink"/>
      <w:u w:val="single"/>
    </w:rPr>
  </w:style>
  <w:style w:type="paragraph" w:styleId="NormalWeb">
    <w:name w:val="Normal (Web)"/>
    <w:basedOn w:val="Normal"/>
    <w:rsid w:val="00FC4CAF"/>
    <w:pPr>
      <w:spacing w:before="100" w:beforeAutospacing="1" w:after="100" w:afterAutospacing="1" w:line="240" w:lineRule="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FC4C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AF"/>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FC4CAF"/>
    <w:rPr>
      <w:sz w:val="16"/>
      <w:szCs w:val="16"/>
    </w:rPr>
  </w:style>
  <w:style w:type="paragraph" w:styleId="CommentText">
    <w:name w:val="annotation text"/>
    <w:basedOn w:val="Normal"/>
    <w:link w:val="CommentTextChar"/>
    <w:uiPriority w:val="99"/>
    <w:semiHidden/>
    <w:unhideWhenUsed/>
    <w:rsid w:val="00FC4CAF"/>
    <w:pPr>
      <w:spacing w:line="240" w:lineRule="auto"/>
    </w:pPr>
    <w:rPr>
      <w:szCs w:val="20"/>
    </w:rPr>
  </w:style>
  <w:style w:type="character" w:customStyle="1" w:styleId="CommentTextChar">
    <w:name w:val="Comment Text Char"/>
    <w:basedOn w:val="DefaultParagraphFont"/>
    <w:link w:val="CommentText"/>
    <w:uiPriority w:val="99"/>
    <w:semiHidden/>
    <w:rsid w:val="00FC4CAF"/>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FC4CAF"/>
    <w:rPr>
      <w:b/>
      <w:bCs/>
    </w:rPr>
  </w:style>
  <w:style w:type="character" w:customStyle="1" w:styleId="CommentSubjectChar">
    <w:name w:val="Comment Subject Char"/>
    <w:basedOn w:val="CommentTextChar"/>
    <w:link w:val="CommentSubject"/>
    <w:uiPriority w:val="99"/>
    <w:semiHidden/>
    <w:rsid w:val="00FC4CAF"/>
    <w:rPr>
      <w:rFonts w:ascii="Georgia" w:hAnsi="Georgia"/>
      <w:b/>
      <w:bCs/>
      <w:sz w:val="20"/>
      <w:szCs w:val="20"/>
      <w:lang w:val="en-GB" w:eastAsia="en-US"/>
    </w:rPr>
  </w:style>
  <w:style w:type="paragraph" w:customStyle="1" w:styleId="Default">
    <w:name w:val="Default"/>
    <w:rsid w:val="00C336A9"/>
    <w:pPr>
      <w:autoSpaceDE w:val="0"/>
      <w:autoSpaceDN w:val="0"/>
      <w:adjustRightInd w:val="0"/>
    </w:pPr>
    <w:rPr>
      <w:rFonts w:ascii="Georgia" w:hAnsi="Georgia" w:cs="Georgia"/>
      <w:color w:val="000000"/>
      <w:sz w:val="24"/>
      <w:szCs w:val="24"/>
      <w:lang w:val="en-US"/>
    </w:rPr>
  </w:style>
  <w:style w:type="table" w:styleId="TableGrid">
    <w:name w:val="Table Grid"/>
    <w:basedOn w:val="TableNormal"/>
    <w:uiPriority w:val="59"/>
    <w:locked/>
    <w:rsid w:val="004C24C2"/>
    <w:rPr>
      <w:rFonts w:ascii="Georgia" w:eastAsiaTheme="minorHAnsi" w:hAnsi="Georgia"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524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wc.com" TargetMode="External"/><Relationship Id="rId4" Type="http://schemas.microsoft.com/office/2007/relationships/stylesWithEffects" Target="stylesWithEffects.xml"/><Relationship Id="rId9" Type="http://schemas.openxmlformats.org/officeDocument/2006/relationships/hyperlink" Target="mailto:mike.davies@uk.pwc.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CD714-3954-4CC7-8F91-FD674733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5</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Martyn Hollingdale</dc:creator>
  <cp:lastModifiedBy>shelly</cp:lastModifiedBy>
  <cp:revision>3</cp:revision>
  <cp:lastPrinted>2014-01-21T13:15:00Z</cp:lastPrinted>
  <dcterms:created xsi:type="dcterms:W3CDTF">2014-01-29T15:14:00Z</dcterms:created>
  <dcterms:modified xsi:type="dcterms:W3CDTF">2014-01-29T15:18:00Z</dcterms:modified>
</cp:coreProperties>
</file>