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83" w:rsidRDefault="00655E05">
      <w:pPr>
        <w:tabs>
          <w:tab w:val="center" w:pos="4536"/>
        </w:tabs>
      </w:pPr>
      <w:r>
        <w:rPr>
          <w:noProof/>
          <w:lang w:val="en-US"/>
        </w:rPr>
        <mc:AlternateContent>
          <mc:Choice Requires="wps">
            <w:drawing>
              <wp:anchor distT="0" distB="0" distL="114300" distR="114300" simplePos="0" relativeHeight="251658240" behindDoc="0" locked="1" layoutInCell="1" allowOverlap="1">
                <wp:simplePos x="0" y="0"/>
                <wp:positionH relativeFrom="page">
                  <wp:posOffset>1115695</wp:posOffset>
                </wp:positionH>
                <wp:positionV relativeFrom="page">
                  <wp:posOffset>9792335</wp:posOffset>
                </wp:positionV>
                <wp:extent cx="5905500" cy="144145"/>
                <wp:effectExtent l="0" t="0" r="19050" b="27305"/>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444E83" w:rsidRDefault="00444E83">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4645"/>
      </w:tblGrid>
      <w:tr w:rsidR="00444E83">
        <w:tc>
          <w:tcPr>
            <w:tcW w:w="2268" w:type="dxa"/>
          </w:tcPr>
          <w:p w:rsidR="00444E83" w:rsidRDefault="00444E83">
            <w:pPr>
              <w:rPr>
                <w:i/>
              </w:rPr>
            </w:pPr>
            <w:r>
              <w:rPr>
                <w:i/>
              </w:rPr>
              <w:t>Date</w:t>
            </w:r>
          </w:p>
        </w:tc>
        <w:tc>
          <w:tcPr>
            <w:tcW w:w="4645" w:type="dxa"/>
          </w:tcPr>
          <w:p w:rsidR="00444E83" w:rsidRDefault="00A30367">
            <w:pPr>
              <w:rPr>
                <w:b/>
              </w:rPr>
            </w:pPr>
            <w:r>
              <w:rPr>
                <w:b/>
              </w:rPr>
              <w:t>Embargoed until</w:t>
            </w:r>
            <w:r w:rsidR="00444E83">
              <w:rPr>
                <w:b/>
              </w:rPr>
              <w:t xml:space="preserve"> </w:t>
            </w:r>
            <w:r w:rsidR="009A2E0A">
              <w:rPr>
                <w:b/>
              </w:rPr>
              <w:t xml:space="preserve">28 </w:t>
            </w:r>
            <w:r>
              <w:rPr>
                <w:b/>
              </w:rPr>
              <w:t>January</w:t>
            </w:r>
            <w:r w:rsidR="002349AB">
              <w:rPr>
                <w:b/>
              </w:rPr>
              <w:t xml:space="preserve"> 2014</w:t>
            </w:r>
          </w:p>
          <w:p w:rsidR="009A2E0A" w:rsidRDefault="009A2E0A">
            <w:pPr>
              <w:rPr>
                <w:b/>
              </w:rPr>
            </w:pPr>
            <w:r>
              <w:rPr>
                <w:b/>
              </w:rPr>
              <w:t>00:01 CET</w:t>
            </w:r>
          </w:p>
          <w:p w:rsidR="00444E83" w:rsidRDefault="00444E83"/>
        </w:tc>
      </w:tr>
      <w:tr w:rsidR="00444E83" w:rsidRPr="00B91A63">
        <w:tc>
          <w:tcPr>
            <w:tcW w:w="2268" w:type="dxa"/>
          </w:tcPr>
          <w:p w:rsidR="00444E83" w:rsidRDefault="00444E83">
            <w:pPr>
              <w:rPr>
                <w:i/>
              </w:rPr>
            </w:pPr>
            <w:r>
              <w:rPr>
                <w:i/>
              </w:rPr>
              <w:t>Contact</w:t>
            </w:r>
          </w:p>
        </w:tc>
        <w:tc>
          <w:tcPr>
            <w:tcW w:w="4645" w:type="dxa"/>
          </w:tcPr>
          <w:p w:rsidR="00444E83" w:rsidRPr="007E1F76" w:rsidRDefault="009A2E0A">
            <w:pPr>
              <w:tabs>
                <w:tab w:val="left" w:pos="1440"/>
              </w:tabs>
              <w:ind w:left="1440" w:hanging="1440"/>
              <w:rPr>
                <w:rFonts w:cs="Arial"/>
                <w:color w:val="000000"/>
                <w:lang w:val="it-IT"/>
              </w:rPr>
            </w:pPr>
            <w:r>
              <w:rPr>
                <w:rFonts w:cs="Arial"/>
                <w:bCs/>
                <w:color w:val="000000"/>
                <w:lang w:val="it-IT"/>
              </w:rPr>
              <w:t>Rowena Mearley</w:t>
            </w:r>
            <w:r w:rsidR="00444E83" w:rsidRPr="007E1F76">
              <w:rPr>
                <w:rFonts w:cs="Arial"/>
                <w:bCs/>
                <w:color w:val="000000"/>
                <w:lang w:val="it-IT"/>
              </w:rPr>
              <w:t>, Media Relations, PwC</w:t>
            </w:r>
          </w:p>
          <w:p w:rsidR="00444E83" w:rsidRPr="007E1F76" w:rsidRDefault="00444E83">
            <w:pPr>
              <w:tabs>
                <w:tab w:val="left" w:pos="1440"/>
              </w:tabs>
              <w:ind w:left="1440" w:hanging="1440"/>
              <w:rPr>
                <w:rFonts w:cs="Arial"/>
                <w:color w:val="000000"/>
                <w:lang w:val="it-IT"/>
              </w:rPr>
            </w:pPr>
            <w:r w:rsidRPr="007E1F76">
              <w:rPr>
                <w:rFonts w:cs="Arial"/>
                <w:color w:val="000000"/>
                <w:lang w:val="it-IT"/>
              </w:rPr>
              <w:t>Tel: 0207 212 1391</w:t>
            </w:r>
          </w:p>
          <w:p w:rsidR="00444E83" w:rsidRPr="007E1F76" w:rsidRDefault="00444E83">
            <w:pPr>
              <w:tabs>
                <w:tab w:val="left" w:pos="1440"/>
              </w:tabs>
              <w:ind w:left="1440" w:hanging="1440"/>
              <w:rPr>
                <w:rFonts w:cs="Arial"/>
                <w:color w:val="000000"/>
                <w:lang w:val="it-IT"/>
              </w:rPr>
            </w:pPr>
            <w:r w:rsidRPr="007E1F76">
              <w:rPr>
                <w:rFonts w:cs="Arial"/>
                <w:color w:val="000000"/>
                <w:lang w:val="it-IT"/>
              </w:rPr>
              <w:t xml:space="preserve">e-mail: </w:t>
            </w:r>
            <w:r w:rsidR="009A2E0A">
              <w:rPr>
                <w:rFonts w:cs="Arial"/>
                <w:color w:val="000000"/>
                <w:lang w:val="it-IT"/>
              </w:rPr>
              <w:t>rowena.mearley</w:t>
            </w:r>
            <w:r w:rsidRPr="007E1F76">
              <w:rPr>
                <w:rFonts w:cs="Arial"/>
                <w:color w:val="000000"/>
                <w:lang w:val="it-IT"/>
              </w:rPr>
              <w:t>@uk.pwc.com</w:t>
            </w:r>
          </w:p>
          <w:p w:rsidR="00444E83" w:rsidRPr="007E1F76" w:rsidRDefault="00444E83">
            <w:pPr>
              <w:tabs>
                <w:tab w:val="left" w:pos="1440"/>
              </w:tabs>
              <w:ind w:left="1440" w:hanging="1440"/>
              <w:rPr>
                <w:rFonts w:cs="Arial"/>
                <w:color w:val="000000"/>
                <w:lang w:val="pt-BR"/>
              </w:rPr>
            </w:pPr>
          </w:p>
          <w:p w:rsidR="00444E83" w:rsidRPr="007E1F76" w:rsidRDefault="00444E83" w:rsidP="007E1F76">
            <w:pPr>
              <w:tabs>
                <w:tab w:val="left" w:pos="1440"/>
              </w:tabs>
              <w:rPr>
                <w:lang w:val="pt-BR"/>
              </w:rPr>
            </w:pPr>
          </w:p>
        </w:tc>
      </w:tr>
      <w:tr w:rsidR="00444E83">
        <w:tc>
          <w:tcPr>
            <w:tcW w:w="2268" w:type="dxa"/>
          </w:tcPr>
          <w:p w:rsidR="00444E83" w:rsidRDefault="00444E83">
            <w:pPr>
              <w:rPr>
                <w:i/>
              </w:rPr>
            </w:pPr>
            <w:r>
              <w:rPr>
                <w:i/>
              </w:rPr>
              <w:t xml:space="preserve">Pages </w:t>
            </w:r>
          </w:p>
        </w:tc>
        <w:tc>
          <w:tcPr>
            <w:tcW w:w="4645" w:type="dxa"/>
          </w:tcPr>
          <w:p w:rsidR="00DB1F49" w:rsidRDefault="00444E83">
            <w:r>
              <w:t>3</w:t>
            </w:r>
          </w:p>
        </w:tc>
      </w:tr>
    </w:tbl>
    <w:p w:rsidR="00444E83" w:rsidRDefault="00DB1F49">
      <w:pPr>
        <w:jc w:val="center"/>
        <w:rPr>
          <w:rFonts w:cs="Arial"/>
          <w:b/>
          <w:i/>
          <w:iCs/>
        </w:rPr>
      </w:pPr>
      <w:r>
        <w:rPr>
          <w:noProof/>
          <w:lang w:val="en-US"/>
        </w:rPr>
        <mc:AlternateContent>
          <mc:Choice Requires="wps">
            <w:drawing>
              <wp:anchor distT="4294967293" distB="4294967293" distL="114300" distR="114300" simplePos="0" relativeHeight="251659264" behindDoc="0" locked="0" layoutInCell="1" allowOverlap="1" wp14:anchorId="78CE9B68" wp14:editId="292CDAF2">
                <wp:simplePos x="0" y="0"/>
                <wp:positionH relativeFrom="page">
                  <wp:posOffset>1194435</wp:posOffset>
                </wp:positionH>
                <wp:positionV relativeFrom="page">
                  <wp:posOffset>3961765</wp:posOffset>
                </wp:positionV>
                <wp:extent cx="57791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94.05pt,311.95pt" to="549.1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" strokecolor="#e36c0a">
                <w10:wrap anchorx="page" anchory="page"/>
              </v:line>
            </w:pict>
          </mc:Fallback>
        </mc:AlternateContent>
      </w:r>
      <w:r w:rsidR="00444E83">
        <w:rPr>
          <w:rFonts w:cs="Arial"/>
          <w:b/>
          <w:i/>
          <w:iCs/>
        </w:rPr>
        <w:br w:type="textWrapping" w:clear="all"/>
      </w:r>
    </w:p>
    <w:p w:rsidR="00444E83" w:rsidRDefault="00444E83">
      <w:pPr>
        <w:pStyle w:val="Heading"/>
        <w:jc w:val="center"/>
        <w:rPr>
          <w:rFonts w:ascii="Georgia" w:hAnsi="Georgia"/>
          <w:sz w:val="20"/>
        </w:rPr>
      </w:pPr>
    </w:p>
    <w:p w:rsidR="00444E83" w:rsidRDefault="00A174EE" w:rsidP="001F60B0">
      <w:pPr>
        <w:pStyle w:val="Heading"/>
        <w:jc w:val="center"/>
        <w:rPr>
          <w:rFonts w:ascii="Georgia" w:hAnsi="Georgia" w:cs="Georgia"/>
          <w:bCs/>
          <w:i/>
          <w:color w:val="000000"/>
          <w:sz w:val="22"/>
          <w:szCs w:val="22"/>
          <w:lang w:eastAsia="en-GB"/>
        </w:rPr>
      </w:pPr>
      <w:r>
        <w:rPr>
          <w:rFonts w:ascii="Georgia" w:hAnsi="Georgia" w:cs="Georgia"/>
          <w:bCs/>
          <w:i/>
          <w:color w:val="000000"/>
          <w:sz w:val="22"/>
          <w:szCs w:val="22"/>
          <w:lang w:eastAsia="en-GB"/>
        </w:rPr>
        <w:t>Deal momentum in power and renewables sector shifts to the upside</w:t>
      </w:r>
    </w:p>
    <w:p w:rsidR="00444E83" w:rsidRPr="003904A6" w:rsidRDefault="00444E83">
      <w:pPr>
        <w:pStyle w:val="Heading"/>
        <w:jc w:val="center"/>
        <w:rPr>
          <w:rFonts w:ascii="Georgia" w:hAnsi="Georgia"/>
          <w:i/>
          <w:sz w:val="22"/>
          <w:szCs w:val="22"/>
        </w:rPr>
      </w:pPr>
    </w:p>
    <w:p w:rsidR="00F875C4" w:rsidRDefault="00BB69A2" w:rsidP="00F875C4">
      <w:pPr>
        <w:autoSpaceDE w:val="0"/>
        <w:autoSpaceDN w:val="0"/>
        <w:adjustRightInd w:val="0"/>
        <w:spacing w:line="276" w:lineRule="auto"/>
        <w:rPr>
          <w:rFonts w:cs="Georgia"/>
          <w:color w:val="000000"/>
          <w:szCs w:val="20"/>
          <w:lang w:eastAsia="en-GB"/>
        </w:rPr>
      </w:pPr>
      <w:bookmarkStart w:id="0" w:name="_GoBack"/>
      <w:r w:rsidRPr="0081250B">
        <w:rPr>
          <w:rFonts w:cs="Georgia"/>
          <w:b/>
          <w:color w:val="000000"/>
          <w:szCs w:val="20"/>
          <w:lang w:eastAsia="en-GB"/>
        </w:rPr>
        <w:t>London, 28 Jan 2014</w:t>
      </w:r>
      <w:r>
        <w:rPr>
          <w:rFonts w:cs="Georgia"/>
          <w:color w:val="000000"/>
          <w:szCs w:val="20"/>
          <w:lang w:eastAsia="en-GB"/>
        </w:rPr>
        <w:noBreakHyphen/>
      </w:r>
      <w:r>
        <w:rPr>
          <w:rFonts w:cs="Georgia"/>
          <w:color w:val="000000"/>
          <w:szCs w:val="20"/>
          <w:lang w:eastAsia="en-GB"/>
        </w:rPr>
        <w:noBreakHyphen/>
      </w:r>
      <w:r w:rsidR="00F875C4">
        <w:rPr>
          <w:rFonts w:cs="Georgia"/>
          <w:color w:val="000000"/>
          <w:szCs w:val="20"/>
          <w:lang w:eastAsia="en-GB"/>
        </w:rPr>
        <w:t xml:space="preserve">After a year in which M&amp;A activity in the power sector moved down a gear, deal activity is set for a return to an upward trend during 2014, </w:t>
      </w:r>
      <w:r w:rsidR="00444E83">
        <w:rPr>
          <w:rFonts w:cs="Georgia"/>
          <w:color w:val="000000"/>
          <w:szCs w:val="20"/>
          <w:lang w:eastAsia="en-GB"/>
        </w:rPr>
        <w:t>a</w:t>
      </w:r>
      <w:r w:rsidR="00444E83" w:rsidRPr="009A3BE8">
        <w:rPr>
          <w:rFonts w:cs="Georgia"/>
          <w:color w:val="000000"/>
          <w:szCs w:val="20"/>
          <w:lang w:eastAsia="en-GB"/>
        </w:rPr>
        <w:t xml:space="preserve">ccording to PwC’s annual </w:t>
      </w:r>
      <w:r w:rsidR="00444E83" w:rsidRPr="009A3BE8">
        <w:rPr>
          <w:rFonts w:cs="Georgia"/>
          <w:i/>
          <w:iCs/>
          <w:color w:val="000000"/>
          <w:szCs w:val="20"/>
          <w:lang w:eastAsia="en-GB"/>
        </w:rPr>
        <w:t>Power and Renewables Deals</w:t>
      </w:r>
      <w:r w:rsidR="00444E83" w:rsidRPr="009A3BE8">
        <w:rPr>
          <w:rFonts w:cs="Georgia"/>
          <w:color w:val="000000"/>
          <w:szCs w:val="20"/>
          <w:lang w:eastAsia="en-GB"/>
        </w:rPr>
        <w:t xml:space="preserve"> report released today</w:t>
      </w:r>
      <w:r w:rsidR="00444E83">
        <w:rPr>
          <w:rFonts w:cs="Georgia"/>
          <w:color w:val="000000"/>
          <w:szCs w:val="20"/>
          <w:lang w:eastAsia="en-GB"/>
        </w:rPr>
        <w:t xml:space="preserve">. </w:t>
      </w:r>
      <w:r w:rsidR="00F875C4">
        <w:rPr>
          <w:rFonts w:cs="Georgia"/>
          <w:color w:val="000000"/>
          <w:szCs w:val="20"/>
          <w:lang w:eastAsia="en-GB"/>
        </w:rPr>
        <w:t xml:space="preserve"> </w:t>
      </w:r>
    </w:p>
    <w:p w:rsidR="00444E83" w:rsidRDefault="00444E83" w:rsidP="00AA495C">
      <w:pPr>
        <w:autoSpaceDE w:val="0"/>
        <w:autoSpaceDN w:val="0"/>
        <w:adjustRightInd w:val="0"/>
        <w:spacing w:line="276" w:lineRule="auto"/>
        <w:rPr>
          <w:rFonts w:cs="Georgia"/>
          <w:color w:val="000000"/>
          <w:szCs w:val="20"/>
          <w:lang w:eastAsia="en-GB"/>
        </w:rPr>
      </w:pPr>
    </w:p>
    <w:p w:rsidR="00444E83" w:rsidRDefault="00444E83" w:rsidP="000A102D">
      <w:pPr>
        <w:autoSpaceDE w:val="0"/>
        <w:autoSpaceDN w:val="0"/>
        <w:adjustRightInd w:val="0"/>
        <w:spacing w:line="276" w:lineRule="auto"/>
      </w:pPr>
      <w:r>
        <w:t xml:space="preserve">Norbert Schwieters, global power and utilities leader, PwC, said:   </w:t>
      </w:r>
    </w:p>
    <w:p w:rsidR="00444E83" w:rsidRDefault="00444E83" w:rsidP="00CA455B">
      <w:pPr>
        <w:autoSpaceDE w:val="0"/>
        <w:autoSpaceDN w:val="0"/>
        <w:adjustRightInd w:val="0"/>
        <w:spacing w:line="276" w:lineRule="auto"/>
        <w:ind w:left="284"/>
        <w:rPr>
          <w:rFonts w:cs="Georgia"/>
          <w:color w:val="000000"/>
          <w:szCs w:val="20"/>
          <w:lang w:eastAsia="en-GB"/>
        </w:rPr>
      </w:pPr>
    </w:p>
    <w:p w:rsidR="00A174EE" w:rsidRDefault="00A174EE" w:rsidP="00CA455B">
      <w:pPr>
        <w:autoSpaceDE w:val="0"/>
        <w:autoSpaceDN w:val="0"/>
        <w:adjustRightInd w:val="0"/>
        <w:spacing w:line="276" w:lineRule="auto"/>
        <w:ind w:left="284"/>
        <w:rPr>
          <w:rFonts w:cs="Georgia"/>
          <w:color w:val="000000"/>
          <w:szCs w:val="20"/>
          <w:lang w:eastAsia="en-GB"/>
        </w:rPr>
      </w:pPr>
      <w:r w:rsidRPr="00A174EE">
        <w:rPr>
          <w:rFonts w:cs="Georgia"/>
          <w:color w:val="000000"/>
          <w:szCs w:val="20"/>
          <w:lang w:eastAsia="en-GB"/>
        </w:rPr>
        <w:t xml:space="preserve">“Some encouraging trends lead us, on balance, to anticipate upward deal momentum in the year ahead. After a year in which considerable sector uncertainty has </w:t>
      </w:r>
      <w:r w:rsidR="000A102D">
        <w:rPr>
          <w:rFonts w:cs="Georgia"/>
          <w:color w:val="000000"/>
          <w:szCs w:val="20"/>
          <w:lang w:eastAsia="en-GB"/>
        </w:rPr>
        <w:t>affected</w:t>
      </w:r>
      <w:r w:rsidRPr="00A174EE">
        <w:rPr>
          <w:rFonts w:cs="Georgia"/>
          <w:color w:val="000000"/>
          <w:szCs w:val="20"/>
          <w:lang w:eastAsia="en-GB"/>
        </w:rPr>
        <w:t xml:space="preserve"> deals, we anticipate greater confidence during 2014. Participation in the sector continues to widen with the attractions of contracted or regulated returns pulling in a wide range of buyers.”</w:t>
      </w:r>
    </w:p>
    <w:p w:rsidR="00A174EE" w:rsidRDefault="00A174EE" w:rsidP="00CA455B">
      <w:pPr>
        <w:autoSpaceDE w:val="0"/>
        <w:autoSpaceDN w:val="0"/>
        <w:adjustRightInd w:val="0"/>
        <w:spacing w:line="276" w:lineRule="auto"/>
        <w:ind w:left="284"/>
        <w:rPr>
          <w:rFonts w:cs="Georgia"/>
          <w:color w:val="000000"/>
          <w:szCs w:val="20"/>
          <w:lang w:eastAsia="en-GB"/>
        </w:rPr>
      </w:pPr>
    </w:p>
    <w:p w:rsidR="00444E83" w:rsidRDefault="00F875C4" w:rsidP="00F875C4">
      <w:pPr>
        <w:autoSpaceDE w:val="0"/>
        <w:autoSpaceDN w:val="0"/>
        <w:adjustRightInd w:val="0"/>
        <w:spacing w:line="276" w:lineRule="auto"/>
        <w:rPr>
          <w:rFonts w:cs="Georgia"/>
          <w:color w:val="000000"/>
          <w:szCs w:val="20"/>
          <w:lang w:eastAsia="en-GB"/>
        </w:rPr>
      </w:pPr>
      <w:r w:rsidRPr="00F875C4">
        <w:rPr>
          <w:rFonts w:cs="Georgia"/>
          <w:color w:val="000000"/>
          <w:szCs w:val="20"/>
          <w:lang w:eastAsia="en-GB"/>
        </w:rPr>
        <w:t>Technology, finance and politics are all sources of disruptive change hitting the sector and this has</w:t>
      </w:r>
      <w:r w:rsidR="009A2E0A">
        <w:rPr>
          <w:rFonts w:cs="Georgia"/>
          <w:color w:val="000000"/>
          <w:szCs w:val="20"/>
          <w:lang w:eastAsia="en-GB"/>
        </w:rPr>
        <w:t xml:space="preserve"> </w:t>
      </w:r>
      <w:r w:rsidRPr="00F875C4">
        <w:rPr>
          <w:rFonts w:cs="Georgia"/>
          <w:color w:val="000000"/>
          <w:szCs w:val="20"/>
          <w:lang w:eastAsia="en-GB"/>
        </w:rPr>
        <w:t>been among the factors weighing on deals in 2013.</w:t>
      </w:r>
      <w:r>
        <w:rPr>
          <w:rFonts w:cs="Georgia"/>
          <w:color w:val="000000"/>
          <w:szCs w:val="20"/>
          <w:lang w:eastAsia="en-GB"/>
        </w:rPr>
        <w:t xml:space="preserve"> </w:t>
      </w:r>
      <w:r w:rsidRPr="00F875C4">
        <w:rPr>
          <w:rFonts w:cs="Georgia"/>
          <w:color w:val="000000"/>
          <w:szCs w:val="20"/>
          <w:lang w:eastAsia="en-GB"/>
        </w:rPr>
        <w:t>Total worldwide power and renewables 2013 deal value was down 10% year on year. But the Asia Pacific region and the renewables sector bucked the trend. Renewables deal value rose 25% the value of Asia Pacific deals was up 6%.</w:t>
      </w:r>
      <w:r w:rsidR="002E0C1C">
        <w:rPr>
          <w:rFonts w:cs="Georgia"/>
          <w:color w:val="000000"/>
          <w:szCs w:val="20"/>
          <w:lang w:eastAsia="en-GB"/>
        </w:rPr>
        <w:t xml:space="preserve"> </w:t>
      </w:r>
    </w:p>
    <w:bookmarkEnd w:id="0"/>
    <w:p w:rsidR="002E0C1C" w:rsidRDefault="002E0C1C" w:rsidP="002E0C1C">
      <w:pPr>
        <w:autoSpaceDE w:val="0"/>
        <w:autoSpaceDN w:val="0"/>
        <w:adjustRightInd w:val="0"/>
        <w:spacing w:line="276" w:lineRule="auto"/>
        <w:rPr>
          <w:rFonts w:cs="Georgia"/>
          <w:color w:val="000000"/>
          <w:szCs w:val="20"/>
          <w:lang w:eastAsia="en-GB"/>
        </w:rPr>
      </w:pPr>
    </w:p>
    <w:p w:rsidR="00444E83" w:rsidRDefault="002E0C1C" w:rsidP="00A21F13">
      <w:pPr>
        <w:autoSpaceDE w:val="0"/>
        <w:autoSpaceDN w:val="0"/>
        <w:adjustRightInd w:val="0"/>
        <w:spacing w:line="276" w:lineRule="auto"/>
        <w:rPr>
          <w:rFonts w:cs="Georgia"/>
          <w:color w:val="000000"/>
          <w:szCs w:val="20"/>
          <w:lang w:eastAsia="en-GB"/>
        </w:rPr>
      </w:pPr>
      <w:r>
        <w:rPr>
          <w:rFonts w:cs="Georgia"/>
          <w:color w:val="000000"/>
          <w:szCs w:val="20"/>
          <w:lang w:eastAsia="en-GB"/>
        </w:rPr>
        <w:t xml:space="preserve">The search by investors for yield is a major deal driver in the sector. </w:t>
      </w:r>
      <w:r w:rsidR="00F84DF2">
        <w:rPr>
          <w:rFonts w:cs="Georgia"/>
          <w:color w:val="000000"/>
          <w:szCs w:val="20"/>
          <w:lang w:eastAsia="en-GB"/>
        </w:rPr>
        <w:t xml:space="preserve"> </w:t>
      </w:r>
      <w:r w:rsidR="00444E83" w:rsidRPr="008102D9">
        <w:rPr>
          <w:rFonts w:cs="Georgia"/>
          <w:bCs/>
          <w:color w:val="000000"/>
          <w:szCs w:val="20"/>
          <w:lang w:eastAsia="en-GB"/>
        </w:rPr>
        <w:t>Andrew McCrosson</w:t>
      </w:r>
      <w:r w:rsidR="00444E83">
        <w:rPr>
          <w:rFonts w:cs="Georgia"/>
          <w:bCs/>
          <w:color w:val="000000"/>
          <w:szCs w:val="20"/>
          <w:lang w:eastAsia="en-GB"/>
        </w:rPr>
        <w:t xml:space="preserve">, </w:t>
      </w:r>
      <w:r w:rsidR="00444E83">
        <w:rPr>
          <w:rFonts w:cs="Arial"/>
        </w:rPr>
        <w:t>partner, UK power and utilities, PwC</w:t>
      </w:r>
      <w:r w:rsidR="00444E83">
        <w:rPr>
          <w:rFonts w:cs="Georgia"/>
          <w:color w:val="000000"/>
          <w:szCs w:val="20"/>
          <w:lang w:eastAsia="en-GB"/>
        </w:rPr>
        <w:t xml:space="preserve">, said: </w:t>
      </w:r>
    </w:p>
    <w:p w:rsidR="00444E83" w:rsidRDefault="00444E83" w:rsidP="00A21F13">
      <w:pPr>
        <w:autoSpaceDE w:val="0"/>
        <w:autoSpaceDN w:val="0"/>
        <w:adjustRightInd w:val="0"/>
        <w:spacing w:line="276" w:lineRule="auto"/>
        <w:rPr>
          <w:rFonts w:cs="Georgia"/>
          <w:color w:val="000000"/>
          <w:szCs w:val="20"/>
          <w:lang w:eastAsia="en-GB"/>
        </w:rPr>
      </w:pPr>
    </w:p>
    <w:p w:rsidR="002E0C1C" w:rsidRDefault="009F1AA1" w:rsidP="002E0C1C">
      <w:pPr>
        <w:autoSpaceDE w:val="0"/>
        <w:autoSpaceDN w:val="0"/>
        <w:adjustRightInd w:val="0"/>
        <w:spacing w:line="276" w:lineRule="auto"/>
        <w:ind w:left="284"/>
        <w:rPr>
          <w:rFonts w:cs="Helv"/>
          <w:color w:val="000000"/>
          <w:szCs w:val="20"/>
          <w:lang w:eastAsia="en-GB"/>
        </w:rPr>
      </w:pPr>
      <w:r w:rsidRPr="009F1AA1">
        <w:rPr>
          <w:rFonts w:cs="Helv"/>
          <w:color w:val="000000"/>
          <w:szCs w:val="20"/>
          <w:lang w:eastAsia="en-GB"/>
        </w:rPr>
        <w:t>“</w:t>
      </w:r>
      <w:r w:rsidR="00F84DF2" w:rsidRPr="00F84DF2">
        <w:rPr>
          <w:rFonts w:cs="Helv"/>
          <w:color w:val="000000"/>
          <w:szCs w:val="20"/>
          <w:lang w:eastAsia="en-GB"/>
        </w:rPr>
        <w:t>The thirst of investors for yield continues</w:t>
      </w:r>
      <w:r w:rsidR="00F84DF2">
        <w:rPr>
          <w:rFonts w:cs="Helv"/>
          <w:color w:val="000000"/>
          <w:szCs w:val="20"/>
          <w:lang w:eastAsia="en-GB"/>
        </w:rPr>
        <w:t xml:space="preserve"> </w:t>
      </w:r>
      <w:r w:rsidR="00F84DF2" w:rsidRPr="00F84DF2">
        <w:rPr>
          <w:rFonts w:cs="Helv"/>
          <w:color w:val="000000"/>
          <w:szCs w:val="20"/>
          <w:lang w:eastAsia="en-GB"/>
        </w:rPr>
        <w:t>unabated.</w:t>
      </w:r>
      <w:r w:rsidR="00F84DF2">
        <w:rPr>
          <w:rFonts w:cs="Helv"/>
          <w:color w:val="000000"/>
          <w:szCs w:val="20"/>
          <w:lang w:eastAsia="en-GB"/>
        </w:rPr>
        <w:t xml:space="preserve"> </w:t>
      </w:r>
      <w:r w:rsidR="002E0C1C" w:rsidRPr="002E0C1C">
        <w:rPr>
          <w:rFonts w:cs="Helv"/>
          <w:color w:val="000000"/>
          <w:szCs w:val="20"/>
          <w:lang w:eastAsia="en-GB"/>
        </w:rPr>
        <w:t xml:space="preserve">We see no letup </w:t>
      </w:r>
      <w:r w:rsidR="00F84DF2">
        <w:rPr>
          <w:rFonts w:cs="Helv"/>
          <w:color w:val="000000"/>
          <w:szCs w:val="20"/>
          <w:lang w:eastAsia="en-GB"/>
        </w:rPr>
        <w:t>in 2014. But</w:t>
      </w:r>
      <w:r w:rsidR="002E0C1C" w:rsidRPr="002E0C1C">
        <w:rPr>
          <w:rFonts w:cs="Helv"/>
          <w:color w:val="000000"/>
          <w:szCs w:val="20"/>
          <w:lang w:eastAsia="en-GB"/>
        </w:rPr>
        <w:t xml:space="preserve"> it is a crowded</w:t>
      </w:r>
      <w:r w:rsidR="002E0C1C">
        <w:rPr>
          <w:rFonts w:cs="Helv"/>
          <w:color w:val="000000"/>
          <w:szCs w:val="20"/>
          <w:lang w:eastAsia="en-GB"/>
        </w:rPr>
        <w:t xml:space="preserve"> </w:t>
      </w:r>
      <w:r w:rsidR="002E0C1C" w:rsidRPr="002E0C1C">
        <w:rPr>
          <w:rFonts w:cs="Helv"/>
          <w:color w:val="000000"/>
          <w:szCs w:val="20"/>
          <w:lang w:eastAsia="en-GB"/>
        </w:rPr>
        <w:t>market with a shortage of the right kind</w:t>
      </w:r>
      <w:r w:rsidR="002E0C1C">
        <w:rPr>
          <w:rFonts w:cs="Helv"/>
          <w:color w:val="000000"/>
          <w:szCs w:val="20"/>
          <w:lang w:eastAsia="en-GB"/>
        </w:rPr>
        <w:t xml:space="preserve"> </w:t>
      </w:r>
      <w:r w:rsidR="002E0C1C" w:rsidRPr="002E0C1C">
        <w:rPr>
          <w:rFonts w:cs="Helv"/>
          <w:color w:val="000000"/>
          <w:szCs w:val="20"/>
          <w:lang w:eastAsia="en-GB"/>
        </w:rPr>
        <w:t>of power utility assets becoming available</w:t>
      </w:r>
      <w:r w:rsidR="00F84DF2">
        <w:rPr>
          <w:rFonts w:cs="Helv"/>
          <w:color w:val="000000"/>
          <w:szCs w:val="20"/>
          <w:lang w:eastAsia="en-GB"/>
        </w:rPr>
        <w:t xml:space="preserve"> </w:t>
      </w:r>
      <w:r w:rsidR="002E0C1C" w:rsidRPr="002E0C1C">
        <w:rPr>
          <w:rFonts w:cs="Helv"/>
          <w:color w:val="000000"/>
          <w:szCs w:val="20"/>
          <w:lang w:eastAsia="en-GB"/>
        </w:rPr>
        <w:t>with long-term regulated or contracted</w:t>
      </w:r>
      <w:r w:rsidR="002E0C1C">
        <w:rPr>
          <w:rFonts w:cs="Helv"/>
          <w:color w:val="000000"/>
          <w:szCs w:val="20"/>
          <w:lang w:eastAsia="en-GB"/>
        </w:rPr>
        <w:t xml:space="preserve"> </w:t>
      </w:r>
      <w:r w:rsidR="002E0C1C" w:rsidRPr="002E0C1C">
        <w:rPr>
          <w:rFonts w:cs="Helv"/>
          <w:color w:val="000000"/>
          <w:szCs w:val="20"/>
          <w:lang w:eastAsia="en-GB"/>
        </w:rPr>
        <w:t>returns.</w:t>
      </w:r>
      <w:r w:rsidR="002E0C1C">
        <w:rPr>
          <w:rFonts w:cs="Helv"/>
          <w:color w:val="000000"/>
          <w:szCs w:val="20"/>
          <w:lang w:eastAsia="en-GB"/>
        </w:rPr>
        <w:t xml:space="preserve"> </w:t>
      </w:r>
      <w:r w:rsidR="00252CE8">
        <w:rPr>
          <w:rFonts w:cs="Helv"/>
          <w:color w:val="000000"/>
          <w:szCs w:val="20"/>
          <w:lang w:eastAsia="en-GB"/>
        </w:rPr>
        <w:t xml:space="preserve">The </w:t>
      </w:r>
      <w:r w:rsidR="00F84DF2">
        <w:rPr>
          <w:rFonts w:cs="Helv"/>
          <w:color w:val="000000"/>
          <w:szCs w:val="20"/>
          <w:lang w:eastAsia="en-GB"/>
        </w:rPr>
        <w:t xml:space="preserve">focus has been mainly on network assets and renewables but we are seeing signs that a few investors are willing to take on more risk by looking at thermal generation.” </w:t>
      </w:r>
    </w:p>
    <w:p w:rsidR="00444E83" w:rsidRDefault="00444E83" w:rsidP="00346011">
      <w:pPr>
        <w:autoSpaceDE w:val="0"/>
        <w:autoSpaceDN w:val="0"/>
        <w:adjustRightInd w:val="0"/>
        <w:spacing w:line="276" w:lineRule="auto"/>
        <w:rPr>
          <w:rFonts w:cs="Georgia"/>
          <w:color w:val="000000"/>
          <w:szCs w:val="20"/>
          <w:lang w:eastAsia="en-GB"/>
        </w:rPr>
      </w:pPr>
    </w:p>
    <w:p w:rsidR="00F875BD" w:rsidRDefault="00F875BD" w:rsidP="00F875BD">
      <w:pPr>
        <w:autoSpaceDE w:val="0"/>
        <w:autoSpaceDN w:val="0"/>
        <w:adjustRightInd w:val="0"/>
        <w:spacing w:line="276" w:lineRule="auto"/>
        <w:rPr>
          <w:rFonts w:cs="Georgia"/>
          <w:color w:val="000000"/>
          <w:szCs w:val="20"/>
          <w:lang w:eastAsia="en-GB"/>
        </w:rPr>
      </w:pPr>
      <w:r>
        <w:rPr>
          <w:rFonts w:cs="Georgia"/>
          <w:color w:val="000000"/>
          <w:szCs w:val="20"/>
          <w:lang w:eastAsia="en-GB"/>
        </w:rPr>
        <w:t>In the</w:t>
      </w:r>
      <w:r w:rsidR="00005E4B">
        <w:rPr>
          <w:rFonts w:cs="Georgia"/>
          <w:color w:val="000000"/>
          <w:szCs w:val="20"/>
          <w:lang w:eastAsia="en-GB"/>
        </w:rPr>
        <w:t xml:space="preserve"> year </w:t>
      </w:r>
      <w:r>
        <w:rPr>
          <w:rFonts w:cs="Georgia"/>
          <w:color w:val="000000"/>
          <w:szCs w:val="20"/>
          <w:lang w:eastAsia="en-GB"/>
        </w:rPr>
        <w:t xml:space="preserve">ahead, the report expects a potential return of mega-mergers in the US power sector to be a key factor driving worldwide power and renewables M&amp;A value upward.  </w:t>
      </w:r>
    </w:p>
    <w:p w:rsidR="00DB1F49" w:rsidRDefault="00DB1F49" w:rsidP="00F875BD">
      <w:pPr>
        <w:autoSpaceDE w:val="0"/>
        <w:autoSpaceDN w:val="0"/>
        <w:adjustRightInd w:val="0"/>
        <w:spacing w:line="276" w:lineRule="auto"/>
        <w:rPr>
          <w:rFonts w:cs="Georgia"/>
          <w:color w:val="000000"/>
          <w:szCs w:val="20"/>
          <w:lang w:eastAsia="en-GB"/>
        </w:rPr>
      </w:pPr>
    </w:p>
    <w:p w:rsidR="00BB69A2" w:rsidRDefault="00BB69A2">
      <w:pPr>
        <w:spacing w:line="240" w:lineRule="auto"/>
        <w:rPr>
          <w:rFonts w:cs="Georgia"/>
          <w:color w:val="000000"/>
          <w:szCs w:val="20"/>
          <w:lang w:eastAsia="en-GB"/>
        </w:rPr>
      </w:pPr>
      <w:r>
        <w:rPr>
          <w:rFonts w:cs="Georgia"/>
          <w:color w:val="000000"/>
          <w:szCs w:val="20"/>
          <w:lang w:eastAsia="en-GB"/>
        </w:rPr>
        <w:br w:type="page"/>
      </w:r>
    </w:p>
    <w:p w:rsidR="00BB69A2" w:rsidRDefault="00BB69A2" w:rsidP="00F875BD">
      <w:pPr>
        <w:autoSpaceDE w:val="0"/>
        <w:autoSpaceDN w:val="0"/>
        <w:adjustRightInd w:val="0"/>
        <w:spacing w:line="276" w:lineRule="auto"/>
        <w:rPr>
          <w:rFonts w:cs="Georgia"/>
          <w:bCs/>
          <w:color w:val="000000"/>
          <w:szCs w:val="20"/>
          <w:lang w:eastAsia="en-GB"/>
        </w:rPr>
      </w:pPr>
    </w:p>
    <w:p w:rsidR="00F875BD" w:rsidRDefault="00F875BD" w:rsidP="00F875BD">
      <w:pPr>
        <w:autoSpaceDE w:val="0"/>
        <w:autoSpaceDN w:val="0"/>
        <w:adjustRightInd w:val="0"/>
        <w:spacing w:line="276" w:lineRule="auto"/>
        <w:rPr>
          <w:rFonts w:cs="Georgia"/>
          <w:color w:val="000000"/>
          <w:szCs w:val="20"/>
          <w:lang w:eastAsia="en-GB"/>
        </w:rPr>
      </w:pPr>
      <w:r w:rsidRPr="00346011">
        <w:rPr>
          <w:rFonts w:cs="Georgia"/>
          <w:bCs/>
          <w:color w:val="000000"/>
          <w:szCs w:val="20"/>
          <w:lang w:eastAsia="en-GB"/>
        </w:rPr>
        <w:t>Rob McCeney</w:t>
      </w:r>
      <w:r>
        <w:rPr>
          <w:rFonts w:cs="Georgia"/>
          <w:bCs/>
          <w:color w:val="000000"/>
          <w:szCs w:val="20"/>
          <w:lang w:eastAsia="en-GB"/>
        </w:rPr>
        <w:t xml:space="preserve">, </w:t>
      </w:r>
      <w:r>
        <w:rPr>
          <w:rFonts w:cs="Arial"/>
        </w:rPr>
        <w:t>partner, US power and utilities, PwC</w:t>
      </w:r>
      <w:r>
        <w:rPr>
          <w:rFonts w:cs="Georgia"/>
          <w:color w:val="000000"/>
          <w:szCs w:val="20"/>
          <w:lang w:eastAsia="en-GB"/>
        </w:rPr>
        <w:t xml:space="preserve">, said: </w:t>
      </w:r>
    </w:p>
    <w:p w:rsidR="00F875BD" w:rsidRDefault="00F875BD" w:rsidP="00F875BD">
      <w:pPr>
        <w:autoSpaceDE w:val="0"/>
        <w:autoSpaceDN w:val="0"/>
        <w:adjustRightInd w:val="0"/>
        <w:spacing w:line="276" w:lineRule="auto"/>
        <w:rPr>
          <w:rFonts w:cs="Georgia"/>
          <w:color w:val="000000"/>
          <w:szCs w:val="20"/>
          <w:lang w:eastAsia="en-GB"/>
        </w:rPr>
      </w:pPr>
    </w:p>
    <w:p w:rsidR="00F875BD" w:rsidRDefault="00F875BD" w:rsidP="00F875BD">
      <w:pPr>
        <w:autoSpaceDE w:val="0"/>
        <w:autoSpaceDN w:val="0"/>
        <w:adjustRightInd w:val="0"/>
        <w:spacing w:line="276" w:lineRule="auto"/>
        <w:ind w:left="284"/>
        <w:rPr>
          <w:rFonts w:cs="Georgia"/>
          <w:color w:val="000000"/>
          <w:szCs w:val="20"/>
          <w:lang w:eastAsia="en-GB"/>
        </w:rPr>
      </w:pPr>
      <w:r>
        <w:rPr>
          <w:rFonts w:cs="Georgia"/>
          <w:color w:val="000000"/>
          <w:szCs w:val="20"/>
          <w:lang w:eastAsia="en-GB"/>
        </w:rPr>
        <w:t>“</w:t>
      </w:r>
      <w:r w:rsidRPr="002E0C1C">
        <w:rPr>
          <w:rFonts w:cs="Georgia"/>
          <w:color w:val="000000"/>
          <w:szCs w:val="20"/>
          <w:lang w:eastAsia="en-GB"/>
        </w:rPr>
        <w:t>With companies under rate pressure and having spent a considerable amount of time bedding down previous deals and taking cost out of their businesses, acquisitions are a timely route to finding synergy cost savings and maintaini</w:t>
      </w:r>
      <w:r>
        <w:rPr>
          <w:rFonts w:cs="Georgia"/>
          <w:color w:val="000000"/>
          <w:szCs w:val="20"/>
          <w:lang w:eastAsia="en-GB"/>
        </w:rPr>
        <w:t>ng earnings and dividend growth</w:t>
      </w:r>
      <w:r w:rsidRPr="00797C1B">
        <w:rPr>
          <w:rFonts w:cs="Georgia"/>
          <w:color w:val="000000"/>
          <w:szCs w:val="20"/>
          <w:lang w:eastAsia="en-GB"/>
        </w:rPr>
        <w:t>.</w:t>
      </w:r>
      <w:r>
        <w:rPr>
          <w:rFonts w:cs="Georgia"/>
          <w:color w:val="000000"/>
          <w:szCs w:val="20"/>
          <w:lang w:eastAsia="en-GB"/>
        </w:rPr>
        <w:t>”</w:t>
      </w:r>
    </w:p>
    <w:p w:rsidR="00F875BD" w:rsidRDefault="00F875BD" w:rsidP="00F875BD">
      <w:pPr>
        <w:autoSpaceDE w:val="0"/>
        <w:autoSpaceDN w:val="0"/>
        <w:adjustRightInd w:val="0"/>
        <w:spacing w:line="276" w:lineRule="auto"/>
        <w:rPr>
          <w:rFonts w:cs="Georgia"/>
          <w:color w:val="000000"/>
          <w:szCs w:val="20"/>
          <w:lang w:eastAsia="en-GB"/>
        </w:rPr>
      </w:pPr>
    </w:p>
    <w:p w:rsidR="00F875BD" w:rsidRDefault="00F875BD" w:rsidP="00346011">
      <w:pPr>
        <w:autoSpaceDE w:val="0"/>
        <w:autoSpaceDN w:val="0"/>
        <w:adjustRightInd w:val="0"/>
        <w:spacing w:line="276" w:lineRule="auto"/>
        <w:rPr>
          <w:rFonts w:cs="Georgia"/>
          <w:color w:val="000000"/>
          <w:szCs w:val="20"/>
          <w:lang w:eastAsia="en-GB"/>
        </w:rPr>
      </w:pPr>
      <w:r w:rsidRPr="002E0C1C">
        <w:rPr>
          <w:rFonts w:cs="Georgia"/>
          <w:color w:val="000000"/>
          <w:szCs w:val="20"/>
          <w:lang w:eastAsia="en-GB"/>
        </w:rPr>
        <w:t>This is likely to make for a strong US power</w:t>
      </w:r>
      <w:r>
        <w:rPr>
          <w:rFonts w:cs="Georgia"/>
          <w:color w:val="000000"/>
          <w:szCs w:val="20"/>
          <w:lang w:eastAsia="en-GB"/>
        </w:rPr>
        <w:t xml:space="preserve"> </w:t>
      </w:r>
      <w:r w:rsidRPr="002E0C1C">
        <w:rPr>
          <w:rFonts w:cs="Georgia"/>
          <w:color w:val="000000"/>
          <w:szCs w:val="20"/>
          <w:lang w:eastAsia="en-GB"/>
        </w:rPr>
        <w:t>and renewables deal market in 2014 when</w:t>
      </w:r>
      <w:r>
        <w:rPr>
          <w:rFonts w:cs="Georgia"/>
          <w:color w:val="000000"/>
          <w:szCs w:val="20"/>
          <w:lang w:eastAsia="en-GB"/>
        </w:rPr>
        <w:t xml:space="preserve"> </w:t>
      </w:r>
      <w:r w:rsidRPr="002E0C1C">
        <w:rPr>
          <w:rFonts w:cs="Georgia"/>
          <w:color w:val="000000"/>
          <w:szCs w:val="20"/>
          <w:lang w:eastAsia="en-GB"/>
        </w:rPr>
        <w:t>combined with a continued shedding of</w:t>
      </w:r>
      <w:r>
        <w:rPr>
          <w:rFonts w:cs="Georgia"/>
          <w:color w:val="000000"/>
          <w:szCs w:val="20"/>
          <w:lang w:eastAsia="en-GB"/>
        </w:rPr>
        <w:t xml:space="preserve"> </w:t>
      </w:r>
      <w:r w:rsidRPr="002E0C1C">
        <w:rPr>
          <w:rFonts w:cs="Georgia"/>
          <w:color w:val="000000"/>
          <w:szCs w:val="20"/>
          <w:lang w:eastAsia="en-GB"/>
        </w:rPr>
        <w:t>non-regulated assets by hybrid utilities, a</w:t>
      </w:r>
      <w:r>
        <w:rPr>
          <w:rFonts w:cs="Georgia"/>
          <w:color w:val="000000"/>
          <w:szCs w:val="20"/>
          <w:lang w:eastAsia="en-GB"/>
        </w:rPr>
        <w:t xml:space="preserve"> </w:t>
      </w:r>
      <w:r w:rsidRPr="002E0C1C">
        <w:rPr>
          <w:rFonts w:cs="Georgia"/>
          <w:color w:val="000000"/>
          <w:szCs w:val="20"/>
          <w:lang w:eastAsia="en-GB"/>
        </w:rPr>
        <w:t>continued need for regulated utilities</w:t>
      </w:r>
      <w:r w:rsidR="0002190E">
        <w:rPr>
          <w:rFonts w:cs="Georgia"/>
          <w:color w:val="000000"/>
          <w:szCs w:val="20"/>
          <w:lang w:eastAsia="en-GB"/>
        </w:rPr>
        <w:t xml:space="preserve"> </w:t>
      </w:r>
      <w:r w:rsidRPr="002E0C1C">
        <w:rPr>
          <w:rFonts w:cs="Georgia"/>
          <w:color w:val="000000"/>
          <w:szCs w:val="20"/>
          <w:lang w:eastAsia="en-GB"/>
        </w:rPr>
        <w:t xml:space="preserve">to find cost </w:t>
      </w:r>
      <w:r w:rsidRPr="0002190E">
        <w:rPr>
          <w:rFonts w:cs="Georgia"/>
          <w:color w:val="000000"/>
          <w:szCs w:val="20"/>
          <w:lang w:eastAsia="en-GB"/>
        </w:rPr>
        <w:t>savings, and a desire for yield driving</w:t>
      </w:r>
      <w:r>
        <w:rPr>
          <w:rFonts w:cs="Georgia"/>
          <w:color w:val="000000"/>
          <w:szCs w:val="20"/>
          <w:lang w:eastAsia="en-GB"/>
        </w:rPr>
        <w:t xml:space="preserve"> </w:t>
      </w:r>
      <w:r w:rsidRPr="002E0C1C">
        <w:rPr>
          <w:rFonts w:cs="Georgia"/>
          <w:color w:val="000000"/>
          <w:szCs w:val="20"/>
          <w:lang w:eastAsia="en-GB"/>
        </w:rPr>
        <w:t>renewable transactions including YieldCo</w:t>
      </w:r>
      <w:r>
        <w:rPr>
          <w:rFonts w:cs="Georgia"/>
          <w:color w:val="000000"/>
          <w:szCs w:val="20"/>
          <w:lang w:eastAsia="en-GB"/>
        </w:rPr>
        <w:t xml:space="preserve"> </w:t>
      </w:r>
      <w:r w:rsidR="009A2E0A">
        <w:rPr>
          <w:rFonts w:cs="Georgia"/>
          <w:color w:val="000000"/>
          <w:szCs w:val="20"/>
          <w:lang w:eastAsia="en-GB"/>
        </w:rPr>
        <w:t>IPOs</w:t>
      </w:r>
      <w:r w:rsidRPr="002E0C1C">
        <w:rPr>
          <w:rFonts w:cs="Georgia"/>
          <w:color w:val="000000"/>
          <w:szCs w:val="20"/>
          <w:lang w:eastAsia="en-GB"/>
        </w:rPr>
        <w:t xml:space="preserve"> and strong inbound interest.</w:t>
      </w:r>
    </w:p>
    <w:p w:rsidR="00F875BD" w:rsidRDefault="00F875BD" w:rsidP="00346011">
      <w:pPr>
        <w:autoSpaceDE w:val="0"/>
        <w:autoSpaceDN w:val="0"/>
        <w:adjustRightInd w:val="0"/>
        <w:spacing w:line="276" w:lineRule="auto"/>
        <w:rPr>
          <w:rFonts w:cs="Georgia"/>
          <w:color w:val="000000"/>
          <w:szCs w:val="20"/>
          <w:lang w:eastAsia="en-GB"/>
        </w:rPr>
      </w:pPr>
    </w:p>
    <w:p w:rsidR="00444E83" w:rsidRDefault="00444E83" w:rsidP="00346011">
      <w:pPr>
        <w:autoSpaceDE w:val="0"/>
        <w:autoSpaceDN w:val="0"/>
        <w:adjustRightInd w:val="0"/>
        <w:spacing w:line="276" w:lineRule="auto"/>
        <w:rPr>
          <w:rFonts w:cs="Georgia"/>
          <w:color w:val="000000"/>
          <w:szCs w:val="20"/>
          <w:lang w:eastAsia="en-GB"/>
        </w:rPr>
      </w:pPr>
      <w:r>
        <w:rPr>
          <w:rFonts w:cs="Georgia"/>
          <w:color w:val="000000"/>
          <w:szCs w:val="20"/>
          <w:lang w:eastAsia="en-GB"/>
        </w:rPr>
        <w:t>The report maps a number of deal hot spots and investment opportunities around the world in the power and renewables sector for the year ahead. In particular, it highlights:</w:t>
      </w:r>
    </w:p>
    <w:p w:rsidR="00444E83" w:rsidRDefault="00444E83" w:rsidP="00346011">
      <w:pPr>
        <w:autoSpaceDE w:val="0"/>
        <w:autoSpaceDN w:val="0"/>
        <w:adjustRightInd w:val="0"/>
        <w:spacing w:line="276" w:lineRule="auto"/>
        <w:rPr>
          <w:rFonts w:cs="Georgia"/>
          <w:color w:val="000000"/>
          <w:szCs w:val="20"/>
          <w:lang w:eastAsia="en-GB"/>
        </w:rPr>
      </w:pPr>
    </w:p>
    <w:p w:rsidR="00F84DF2" w:rsidRDefault="00F84DF2" w:rsidP="00F84DF2">
      <w:pPr>
        <w:autoSpaceDE w:val="0"/>
        <w:autoSpaceDN w:val="0"/>
        <w:adjustRightInd w:val="0"/>
        <w:spacing w:line="276" w:lineRule="auto"/>
        <w:rPr>
          <w:rFonts w:cs="Georgia"/>
          <w:color w:val="000000"/>
          <w:szCs w:val="20"/>
          <w:lang w:eastAsia="en-GB"/>
        </w:rPr>
      </w:pPr>
      <w:r>
        <w:rPr>
          <w:rFonts w:cs="Georgia"/>
          <w:b/>
          <w:color w:val="000000"/>
          <w:szCs w:val="20"/>
          <w:lang w:eastAsia="en-GB"/>
        </w:rPr>
        <w:t>A widening out of growth target markets</w:t>
      </w:r>
      <w:r w:rsidR="00444E83" w:rsidRPr="007954C7">
        <w:rPr>
          <w:rFonts w:cs="Georgia"/>
          <w:b/>
          <w:color w:val="000000"/>
          <w:szCs w:val="20"/>
          <w:lang w:eastAsia="en-GB"/>
        </w:rPr>
        <w:t xml:space="preserve"> </w:t>
      </w:r>
      <w:r w:rsidR="007E1F76">
        <w:rPr>
          <w:rFonts w:cs="Georgia"/>
          <w:color w:val="000000"/>
          <w:szCs w:val="20"/>
          <w:lang w:eastAsia="en-GB"/>
        </w:rPr>
        <w:t xml:space="preserve">– </w:t>
      </w:r>
      <w:r w:rsidR="00252CE8">
        <w:rPr>
          <w:rFonts w:cs="Georgia"/>
          <w:color w:val="000000"/>
          <w:szCs w:val="20"/>
          <w:lang w:eastAsia="en-GB"/>
        </w:rPr>
        <w:t>t</w:t>
      </w:r>
      <w:r w:rsidRPr="00F84DF2">
        <w:rPr>
          <w:rFonts w:cs="Georgia"/>
          <w:color w:val="000000"/>
          <w:szCs w:val="20"/>
          <w:lang w:eastAsia="en-GB"/>
        </w:rPr>
        <w:t>he balance shift to faster growing</w:t>
      </w:r>
      <w:r>
        <w:rPr>
          <w:rFonts w:cs="Georgia"/>
          <w:color w:val="000000"/>
          <w:szCs w:val="20"/>
          <w:lang w:eastAsia="en-GB"/>
        </w:rPr>
        <w:t xml:space="preserve"> </w:t>
      </w:r>
      <w:r w:rsidRPr="00F84DF2">
        <w:rPr>
          <w:rFonts w:cs="Georgia"/>
          <w:color w:val="000000"/>
          <w:szCs w:val="20"/>
          <w:lang w:eastAsia="en-GB"/>
        </w:rPr>
        <w:t>markets and away from developed</w:t>
      </w:r>
      <w:r>
        <w:rPr>
          <w:rFonts w:cs="Georgia"/>
          <w:color w:val="000000"/>
          <w:szCs w:val="20"/>
          <w:lang w:eastAsia="en-GB"/>
        </w:rPr>
        <w:t xml:space="preserve"> </w:t>
      </w:r>
      <w:r w:rsidRPr="00F84DF2">
        <w:rPr>
          <w:rFonts w:cs="Georgia"/>
          <w:color w:val="000000"/>
          <w:szCs w:val="20"/>
          <w:lang w:eastAsia="en-GB"/>
        </w:rPr>
        <w:t>markets, particularly Europe, will</w:t>
      </w:r>
      <w:r>
        <w:rPr>
          <w:rFonts w:cs="Georgia"/>
          <w:color w:val="000000"/>
          <w:szCs w:val="20"/>
          <w:lang w:eastAsia="en-GB"/>
        </w:rPr>
        <w:t xml:space="preserve"> </w:t>
      </w:r>
      <w:r w:rsidRPr="00F84DF2">
        <w:rPr>
          <w:rFonts w:cs="Georgia"/>
          <w:color w:val="000000"/>
          <w:szCs w:val="20"/>
          <w:lang w:eastAsia="en-GB"/>
        </w:rPr>
        <w:t>continue to be an important contributor</w:t>
      </w:r>
      <w:r>
        <w:rPr>
          <w:rFonts w:cs="Georgia"/>
          <w:color w:val="000000"/>
          <w:szCs w:val="20"/>
          <w:lang w:eastAsia="en-GB"/>
        </w:rPr>
        <w:t xml:space="preserve"> </w:t>
      </w:r>
      <w:r w:rsidRPr="00F84DF2">
        <w:rPr>
          <w:rFonts w:cs="Georgia"/>
          <w:color w:val="000000"/>
          <w:szCs w:val="20"/>
          <w:lang w:eastAsia="en-GB"/>
        </w:rPr>
        <w:t>to M&amp;A activity. This trend is widening</w:t>
      </w:r>
      <w:r>
        <w:rPr>
          <w:rFonts w:cs="Georgia"/>
          <w:color w:val="000000"/>
          <w:szCs w:val="20"/>
          <w:lang w:eastAsia="en-GB"/>
        </w:rPr>
        <w:t xml:space="preserve"> </w:t>
      </w:r>
      <w:r w:rsidRPr="00F84DF2">
        <w:rPr>
          <w:rFonts w:cs="Georgia"/>
          <w:color w:val="000000"/>
          <w:szCs w:val="20"/>
          <w:lang w:eastAsia="en-GB"/>
        </w:rPr>
        <w:t>out to encompass a wider range of</w:t>
      </w:r>
      <w:r>
        <w:rPr>
          <w:rFonts w:cs="Georgia"/>
          <w:color w:val="000000"/>
          <w:szCs w:val="20"/>
          <w:lang w:eastAsia="en-GB"/>
        </w:rPr>
        <w:t xml:space="preserve"> </w:t>
      </w:r>
      <w:r w:rsidRPr="00F84DF2">
        <w:rPr>
          <w:rFonts w:cs="Georgia"/>
          <w:color w:val="000000"/>
          <w:szCs w:val="20"/>
          <w:lang w:eastAsia="en-GB"/>
        </w:rPr>
        <w:t>countries.</w:t>
      </w:r>
      <w:r>
        <w:rPr>
          <w:rFonts w:cs="Georgia"/>
          <w:color w:val="000000"/>
          <w:szCs w:val="20"/>
          <w:lang w:eastAsia="en-GB"/>
        </w:rPr>
        <w:t xml:space="preserve"> The report points to activity in sub-Saharan Africa, Vietnam, Mongolia and says reforms in the Mexican power market may attract investor interest in 2014.</w:t>
      </w:r>
    </w:p>
    <w:p w:rsidR="00444E83" w:rsidRDefault="00444E83" w:rsidP="00644CE5">
      <w:pPr>
        <w:autoSpaceDE w:val="0"/>
        <w:autoSpaceDN w:val="0"/>
        <w:adjustRightInd w:val="0"/>
        <w:spacing w:line="276" w:lineRule="auto"/>
        <w:rPr>
          <w:rFonts w:cs="Georgia"/>
          <w:color w:val="000000"/>
          <w:szCs w:val="20"/>
          <w:lang w:eastAsia="en-GB"/>
        </w:rPr>
      </w:pPr>
    </w:p>
    <w:p w:rsidR="00F84DF2" w:rsidRPr="00B91A63" w:rsidRDefault="00F84DF2" w:rsidP="00B91A63">
      <w:pPr>
        <w:pStyle w:val="CommentText"/>
      </w:pPr>
      <w:r w:rsidRPr="00F84DF2">
        <w:rPr>
          <w:rFonts w:cs="Georgia"/>
          <w:b/>
          <w:bCs/>
          <w:color w:val="000000"/>
          <w:lang w:eastAsia="en-GB"/>
        </w:rPr>
        <w:t>Changing gas economics creating</w:t>
      </w:r>
      <w:r>
        <w:rPr>
          <w:rFonts w:cs="Georgia"/>
          <w:b/>
          <w:bCs/>
          <w:color w:val="000000"/>
          <w:lang w:eastAsia="en-GB"/>
        </w:rPr>
        <w:t xml:space="preserve"> </w:t>
      </w:r>
      <w:r w:rsidRPr="00F84DF2">
        <w:rPr>
          <w:rFonts w:cs="Georgia"/>
          <w:b/>
          <w:bCs/>
          <w:color w:val="000000"/>
          <w:lang w:eastAsia="en-GB"/>
        </w:rPr>
        <w:t>opportunities</w:t>
      </w:r>
      <w:r w:rsidR="00444E83">
        <w:rPr>
          <w:rFonts w:cs="Georgia"/>
          <w:b/>
          <w:bCs/>
          <w:color w:val="000000"/>
          <w:lang w:eastAsia="en-GB"/>
        </w:rPr>
        <w:t xml:space="preserve"> –</w:t>
      </w:r>
      <w:r w:rsidR="00092D9F">
        <w:rPr>
          <w:rFonts w:cs="Georgia"/>
          <w:b/>
          <w:bCs/>
          <w:color w:val="000000"/>
          <w:lang w:eastAsia="en-GB"/>
        </w:rPr>
        <w:t xml:space="preserve"> </w:t>
      </w:r>
      <w:r w:rsidR="00092D9F">
        <w:rPr>
          <w:rFonts w:cs="Georgia"/>
          <w:bCs/>
          <w:color w:val="000000"/>
          <w:lang w:eastAsia="en-GB"/>
        </w:rPr>
        <w:t xml:space="preserve">uncertain economics in the gas-fired power market </w:t>
      </w:r>
      <w:r w:rsidR="00252CE8">
        <w:rPr>
          <w:rFonts w:cs="Georgia"/>
          <w:bCs/>
          <w:color w:val="000000"/>
          <w:lang w:eastAsia="en-GB"/>
        </w:rPr>
        <w:t>are</w:t>
      </w:r>
      <w:r w:rsidR="00092D9F">
        <w:rPr>
          <w:rFonts w:cs="Georgia"/>
          <w:bCs/>
          <w:color w:val="000000"/>
          <w:lang w:eastAsia="en-GB"/>
        </w:rPr>
        <w:t xml:space="preserve"> bringing deal opportunities. I</w:t>
      </w:r>
      <w:r>
        <w:rPr>
          <w:rFonts w:cs="Georgia"/>
          <w:bCs/>
          <w:color w:val="000000"/>
          <w:lang w:eastAsia="en-GB"/>
        </w:rPr>
        <w:t>n the US</w:t>
      </w:r>
      <w:r w:rsidRPr="00F84DF2">
        <w:rPr>
          <w:rFonts w:cs="Georgia"/>
          <w:bCs/>
          <w:color w:val="000000"/>
          <w:lang w:eastAsia="en-GB"/>
        </w:rPr>
        <w:t>, we expect to see growing</w:t>
      </w:r>
      <w:r w:rsidR="00092D9F">
        <w:rPr>
          <w:rFonts w:cs="Georgia"/>
          <w:bCs/>
          <w:color w:val="000000"/>
          <w:lang w:eastAsia="en-GB"/>
        </w:rPr>
        <w:t xml:space="preserve"> </w:t>
      </w:r>
      <w:r w:rsidRPr="00F84DF2">
        <w:rPr>
          <w:rFonts w:cs="Georgia"/>
          <w:bCs/>
          <w:color w:val="000000"/>
          <w:lang w:eastAsia="en-GB"/>
        </w:rPr>
        <w:t>interest in any available gas generation</w:t>
      </w:r>
      <w:r w:rsidR="00092D9F">
        <w:rPr>
          <w:rFonts w:cs="Georgia"/>
          <w:bCs/>
          <w:color w:val="000000"/>
          <w:lang w:eastAsia="en-GB"/>
        </w:rPr>
        <w:t xml:space="preserve"> </w:t>
      </w:r>
      <w:r w:rsidRPr="00F84DF2">
        <w:rPr>
          <w:rFonts w:cs="Georgia"/>
          <w:bCs/>
          <w:color w:val="000000"/>
          <w:lang w:eastAsia="en-GB"/>
        </w:rPr>
        <w:t xml:space="preserve">assets. In Europe, </w:t>
      </w:r>
      <w:r w:rsidR="00092D9F">
        <w:rPr>
          <w:rFonts w:cs="Georgia"/>
          <w:bCs/>
          <w:color w:val="000000"/>
          <w:lang w:eastAsia="en-GB"/>
        </w:rPr>
        <w:t xml:space="preserve">where </w:t>
      </w:r>
      <w:r w:rsidR="00B91A63">
        <w:t>recent gas generation retirements have increased</w:t>
      </w:r>
      <w:r w:rsidR="00092D9F">
        <w:rPr>
          <w:rFonts w:cs="Georgia"/>
          <w:bCs/>
          <w:color w:val="000000"/>
          <w:lang w:eastAsia="en-GB"/>
        </w:rPr>
        <w:t xml:space="preserve">, </w:t>
      </w:r>
      <w:r w:rsidRPr="00F84DF2">
        <w:rPr>
          <w:rFonts w:cs="Georgia"/>
          <w:bCs/>
          <w:color w:val="000000"/>
          <w:lang w:eastAsia="en-GB"/>
        </w:rPr>
        <w:t>we have seen some</w:t>
      </w:r>
      <w:r w:rsidR="00092D9F">
        <w:rPr>
          <w:rFonts w:cs="Georgia"/>
          <w:bCs/>
          <w:color w:val="000000"/>
          <w:lang w:eastAsia="en-GB"/>
        </w:rPr>
        <w:t xml:space="preserve"> </w:t>
      </w:r>
      <w:r w:rsidRPr="00F84DF2">
        <w:rPr>
          <w:rFonts w:cs="Georgia"/>
          <w:bCs/>
          <w:color w:val="000000"/>
          <w:lang w:eastAsia="en-GB"/>
        </w:rPr>
        <w:t>isolated deals</w:t>
      </w:r>
      <w:r w:rsidR="00092D9F">
        <w:rPr>
          <w:rFonts w:cs="Georgia"/>
          <w:bCs/>
          <w:color w:val="000000"/>
          <w:lang w:eastAsia="en-GB"/>
        </w:rPr>
        <w:t>. I</w:t>
      </w:r>
      <w:r w:rsidRPr="00F84DF2">
        <w:rPr>
          <w:rFonts w:cs="Georgia"/>
          <w:bCs/>
          <w:color w:val="000000"/>
          <w:lang w:eastAsia="en-GB"/>
        </w:rPr>
        <w:t xml:space="preserve">nvestors </w:t>
      </w:r>
      <w:r w:rsidR="00092D9F">
        <w:rPr>
          <w:rFonts w:cs="Georgia"/>
          <w:bCs/>
          <w:color w:val="000000"/>
          <w:lang w:eastAsia="en-GB"/>
        </w:rPr>
        <w:t>have bought</w:t>
      </w:r>
      <w:r w:rsidRPr="00F84DF2">
        <w:rPr>
          <w:rFonts w:cs="Georgia"/>
          <w:bCs/>
          <w:color w:val="000000"/>
          <w:lang w:eastAsia="en-GB"/>
        </w:rPr>
        <w:t xml:space="preserve"> power plant assets,</w:t>
      </w:r>
      <w:r w:rsidR="00092D9F">
        <w:rPr>
          <w:rFonts w:cs="Georgia"/>
          <w:bCs/>
          <w:color w:val="000000"/>
          <w:lang w:eastAsia="en-GB"/>
        </w:rPr>
        <w:t xml:space="preserve"> </w:t>
      </w:r>
      <w:r w:rsidRPr="00F84DF2">
        <w:rPr>
          <w:rFonts w:cs="Georgia"/>
          <w:bCs/>
          <w:color w:val="000000"/>
          <w:lang w:eastAsia="en-GB"/>
        </w:rPr>
        <w:t>although most owners have sat tight</w:t>
      </w:r>
      <w:r w:rsidR="00092D9F">
        <w:rPr>
          <w:rFonts w:cs="Georgia"/>
          <w:bCs/>
          <w:color w:val="000000"/>
          <w:lang w:eastAsia="en-GB"/>
        </w:rPr>
        <w:t xml:space="preserve"> </w:t>
      </w:r>
      <w:r w:rsidRPr="00F84DF2">
        <w:rPr>
          <w:rFonts w:cs="Georgia"/>
          <w:bCs/>
          <w:color w:val="000000"/>
          <w:lang w:eastAsia="en-GB"/>
        </w:rPr>
        <w:t>during the distress period, some with the</w:t>
      </w:r>
      <w:r w:rsidR="00092D9F">
        <w:rPr>
          <w:rFonts w:cs="Georgia"/>
          <w:bCs/>
          <w:color w:val="000000"/>
          <w:lang w:eastAsia="en-GB"/>
        </w:rPr>
        <w:t xml:space="preserve"> </w:t>
      </w:r>
      <w:r w:rsidRPr="00F84DF2">
        <w:rPr>
          <w:rFonts w:cs="Georgia"/>
          <w:bCs/>
          <w:color w:val="000000"/>
          <w:lang w:eastAsia="en-GB"/>
        </w:rPr>
        <w:t>help of refinancing. Longer term, gas could</w:t>
      </w:r>
      <w:r w:rsidR="00092D9F">
        <w:rPr>
          <w:rFonts w:cs="Georgia"/>
          <w:bCs/>
          <w:color w:val="000000"/>
          <w:lang w:eastAsia="en-GB"/>
        </w:rPr>
        <w:t xml:space="preserve"> </w:t>
      </w:r>
      <w:r w:rsidRPr="00F84DF2">
        <w:rPr>
          <w:rFonts w:cs="Georgia"/>
          <w:bCs/>
          <w:color w:val="000000"/>
          <w:lang w:eastAsia="en-GB"/>
        </w:rPr>
        <w:t>provide a sweet spot in the market place.</w:t>
      </w:r>
    </w:p>
    <w:p w:rsidR="00F84DF2" w:rsidRDefault="00F84DF2" w:rsidP="00F84DF2">
      <w:pPr>
        <w:autoSpaceDE w:val="0"/>
        <w:autoSpaceDN w:val="0"/>
        <w:adjustRightInd w:val="0"/>
        <w:spacing w:line="276" w:lineRule="auto"/>
        <w:rPr>
          <w:rFonts w:cs="Georgia"/>
          <w:bCs/>
          <w:color w:val="000000"/>
          <w:szCs w:val="20"/>
          <w:lang w:eastAsia="en-GB"/>
        </w:rPr>
      </w:pPr>
    </w:p>
    <w:p w:rsidR="002349AB" w:rsidRDefault="002349AB" w:rsidP="002349AB">
      <w:pPr>
        <w:autoSpaceDE w:val="0"/>
        <w:autoSpaceDN w:val="0"/>
        <w:adjustRightInd w:val="0"/>
        <w:spacing w:line="276" w:lineRule="auto"/>
        <w:rPr>
          <w:rFonts w:cs="Georgia"/>
          <w:bCs/>
          <w:color w:val="000000"/>
          <w:szCs w:val="20"/>
          <w:lang w:eastAsia="en-GB"/>
        </w:rPr>
      </w:pPr>
      <w:r w:rsidRPr="002349AB">
        <w:rPr>
          <w:rFonts w:cs="Georgia"/>
          <w:b/>
          <w:bCs/>
          <w:color w:val="000000"/>
          <w:szCs w:val="20"/>
          <w:lang w:eastAsia="en-GB"/>
        </w:rPr>
        <w:t>Renewables deal flow trending upward</w:t>
      </w:r>
      <w:r>
        <w:rPr>
          <w:rFonts w:cs="Georgia"/>
          <w:bCs/>
          <w:color w:val="000000"/>
          <w:szCs w:val="20"/>
          <w:lang w:eastAsia="en-GB"/>
        </w:rPr>
        <w:t xml:space="preserve"> - the PwC report sees</w:t>
      </w:r>
      <w:r w:rsidRPr="002349AB">
        <w:rPr>
          <w:rFonts w:cs="Georgia"/>
          <w:bCs/>
          <w:color w:val="000000"/>
          <w:szCs w:val="20"/>
          <w:lang w:eastAsia="en-GB"/>
        </w:rPr>
        <w:t xml:space="preserve"> the underlying upward trend in</w:t>
      </w:r>
      <w:r w:rsidR="0002190E">
        <w:rPr>
          <w:rFonts w:cs="Georgia"/>
          <w:bCs/>
          <w:color w:val="000000"/>
          <w:szCs w:val="20"/>
          <w:lang w:eastAsia="en-GB"/>
        </w:rPr>
        <w:t xml:space="preserve"> </w:t>
      </w:r>
      <w:r w:rsidRPr="002349AB">
        <w:rPr>
          <w:rFonts w:cs="Georgia"/>
          <w:bCs/>
          <w:color w:val="000000"/>
          <w:szCs w:val="20"/>
          <w:lang w:eastAsia="en-GB"/>
        </w:rPr>
        <w:t>renewables deals that characterised the</w:t>
      </w:r>
      <w:r>
        <w:rPr>
          <w:rFonts w:cs="Georgia"/>
          <w:bCs/>
          <w:color w:val="000000"/>
          <w:szCs w:val="20"/>
          <w:lang w:eastAsia="en-GB"/>
        </w:rPr>
        <w:t xml:space="preserve"> </w:t>
      </w:r>
      <w:r w:rsidRPr="002349AB">
        <w:rPr>
          <w:rFonts w:cs="Georgia"/>
          <w:bCs/>
          <w:color w:val="000000"/>
          <w:szCs w:val="20"/>
          <w:lang w:eastAsia="en-GB"/>
        </w:rPr>
        <w:t>last twelve months continuing into 2014.</w:t>
      </w:r>
      <w:r>
        <w:rPr>
          <w:rFonts w:cs="Georgia"/>
          <w:bCs/>
          <w:color w:val="000000"/>
          <w:szCs w:val="20"/>
          <w:lang w:eastAsia="en-GB"/>
        </w:rPr>
        <w:t xml:space="preserve"> </w:t>
      </w:r>
      <w:r w:rsidRPr="002349AB">
        <w:rPr>
          <w:rFonts w:cs="Georgia"/>
          <w:bCs/>
          <w:color w:val="000000"/>
          <w:szCs w:val="20"/>
          <w:lang w:eastAsia="en-GB"/>
        </w:rPr>
        <w:t xml:space="preserve">In Europe, </w:t>
      </w:r>
      <w:r>
        <w:rPr>
          <w:rFonts w:cs="Georgia"/>
          <w:bCs/>
          <w:color w:val="000000"/>
          <w:szCs w:val="20"/>
          <w:lang w:eastAsia="en-GB"/>
        </w:rPr>
        <w:t xml:space="preserve">for example, </w:t>
      </w:r>
      <w:r w:rsidRPr="002349AB">
        <w:rPr>
          <w:rFonts w:cs="Georgia"/>
          <w:bCs/>
          <w:color w:val="000000"/>
          <w:szCs w:val="20"/>
          <w:lang w:eastAsia="en-GB"/>
        </w:rPr>
        <w:t>the volatility that characterised</w:t>
      </w:r>
      <w:r>
        <w:rPr>
          <w:rFonts w:cs="Georgia"/>
          <w:bCs/>
          <w:color w:val="000000"/>
          <w:szCs w:val="20"/>
          <w:lang w:eastAsia="en-GB"/>
        </w:rPr>
        <w:t xml:space="preserve"> </w:t>
      </w:r>
      <w:r w:rsidRPr="002349AB">
        <w:rPr>
          <w:rFonts w:cs="Georgia"/>
          <w:bCs/>
          <w:color w:val="000000"/>
          <w:szCs w:val="20"/>
          <w:lang w:eastAsia="en-GB"/>
        </w:rPr>
        <w:t>government policy support in the last few</w:t>
      </w:r>
      <w:r>
        <w:rPr>
          <w:rFonts w:cs="Georgia"/>
          <w:bCs/>
          <w:color w:val="000000"/>
          <w:szCs w:val="20"/>
          <w:lang w:eastAsia="en-GB"/>
        </w:rPr>
        <w:t xml:space="preserve"> </w:t>
      </w:r>
      <w:r w:rsidRPr="002349AB">
        <w:rPr>
          <w:rFonts w:cs="Georgia"/>
          <w:bCs/>
          <w:color w:val="000000"/>
          <w:szCs w:val="20"/>
          <w:lang w:eastAsia="en-GB"/>
        </w:rPr>
        <w:t>years is subsiding with some of the key</w:t>
      </w:r>
      <w:r>
        <w:rPr>
          <w:rFonts w:cs="Georgia"/>
          <w:bCs/>
          <w:color w:val="000000"/>
          <w:szCs w:val="20"/>
          <w:lang w:eastAsia="en-GB"/>
        </w:rPr>
        <w:t xml:space="preserve"> </w:t>
      </w:r>
      <w:r w:rsidRPr="002349AB">
        <w:rPr>
          <w:rFonts w:cs="Georgia"/>
          <w:bCs/>
          <w:color w:val="000000"/>
          <w:szCs w:val="20"/>
          <w:lang w:eastAsia="en-GB"/>
        </w:rPr>
        <w:t>issues being resolved, although country</w:t>
      </w:r>
      <w:r>
        <w:rPr>
          <w:rFonts w:cs="Georgia"/>
          <w:bCs/>
          <w:color w:val="000000"/>
          <w:szCs w:val="20"/>
          <w:lang w:eastAsia="en-GB"/>
        </w:rPr>
        <w:t xml:space="preserve"> </w:t>
      </w:r>
      <w:r w:rsidRPr="002349AB">
        <w:rPr>
          <w:rFonts w:cs="Georgia"/>
          <w:bCs/>
          <w:color w:val="000000"/>
          <w:szCs w:val="20"/>
          <w:lang w:eastAsia="en-GB"/>
        </w:rPr>
        <w:t>by country variances remain.</w:t>
      </w:r>
    </w:p>
    <w:p w:rsidR="002349AB" w:rsidRDefault="002349AB" w:rsidP="002349AB">
      <w:pPr>
        <w:autoSpaceDE w:val="0"/>
        <w:autoSpaceDN w:val="0"/>
        <w:adjustRightInd w:val="0"/>
        <w:spacing w:line="276" w:lineRule="auto"/>
        <w:rPr>
          <w:rFonts w:cs="Georgia"/>
          <w:bCs/>
          <w:color w:val="000000"/>
          <w:szCs w:val="20"/>
          <w:lang w:eastAsia="en-GB"/>
        </w:rPr>
      </w:pPr>
    </w:p>
    <w:p w:rsidR="00444E83" w:rsidRDefault="002349AB" w:rsidP="002349AB">
      <w:pPr>
        <w:autoSpaceDE w:val="0"/>
        <w:autoSpaceDN w:val="0"/>
        <w:adjustRightInd w:val="0"/>
        <w:spacing w:line="276" w:lineRule="auto"/>
        <w:rPr>
          <w:rFonts w:cs="Georgia"/>
          <w:color w:val="000000"/>
          <w:szCs w:val="20"/>
          <w:lang w:eastAsia="en-GB"/>
        </w:rPr>
      </w:pPr>
      <w:r w:rsidRPr="002349AB">
        <w:rPr>
          <w:rFonts w:cs="Georgia"/>
          <w:b/>
          <w:color w:val="000000"/>
          <w:szCs w:val="20"/>
          <w:lang w:eastAsia="en-GB"/>
        </w:rPr>
        <w:t>Capital market conditions encouraging sellers</w:t>
      </w:r>
      <w:r>
        <w:rPr>
          <w:rFonts w:cs="Georgia"/>
          <w:color w:val="000000"/>
          <w:szCs w:val="20"/>
          <w:lang w:eastAsia="en-GB"/>
        </w:rPr>
        <w:t xml:space="preserve"> - c</w:t>
      </w:r>
      <w:r w:rsidRPr="002349AB">
        <w:rPr>
          <w:rFonts w:cs="Georgia"/>
          <w:color w:val="000000"/>
          <w:szCs w:val="20"/>
          <w:lang w:eastAsia="en-GB"/>
        </w:rPr>
        <w:t>apital markets are providing a much</w:t>
      </w:r>
      <w:r>
        <w:rPr>
          <w:rFonts w:cs="Georgia"/>
          <w:color w:val="000000"/>
          <w:szCs w:val="20"/>
          <w:lang w:eastAsia="en-GB"/>
        </w:rPr>
        <w:t xml:space="preserve"> </w:t>
      </w:r>
      <w:r w:rsidRPr="002349AB">
        <w:rPr>
          <w:rFonts w:cs="Georgia"/>
          <w:color w:val="000000"/>
          <w:szCs w:val="20"/>
          <w:lang w:eastAsia="en-GB"/>
        </w:rPr>
        <w:t>better environment for both private</w:t>
      </w:r>
      <w:r>
        <w:rPr>
          <w:rFonts w:cs="Georgia"/>
          <w:color w:val="000000"/>
          <w:szCs w:val="20"/>
          <w:lang w:eastAsia="en-GB"/>
        </w:rPr>
        <w:t xml:space="preserve"> </w:t>
      </w:r>
      <w:r w:rsidRPr="002349AB">
        <w:rPr>
          <w:rFonts w:cs="Georgia"/>
          <w:color w:val="000000"/>
          <w:szCs w:val="20"/>
          <w:lang w:eastAsia="en-GB"/>
        </w:rPr>
        <w:t>placements and public offerings than even</w:t>
      </w:r>
      <w:r>
        <w:rPr>
          <w:rFonts w:cs="Georgia"/>
          <w:color w:val="000000"/>
          <w:szCs w:val="20"/>
          <w:lang w:eastAsia="en-GB"/>
        </w:rPr>
        <w:t xml:space="preserve"> </w:t>
      </w:r>
      <w:r w:rsidRPr="002349AB">
        <w:rPr>
          <w:rFonts w:cs="Georgia"/>
          <w:color w:val="000000"/>
          <w:szCs w:val="20"/>
          <w:lang w:eastAsia="en-GB"/>
        </w:rPr>
        <w:t>just a year ago. Market volatility</w:t>
      </w:r>
      <w:r>
        <w:rPr>
          <w:rFonts w:cs="Georgia"/>
          <w:color w:val="000000"/>
          <w:szCs w:val="20"/>
          <w:lang w:eastAsia="en-GB"/>
        </w:rPr>
        <w:t xml:space="preserve"> </w:t>
      </w:r>
      <w:r w:rsidRPr="002349AB">
        <w:rPr>
          <w:rFonts w:cs="Georgia"/>
          <w:color w:val="000000"/>
          <w:szCs w:val="20"/>
          <w:lang w:eastAsia="en-GB"/>
        </w:rPr>
        <w:t>can’t be ruled out but increased confidence</w:t>
      </w:r>
      <w:r>
        <w:rPr>
          <w:rFonts w:cs="Georgia"/>
          <w:color w:val="000000"/>
          <w:szCs w:val="20"/>
          <w:lang w:eastAsia="en-GB"/>
        </w:rPr>
        <w:t xml:space="preserve"> </w:t>
      </w:r>
      <w:r w:rsidRPr="002349AB">
        <w:rPr>
          <w:rFonts w:cs="Georgia"/>
          <w:color w:val="000000"/>
          <w:szCs w:val="20"/>
          <w:lang w:eastAsia="en-GB"/>
        </w:rPr>
        <w:t>is continuing into 2014 and is likely to</w:t>
      </w:r>
      <w:r w:rsidR="0002190E">
        <w:rPr>
          <w:rFonts w:cs="Georgia"/>
          <w:color w:val="000000"/>
          <w:szCs w:val="20"/>
          <w:lang w:eastAsia="en-GB"/>
        </w:rPr>
        <w:t xml:space="preserve"> </w:t>
      </w:r>
      <w:r w:rsidRPr="002349AB">
        <w:rPr>
          <w:rFonts w:cs="Georgia"/>
          <w:color w:val="000000"/>
          <w:szCs w:val="20"/>
          <w:lang w:eastAsia="en-GB"/>
        </w:rPr>
        <w:t>encourage sellers, both private and state.</w:t>
      </w:r>
      <w:r>
        <w:rPr>
          <w:rFonts w:cs="Georgia"/>
          <w:color w:val="000000"/>
          <w:szCs w:val="20"/>
          <w:lang w:eastAsia="en-GB"/>
        </w:rPr>
        <w:t xml:space="preserve"> </w:t>
      </w:r>
      <w:r w:rsidRPr="002349AB">
        <w:rPr>
          <w:rFonts w:cs="Georgia"/>
          <w:color w:val="000000"/>
          <w:szCs w:val="20"/>
          <w:lang w:eastAsia="en-GB"/>
        </w:rPr>
        <w:t>Already, on the state divestment list, there</w:t>
      </w:r>
      <w:r>
        <w:rPr>
          <w:rFonts w:cs="Georgia"/>
          <w:color w:val="000000"/>
          <w:szCs w:val="20"/>
          <w:lang w:eastAsia="en-GB"/>
        </w:rPr>
        <w:t xml:space="preserve"> </w:t>
      </w:r>
      <w:r w:rsidRPr="002349AB">
        <w:rPr>
          <w:rFonts w:cs="Georgia"/>
          <w:color w:val="000000"/>
          <w:szCs w:val="20"/>
          <w:lang w:eastAsia="en-GB"/>
        </w:rPr>
        <w:t>is significant deal activity for power assets</w:t>
      </w:r>
      <w:r>
        <w:rPr>
          <w:rFonts w:cs="Georgia"/>
          <w:color w:val="000000"/>
          <w:szCs w:val="20"/>
          <w:lang w:eastAsia="en-GB"/>
        </w:rPr>
        <w:t xml:space="preserve"> </w:t>
      </w:r>
      <w:r w:rsidRPr="002349AB">
        <w:rPr>
          <w:rFonts w:cs="Georgia"/>
          <w:color w:val="000000"/>
          <w:szCs w:val="20"/>
          <w:lang w:eastAsia="en-GB"/>
        </w:rPr>
        <w:t>lined up in a number of countries</w:t>
      </w:r>
      <w:r>
        <w:rPr>
          <w:rFonts w:cs="Georgia"/>
          <w:color w:val="000000"/>
          <w:szCs w:val="20"/>
          <w:lang w:eastAsia="en-GB"/>
        </w:rPr>
        <w:t xml:space="preserve"> </w:t>
      </w:r>
      <w:r w:rsidRPr="002349AB">
        <w:rPr>
          <w:rFonts w:cs="Georgia"/>
          <w:color w:val="000000"/>
          <w:szCs w:val="20"/>
          <w:lang w:eastAsia="en-GB"/>
        </w:rPr>
        <w:t>including the UK, Australia, New Zealand</w:t>
      </w:r>
      <w:r w:rsidR="0002190E">
        <w:rPr>
          <w:rFonts w:cs="Georgia"/>
          <w:color w:val="000000"/>
          <w:szCs w:val="20"/>
          <w:lang w:eastAsia="en-GB"/>
        </w:rPr>
        <w:t xml:space="preserve"> </w:t>
      </w:r>
      <w:r w:rsidRPr="002349AB">
        <w:rPr>
          <w:rFonts w:cs="Georgia"/>
          <w:color w:val="000000"/>
          <w:szCs w:val="20"/>
          <w:lang w:eastAsia="en-GB"/>
        </w:rPr>
        <w:t>and Poland.</w:t>
      </w:r>
    </w:p>
    <w:p w:rsidR="002349AB" w:rsidRDefault="002349AB" w:rsidP="002349AB">
      <w:pPr>
        <w:autoSpaceDE w:val="0"/>
        <w:autoSpaceDN w:val="0"/>
        <w:adjustRightInd w:val="0"/>
        <w:spacing w:line="276" w:lineRule="auto"/>
        <w:rPr>
          <w:rFonts w:cs="Georgia"/>
          <w:color w:val="000000"/>
          <w:szCs w:val="20"/>
          <w:lang w:eastAsia="en-GB"/>
        </w:rPr>
      </w:pPr>
    </w:p>
    <w:p w:rsidR="002349AB" w:rsidRDefault="002349AB">
      <w:pPr>
        <w:rPr>
          <w:rFonts w:cs="Arial"/>
          <w:b/>
          <w:color w:val="000000"/>
          <w:szCs w:val="20"/>
          <w:lang w:val="en-US"/>
        </w:rPr>
      </w:pPr>
    </w:p>
    <w:p w:rsidR="00444E83" w:rsidRDefault="00444E83">
      <w:pPr>
        <w:rPr>
          <w:rFonts w:cs="Arial"/>
          <w:b/>
          <w:color w:val="000000"/>
          <w:szCs w:val="20"/>
          <w:lang w:val="en-US"/>
        </w:rPr>
      </w:pPr>
      <w:r>
        <w:rPr>
          <w:rFonts w:cs="Arial"/>
          <w:b/>
          <w:color w:val="000000"/>
          <w:szCs w:val="20"/>
          <w:lang w:val="en-US"/>
        </w:rPr>
        <w:t xml:space="preserve">ENDS </w:t>
      </w:r>
    </w:p>
    <w:p w:rsidR="00DB1F49" w:rsidRDefault="00DB1F49">
      <w:pPr>
        <w:rPr>
          <w:rFonts w:cs="Arial"/>
          <w:b/>
          <w:color w:val="000000"/>
          <w:szCs w:val="20"/>
          <w:lang w:val="en-US"/>
        </w:rPr>
      </w:pPr>
    </w:p>
    <w:p w:rsidR="00BB69A2" w:rsidRDefault="00BB69A2">
      <w:pPr>
        <w:spacing w:line="240" w:lineRule="auto"/>
        <w:rPr>
          <w:rFonts w:cs="Arial"/>
          <w:b/>
          <w:color w:val="000000"/>
          <w:szCs w:val="20"/>
          <w:lang w:val="en-US"/>
        </w:rPr>
      </w:pPr>
      <w:r>
        <w:rPr>
          <w:rFonts w:cs="Arial"/>
          <w:b/>
          <w:color w:val="000000"/>
          <w:szCs w:val="20"/>
          <w:lang w:val="en-US"/>
        </w:rPr>
        <w:br w:type="page"/>
      </w:r>
    </w:p>
    <w:p w:rsidR="00444E83" w:rsidRPr="00BB69A2" w:rsidRDefault="00444E8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r w:rsidRPr="00BB69A2">
        <w:rPr>
          <w:b/>
          <w:szCs w:val="20"/>
          <w:lang w:eastAsia="en-GB"/>
        </w:rPr>
        <w:lastRenderedPageBreak/>
        <w:t>Note to Editors</w:t>
      </w:r>
    </w:p>
    <w:p w:rsidR="00BB69A2" w:rsidRPr="00BB69A2" w:rsidRDefault="00BB69A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p>
    <w:p w:rsidR="00444E83" w:rsidRPr="00BB69A2" w:rsidRDefault="00444E83">
      <w:pPr>
        <w:rPr>
          <w:rFonts w:cs="Arial"/>
          <w:b/>
          <w:i/>
          <w:szCs w:val="20"/>
        </w:rPr>
      </w:pPr>
      <w:r w:rsidRPr="00BB69A2">
        <w:rPr>
          <w:rFonts w:cs="Arial"/>
          <w:b/>
          <w:i/>
          <w:szCs w:val="20"/>
        </w:rPr>
        <w:t>Methodology</w:t>
      </w:r>
    </w:p>
    <w:p w:rsidR="00444E83" w:rsidRDefault="00444E83" w:rsidP="005C5EC5">
      <w:pPr>
        <w:rPr>
          <w:rFonts w:cs="Arial"/>
          <w:szCs w:val="20"/>
        </w:rPr>
      </w:pPr>
      <w:r w:rsidRPr="00BB69A2">
        <w:rPr>
          <w:rFonts w:cs="Arial"/>
          <w:szCs w:val="20"/>
        </w:rPr>
        <w:t>Global Power &amp; Renewables Deals includes analysis of all global power utilities, renewable energy and clean technology deal activity. We include deals involving power generation, transmission and distribution; natural gas transmission, distribution, storage and pipelines; energy retail; and nuclear power assets. Deals involving operations upstream of these activities, including upstream gas exploration and production, are also excluded. Renewable energy deals are defined as those relating to the following sectors: biofuels, biomass, geothermal, hydro, marine, solar and wind. Renewable energy deals relate to the acquisition of (i) operating and construction stage projects involved in the production of renewable energy and (ii) companies manufacturing equipment for the renewables sector. We define clean technology deals as those relating to the acquisition of companies developing energy efficient products for renewable energy infrastructure.</w:t>
      </w:r>
    </w:p>
    <w:p w:rsidR="00BB69A2" w:rsidRPr="00BB69A2" w:rsidRDefault="00BB69A2" w:rsidP="005C5EC5">
      <w:pPr>
        <w:rPr>
          <w:rFonts w:cs="Arial"/>
          <w:szCs w:val="20"/>
        </w:rPr>
      </w:pPr>
    </w:p>
    <w:p w:rsidR="00444E83" w:rsidRPr="00BB69A2" w:rsidRDefault="00444E83" w:rsidP="005C5EC5">
      <w:pPr>
        <w:rPr>
          <w:rFonts w:cs="Arial"/>
          <w:color w:val="000000"/>
          <w:szCs w:val="20"/>
          <w:lang w:val="en-US"/>
        </w:rPr>
      </w:pPr>
      <w:r w:rsidRPr="00BB69A2">
        <w:rPr>
          <w:rFonts w:cs="Arial"/>
          <w:szCs w:val="20"/>
        </w:rPr>
        <w:t>The analysis is based on published transactions from the Dealogic ‘M&amp;A Global database’ for all electricity, gas utility and renewables deals. Deals are included at their announcement date when they are partially completed (pending financial and legal closure) or completed. Deal values are the consideration value announced or reported including any assumption of debt and liabilities. Comparative data for prior years and quarters differ to that appearing in previous editions of our analysis or other current year deals publications. This can arise in the case of updated information or methodological refinements and consequent restatement of the input database.</w:t>
      </w:r>
    </w:p>
    <w:p w:rsidR="00444E83" w:rsidRPr="00BB69A2" w:rsidRDefault="00444E83">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Cs/>
          <w:color w:val="000000"/>
          <w:szCs w:val="20"/>
          <w:lang w:eastAsia="en-GB"/>
        </w:rPr>
      </w:pPr>
    </w:p>
    <w:p w:rsidR="00444E83" w:rsidRPr="00BB69A2" w:rsidRDefault="00444E83">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Cs/>
          <w:color w:val="000000"/>
          <w:szCs w:val="20"/>
          <w:lang w:eastAsia="en-GB"/>
        </w:rPr>
      </w:pPr>
      <w:r w:rsidRPr="00BB69A2">
        <w:rPr>
          <w:rFonts w:cs="Georgia"/>
          <w:b/>
          <w:iCs/>
          <w:color w:val="000000"/>
          <w:szCs w:val="20"/>
          <w:lang w:eastAsia="en-GB"/>
        </w:rPr>
        <w:t>About PwC</w:t>
      </w:r>
    </w:p>
    <w:p w:rsidR="00DB1F49" w:rsidRPr="00BB69A2" w:rsidRDefault="00DB1F49" w:rsidP="00DB1F49">
      <w:pPr>
        <w:spacing w:line="240" w:lineRule="auto"/>
        <w:rPr>
          <w:szCs w:val="20"/>
        </w:rPr>
      </w:pPr>
      <w:r w:rsidRPr="00BB69A2">
        <w:rPr>
          <w:bCs/>
          <w:szCs w:val="20"/>
        </w:rPr>
        <w:t>P</w:t>
      </w:r>
      <w:r w:rsidRPr="00BB69A2">
        <w:rPr>
          <w:szCs w:val="20"/>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8" w:history="1">
        <w:r w:rsidRPr="00BB69A2">
          <w:rPr>
            <w:rStyle w:val="Hyperlink"/>
            <w:szCs w:val="20"/>
          </w:rPr>
          <w:t>www.pwc.com</w:t>
        </w:r>
      </w:hyperlink>
      <w:r w:rsidRPr="00BB69A2">
        <w:rPr>
          <w:szCs w:val="20"/>
        </w:rPr>
        <w:t>.</w:t>
      </w:r>
    </w:p>
    <w:p w:rsidR="00DB1F49" w:rsidRPr="00BB69A2" w:rsidRDefault="00DB1F49" w:rsidP="00DB1F49">
      <w:pPr>
        <w:pStyle w:val="NormalWeb"/>
        <w:rPr>
          <w:rFonts w:ascii="Georgia" w:hAnsi="Georgia"/>
          <w:sz w:val="20"/>
          <w:szCs w:val="20"/>
          <w:lang w:val="en-GB"/>
        </w:rPr>
      </w:pPr>
      <w:r w:rsidRPr="00BB69A2">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DB1F49" w:rsidRPr="00BB69A2" w:rsidRDefault="00DB1F49" w:rsidP="00DB1F49">
      <w:pPr>
        <w:pStyle w:val="NormalWeb"/>
        <w:rPr>
          <w:rFonts w:ascii="Georgia" w:hAnsi="Georgia"/>
          <w:b/>
          <w:sz w:val="20"/>
          <w:szCs w:val="20"/>
          <w:lang w:eastAsia="en-GB"/>
        </w:rPr>
      </w:pPr>
      <w:r w:rsidRPr="00BB69A2">
        <w:rPr>
          <w:rFonts w:ascii="Georgia" w:hAnsi="Georgia" w:cs="Arial"/>
          <w:color w:val="000000"/>
          <w:sz w:val="20"/>
          <w:szCs w:val="20"/>
        </w:rPr>
        <w:t>2014 PricewaterhouseCoopers. All rights reserved.</w:t>
      </w:r>
    </w:p>
    <w:p w:rsidR="00DB1F49" w:rsidRPr="00DB0265" w:rsidRDefault="00DB1F49" w:rsidP="00DB0265">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 w:val="18"/>
          <w:szCs w:val="18"/>
        </w:rPr>
      </w:pPr>
    </w:p>
    <w:sectPr w:rsidR="00DB1F49" w:rsidRPr="00DB0265" w:rsidSect="00457454">
      <w:headerReference w:type="even" r:id="rId9"/>
      <w:headerReference w:type="default" r:id="rId10"/>
      <w:footerReference w:type="even" r:id="rId11"/>
      <w:footerReference w:type="default" r:id="rId12"/>
      <w:headerReference w:type="first" r:id="rId13"/>
      <w:footerReference w:type="first" r:id="rId14"/>
      <w:pgSz w:w="11907" w:h="16839"/>
      <w:pgMar w:top="3137" w:right="797"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C9" w:rsidRDefault="004875C9">
      <w:pPr>
        <w:spacing w:line="240" w:lineRule="auto"/>
      </w:pPr>
      <w:r>
        <w:separator/>
      </w:r>
    </w:p>
  </w:endnote>
  <w:endnote w:type="continuationSeparator" w:id="0">
    <w:p w:rsidR="004875C9" w:rsidRDefault="00487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3" w:rsidRDefault="003144EF">
    <w:pPr>
      <w:pStyle w:val="Footer"/>
    </w:pPr>
    <w:r>
      <w:fldChar w:fldCharType="begin"/>
    </w:r>
    <w:r w:rsidR="007E1F76">
      <w:instrText xml:space="preserve"> PAGE  \* MERGEFORMAT </w:instrText>
    </w:r>
    <w:r>
      <w:fldChar w:fldCharType="separate"/>
    </w:r>
    <w:r w:rsidR="0081250B">
      <w:rPr>
        <w:noProof/>
      </w:rPr>
      <w:t>2</w:t>
    </w:r>
    <w:r>
      <w:rPr>
        <w:noProof/>
      </w:rPr>
      <w:fldChar w:fldCharType="end"/>
    </w:r>
    <w:r w:rsidR="00444E83">
      <w:t xml:space="preserve"> of </w:t>
    </w:r>
    <w:fldSimple w:instr=" NUMPAGES  \* MERGEFORMAT ">
      <w:r w:rsidR="0081250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3" w:rsidRDefault="003144EF">
    <w:pPr>
      <w:pStyle w:val="Footer"/>
    </w:pPr>
    <w:r>
      <w:fldChar w:fldCharType="begin"/>
    </w:r>
    <w:r w:rsidR="007E1F76">
      <w:instrText xml:space="preserve"> PAGE  \* MERGEFORMAT </w:instrText>
    </w:r>
    <w:r>
      <w:fldChar w:fldCharType="separate"/>
    </w:r>
    <w:r w:rsidR="0081250B">
      <w:rPr>
        <w:noProof/>
      </w:rPr>
      <w:t>3</w:t>
    </w:r>
    <w:r>
      <w:rPr>
        <w:noProof/>
      </w:rPr>
      <w:fldChar w:fldCharType="end"/>
    </w:r>
    <w:r w:rsidR="00444E83">
      <w:t xml:space="preserve"> of </w:t>
    </w:r>
    <w:fldSimple w:instr=" NUMPAGES  \* MERGEFORMAT ">
      <w:r w:rsidR="0081250B">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3" w:rsidRDefault="00444E83">
    <w:pPr>
      <w:pStyle w:val="Address"/>
    </w:pPr>
    <w:bookmarkStart w:id="1" w:name="FirstPageFooter"/>
    <w:bookmarkEnd w:id="1"/>
    <w:r>
      <w:t>PricewaterhouseCoopers LLP, 1 Embankment Place. London, WC2N 6RH</w:t>
    </w:r>
  </w:p>
  <w:p w:rsidR="00444E83" w:rsidRDefault="00444E83">
    <w:pPr>
      <w:pStyle w:val="Address"/>
      <w:rPr>
        <w:lang w:val="de-DE"/>
      </w:rPr>
    </w:pPr>
    <w:r>
      <w:rPr>
        <w:lang w:val="de-DE"/>
      </w:rPr>
      <w:t>T: +44 (0)20 7 583 5000, F: +44 (0)20 7 822 4652, www.pwc.co.uk</w:t>
    </w:r>
  </w:p>
  <w:p w:rsidR="00444E83" w:rsidRDefault="00444E83">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C9" w:rsidRDefault="004875C9">
      <w:pPr>
        <w:spacing w:line="240" w:lineRule="auto"/>
      </w:pPr>
      <w:r>
        <w:separator/>
      </w:r>
    </w:p>
  </w:footnote>
  <w:footnote w:type="continuationSeparator" w:id="0">
    <w:p w:rsidR="004875C9" w:rsidRDefault="004875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3" w:rsidRDefault="007735B1">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444E83" w:rsidRDefault="00444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3" w:rsidRDefault="007735B1">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444E83" w:rsidRDefault="00444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3" w:rsidRDefault="007735B1">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78"/>
    <w:rsid w:val="00005BE3"/>
    <w:rsid w:val="00005E4B"/>
    <w:rsid w:val="0002190E"/>
    <w:rsid w:val="00056288"/>
    <w:rsid w:val="00057CF7"/>
    <w:rsid w:val="00083A20"/>
    <w:rsid w:val="00092D9F"/>
    <w:rsid w:val="000A102D"/>
    <w:rsid w:val="000C680E"/>
    <w:rsid w:val="000D5F9D"/>
    <w:rsid w:val="000D7CD5"/>
    <w:rsid w:val="00127456"/>
    <w:rsid w:val="00127840"/>
    <w:rsid w:val="00153B43"/>
    <w:rsid w:val="001C4EA5"/>
    <w:rsid w:val="001F60B0"/>
    <w:rsid w:val="002058A4"/>
    <w:rsid w:val="00216FE2"/>
    <w:rsid w:val="002349AB"/>
    <w:rsid w:val="00242C50"/>
    <w:rsid w:val="00244C0C"/>
    <w:rsid w:val="00252CE8"/>
    <w:rsid w:val="00261D9B"/>
    <w:rsid w:val="00286614"/>
    <w:rsid w:val="002E0C1C"/>
    <w:rsid w:val="002E4CF1"/>
    <w:rsid w:val="002E5153"/>
    <w:rsid w:val="002E6259"/>
    <w:rsid w:val="003144EF"/>
    <w:rsid w:val="003160AF"/>
    <w:rsid w:val="00346011"/>
    <w:rsid w:val="00357143"/>
    <w:rsid w:val="00364B71"/>
    <w:rsid w:val="003904A6"/>
    <w:rsid w:val="00444E83"/>
    <w:rsid w:val="00457454"/>
    <w:rsid w:val="00462495"/>
    <w:rsid w:val="004756E0"/>
    <w:rsid w:val="004875C9"/>
    <w:rsid w:val="00497896"/>
    <w:rsid w:val="004B06A7"/>
    <w:rsid w:val="00532F63"/>
    <w:rsid w:val="00553847"/>
    <w:rsid w:val="00580B70"/>
    <w:rsid w:val="005903E3"/>
    <w:rsid w:val="005C5EC5"/>
    <w:rsid w:val="00605176"/>
    <w:rsid w:val="00644CE5"/>
    <w:rsid w:val="00655E05"/>
    <w:rsid w:val="006656A9"/>
    <w:rsid w:val="00687CDE"/>
    <w:rsid w:val="00690FE6"/>
    <w:rsid w:val="00694BF2"/>
    <w:rsid w:val="006B3FB3"/>
    <w:rsid w:val="006F72DE"/>
    <w:rsid w:val="00764DB7"/>
    <w:rsid w:val="007735B1"/>
    <w:rsid w:val="007954C7"/>
    <w:rsid w:val="00797C1B"/>
    <w:rsid w:val="007B5637"/>
    <w:rsid w:val="007E1F76"/>
    <w:rsid w:val="008102D9"/>
    <w:rsid w:val="0081250B"/>
    <w:rsid w:val="0082101F"/>
    <w:rsid w:val="00837C78"/>
    <w:rsid w:val="00853E33"/>
    <w:rsid w:val="008B2DCC"/>
    <w:rsid w:val="008D0BB6"/>
    <w:rsid w:val="0091339D"/>
    <w:rsid w:val="00964025"/>
    <w:rsid w:val="009A2E0A"/>
    <w:rsid w:val="009A3BE8"/>
    <w:rsid w:val="009F1AA1"/>
    <w:rsid w:val="00A174EE"/>
    <w:rsid w:val="00A21F13"/>
    <w:rsid w:val="00A2631C"/>
    <w:rsid w:val="00A30367"/>
    <w:rsid w:val="00A60F48"/>
    <w:rsid w:val="00A74492"/>
    <w:rsid w:val="00A91E03"/>
    <w:rsid w:val="00AA495C"/>
    <w:rsid w:val="00AB7268"/>
    <w:rsid w:val="00B07FD3"/>
    <w:rsid w:val="00B57F2F"/>
    <w:rsid w:val="00B71E48"/>
    <w:rsid w:val="00B8607C"/>
    <w:rsid w:val="00B91A63"/>
    <w:rsid w:val="00B945E8"/>
    <w:rsid w:val="00BB69A2"/>
    <w:rsid w:val="00BD6972"/>
    <w:rsid w:val="00BE35D0"/>
    <w:rsid w:val="00BF74E4"/>
    <w:rsid w:val="00C10150"/>
    <w:rsid w:val="00C4336D"/>
    <w:rsid w:val="00C54C3E"/>
    <w:rsid w:val="00C70B1D"/>
    <w:rsid w:val="00C87588"/>
    <w:rsid w:val="00CA455B"/>
    <w:rsid w:val="00D2411C"/>
    <w:rsid w:val="00D8232F"/>
    <w:rsid w:val="00DA7A63"/>
    <w:rsid w:val="00DB0265"/>
    <w:rsid w:val="00DB1F49"/>
    <w:rsid w:val="00DB66CA"/>
    <w:rsid w:val="00DD2BF6"/>
    <w:rsid w:val="00E02398"/>
    <w:rsid w:val="00E40C0A"/>
    <w:rsid w:val="00EA0FD0"/>
    <w:rsid w:val="00EB721F"/>
    <w:rsid w:val="00F15BD3"/>
    <w:rsid w:val="00F2171B"/>
    <w:rsid w:val="00F50ECD"/>
    <w:rsid w:val="00F62E75"/>
    <w:rsid w:val="00F84DF2"/>
    <w:rsid w:val="00F875BD"/>
    <w:rsid w:val="00F875C4"/>
    <w:rsid w:val="00FA7C41"/>
    <w:rsid w:val="00FE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78"/>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837C78"/>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C78"/>
    <w:rPr>
      <w:rFonts w:ascii="Cambria" w:hAnsi="Cambria" w:cs="Times New Roman"/>
      <w:b/>
      <w:bCs/>
      <w:kern w:val="32"/>
      <w:sz w:val="32"/>
      <w:szCs w:val="32"/>
    </w:rPr>
  </w:style>
  <w:style w:type="paragraph" w:styleId="Header">
    <w:name w:val="header"/>
    <w:basedOn w:val="Normal"/>
    <w:link w:val="HeaderChar"/>
    <w:uiPriority w:val="99"/>
    <w:semiHidden/>
    <w:rsid w:val="00837C78"/>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37C78"/>
    <w:rPr>
      <w:rFonts w:cs="Times New Roman"/>
    </w:rPr>
  </w:style>
  <w:style w:type="paragraph" w:styleId="Footer">
    <w:name w:val="footer"/>
    <w:basedOn w:val="Normal"/>
    <w:link w:val="FooterChar"/>
    <w:uiPriority w:val="99"/>
    <w:semiHidden/>
    <w:rsid w:val="00837C78"/>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37C78"/>
    <w:rPr>
      <w:rFonts w:cs="Times New Roman"/>
    </w:rPr>
  </w:style>
  <w:style w:type="paragraph" w:styleId="BodyText">
    <w:name w:val="Body Text"/>
    <w:basedOn w:val="Normal"/>
    <w:link w:val="BodyTextChar"/>
    <w:uiPriority w:val="99"/>
    <w:semiHidden/>
    <w:rsid w:val="00837C78"/>
    <w:pPr>
      <w:spacing w:after="240"/>
    </w:pPr>
  </w:style>
  <w:style w:type="character" w:customStyle="1" w:styleId="BodyTextChar">
    <w:name w:val="Body Text Char"/>
    <w:basedOn w:val="DefaultParagraphFont"/>
    <w:link w:val="BodyText"/>
    <w:uiPriority w:val="99"/>
    <w:semiHidden/>
    <w:locked/>
    <w:rsid w:val="00837C78"/>
    <w:rPr>
      <w:rFonts w:ascii="Georgia" w:hAnsi="Georgia" w:cs="Times New Roman"/>
      <w:sz w:val="20"/>
    </w:rPr>
  </w:style>
  <w:style w:type="paragraph" w:styleId="Title">
    <w:name w:val="Title"/>
    <w:basedOn w:val="Normal"/>
    <w:next w:val="Normal"/>
    <w:link w:val="TitleChar"/>
    <w:uiPriority w:val="99"/>
    <w:qFormat/>
    <w:rsid w:val="00837C78"/>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837C78"/>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37C78"/>
    <w:pPr>
      <w:spacing w:line="200" w:lineRule="atLeast"/>
    </w:pPr>
    <w:rPr>
      <w:i/>
      <w:sz w:val="18"/>
    </w:rPr>
  </w:style>
  <w:style w:type="character" w:customStyle="1" w:styleId="AddressChar">
    <w:name w:val="Address Char"/>
    <w:basedOn w:val="DefaultParagraphFont"/>
    <w:link w:val="Address"/>
    <w:uiPriority w:val="99"/>
    <w:locked/>
    <w:rsid w:val="00837C78"/>
    <w:rPr>
      <w:rFonts w:ascii="Georgia" w:hAnsi="Georgia" w:cs="Times New Roman"/>
      <w:i/>
      <w:sz w:val="18"/>
    </w:rPr>
  </w:style>
  <w:style w:type="paragraph" w:customStyle="1" w:styleId="Disclaimer">
    <w:name w:val="Disclaimer"/>
    <w:basedOn w:val="Normal"/>
    <w:link w:val="DisclaimerChar"/>
    <w:uiPriority w:val="99"/>
    <w:rsid w:val="00837C78"/>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37C78"/>
    <w:rPr>
      <w:rFonts w:ascii="Arial" w:hAnsi="Arial" w:cs="Arial"/>
      <w:sz w:val="12"/>
    </w:rPr>
  </w:style>
  <w:style w:type="paragraph" w:customStyle="1" w:styleId="ReleaseBodyText">
    <w:name w:val="Release Body Text"/>
    <w:uiPriority w:val="99"/>
    <w:rsid w:val="00837C78"/>
    <w:rPr>
      <w:rFonts w:ascii="Arial" w:eastAsia="Times New Roman" w:hAnsi="Arial" w:cs="Arial"/>
      <w:sz w:val="20"/>
      <w:szCs w:val="20"/>
      <w:lang w:eastAsia="en-US"/>
    </w:rPr>
  </w:style>
  <w:style w:type="paragraph" w:customStyle="1" w:styleId="Heading">
    <w:name w:val="Heading"/>
    <w:basedOn w:val="Normal"/>
    <w:uiPriority w:val="99"/>
    <w:rsid w:val="00837C78"/>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37C78"/>
    <w:rPr>
      <w:rFonts w:cs="Times New Roman"/>
      <w:sz w:val="16"/>
      <w:szCs w:val="16"/>
    </w:rPr>
  </w:style>
  <w:style w:type="paragraph" w:styleId="CommentText">
    <w:name w:val="annotation text"/>
    <w:basedOn w:val="Normal"/>
    <w:link w:val="CommentTextChar"/>
    <w:uiPriority w:val="99"/>
    <w:semiHidden/>
    <w:rsid w:val="00837C78"/>
    <w:pPr>
      <w:spacing w:line="240" w:lineRule="auto"/>
    </w:pPr>
    <w:rPr>
      <w:szCs w:val="20"/>
    </w:rPr>
  </w:style>
  <w:style w:type="character" w:customStyle="1" w:styleId="CommentTextChar">
    <w:name w:val="Comment Text Char"/>
    <w:basedOn w:val="DefaultParagraphFont"/>
    <w:link w:val="CommentText"/>
    <w:uiPriority w:val="99"/>
    <w:semiHidden/>
    <w:locked/>
    <w:rsid w:val="00837C78"/>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37C78"/>
    <w:rPr>
      <w:b/>
      <w:bCs/>
    </w:rPr>
  </w:style>
  <w:style w:type="character" w:customStyle="1" w:styleId="CommentSubjectChar">
    <w:name w:val="Comment Subject Char"/>
    <w:basedOn w:val="CommentTextChar"/>
    <w:link w:val="CommentSubject"/>
    <w:uiPriority w:val="99"/>
    <w:semiHidden/>
    <w:locked/>
    <w:rsid w:val="00837C78"/>
    <w:rPr>
      <w:rFonts w:ascii="Georgia" w:hAnsi="Georgia" w:cs="Times New Roman"/>
      <w:b/>
      <w:bCs/>
      <w:lang w:eastAsia="en-US"/>
    </w:rPr>
  </w:style>
  <w:style w:type="paragraph" w:styleId="BalloonText">
    <w:name w:val="Balloon Text"/>
    <w:basedOn w:val="Normal"/>
    <w:link w:val="BalloonTextChar"/>
    <w:uiPriority w:val="99"/>
    <w:semiHidden/>
    <w:rsid w:val="00837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C78"/>
    <w:rPr>
      <w:rFonts w:ascii="Tahoma" w:hAnsi="Tahoma" w:cs="Tahoma"/>
      <w:sz w:val="16"/>
      <w:szCs w:val="16"/>
      <w:lang w:eastAsia="en-US"/>
    </w:rPr>
  </w:style>
  <w:style w:type="character" w:styleId="Hyperlink">
    <w:name w:val="Hyperlink"/>
    <w:basedOn w:val="DefaultParagraphFont"/>
    <w:uiPriority w:val="99"/>
    <w:rsid w:val="00837C78"/>
    <w:rPr>
      <w:rFonts w:cs="Times New Roman"/>
      <w:color w:val="0000FF"/>
      <w:u w:val="single"/>
    </w:rPr>
  </w:style>
  <w:style w:type="paragraph" w:styleId="NormalWeb">
    <w:name w:val="Normal (Web)"/>
    <w:basedOn w:val="Normal"/>
    <w:uiPriority w:val="99"/>
    <w:unhideWhenUsed/>
    <w:rsid w:val="00DB1F49"/>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78"/>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837C78"/>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C78"/>
    <w:rPr>
      <w:rFonts w:ascii="Cambria" w:hAnsi="Cambria" w:cs="Times New Roman"/>
      <w:b/>
      <w:bCs/>
      <w:kern w:val="32"/>
      <w:sz w:val="32"/>
      <w:szCs w:val="32"/>
    </w:rPr>
  </w:style>
  <w:style w:type="paragraph" w:styleId="Header">
    <w:name w:val="header"/>
    <w:basedOn w:val="Normal"/>
    <w:link w:val="HeaderChar"/>
    <w:uiPriority w:val="99"/>
    <w:semiHidden/>
    <w:rsid w:val="00837C78"/>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37C78"/>
    <w:rPr>
      <w:rFonts w:cs="Times New Roman"/>
    </w:rPr>
  </w:style>
  <w:style w:type="paragraph" w:styleId="Footer">
    <w:name w:val="footer"/>
    <w:basedOn w:val="Normal"/>
    <w:link w:val="FooterChar"/>
    <w:uiPriority w:val="99"/>
    <w:semiHidden/>
    <w:rsid w:val="00837C78"/>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37C78"/>
    <w:rPr>
      <w:rFonts w:cs="Times New Roman"/>
    </w:rPr>
  </w:style>
  <w:style w:type="paragraph" w:styleId="BodyText">
    <w:name w:val="Body Text"/>
    <w:basedOn w:val="Normal"/>
    <w:link w:val="BodyTextChar"/>
    <w:uiPriority w:val="99"/>
    <w:semiHidden/>
    <w:rsid w:val="00837C78"/>
    <w:pPr>
      <w:spacing w:after="240"/>
    </w:pPr>
  </w:style>
  <w:style w:type="character" w:customStyle="1" w:styleId="BodyTextChar">
    <w:name w:val="Body Text Char"/>
    <w:basedOn w:val="DefaultParagraphFont"/>
    <w:link w:val="BodyText"/>
    <w:uiPriority w:val="99"/>
    <w:semiHidden/>
    <w:locked/>
    <w:rsid w:val="00837C78"/>
    <w:rPr>
      <w:rFonts w:ascii="Georgia" w:hAnsi="Georgia" w:cs="Times New Roman"/>
      <w:sz w:val="20"/>
    </w:rPr>
  </w:style>
  <w:style w:type="paragraph" w:styleId="Title">
    <w:name w:val="Title"/>
    <w:basedOn w:val="Normal"/>
    <w:next w:val="Normal"/>
    <w:link w:val="TitleChar"/>
    <w:uiPriority w:val="99"/>
    <w:qFormat/>
    <w:rsid w:val="00837C78"/>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837C78"/>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37C78"/>
    <w:pPr>
      <w:spacing w:line="200" w:lineRule="atLeast"/>
    </w:pPr>
    <w:rPr>
      <w:i/>
      <w:sz w:val="18"/>
    </w:rPr>
  </w:style>
  <w:style w:type="character" w:customStyle="1" w:styleId="AddressChar">
    <w:name w:val="Address Char"/>
    <w:basedOn w:val="DefaultParagraphFont"/>
    <w:link w:val="Address"/>
    <w:uiPriority w:val="99"/>
    <w:locked/>
    <w:rsid w:val="00837C78"/>
    <w:rPr>
      <w:rFonts w:ascii="Georgia" w:hAnsi="Georgia" w:cs="Times New Roman"/>
      <w:i/>
      <w:sz w:val="18"/>
    </w:rPr>
  </w:style>
  <w:style w:type="paragraph" w:customStyle="1" w:styleId="Disclaimer">
    <w:name w:val="Disclaimer"/>
    <w:basedOn w:val="Normal"/>
    <w:link w:val="DisclaimerChar"/>
    <w:uiPriority w:val="99"/>
    <w:rsid w:val="00837C78"/>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37C78"/>
    <w:rPr>
      <w:rFonts w:ascii="Arial" w:hAnsi="Arial" w:cs="Arial"/>
      <w:sz w:val="12"/>
    </w:rPr>
  </w:style>
  <w:style w:type="paragraph" w:customStyle="1" w:styleId="ReleaseBodyText">
    <w:name w:val="Release Body Text"/>
    <w:uiPriority w:val="99"/>
    <w:rsid w:val="00837C78"/>
    <w:rPr>
      <w:rFonts w:ascii="Arial" w:eastAsia="Times New Roman" w:hAnsi="Arial" w:cs="Arial"/>
      <w:sz w:val="20"/>
      <w:szCs w:val="20"/>
      <w:lang w:eastAsia="en-US"/>
    </w:rPr>
  </w:style>
  <w:style w:type="paragraph" w:customStyle="1" w:styleId="Heading">
    <w:name w:val="Heading"/>
    <w:basedOn w:val="Normal"/>
    <w:uiPriority w:val="99"/>
    <w:rsid w:val="00837C78"/>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37C78"/>
    <w:rPr>
      <w:rFonts w:cs="Times New Roman"/>
      <w:sz w:val="16"/>
      <w:szCs w:val="16"/>
    </w:rPr>
  </w:style>
  <w:style w:type="paragraph" w:styleId="CommentText">
    <w:name w:val="annotation text"/>
    <w:basedOn w:val="Normal"/>
    <w:link w:val="CommentTextChar"/>
    <w:uiPriority w:val="99"/>
    <w:semiHidden/>
    <w:rsid w:val="00837C78"/>
    <w:pPr>
      <w:spacing w:line="240" w:lineRule="auto"/>
    </w:pPr>
    <w:rPr>
      <w:szCs w:val="20"/>
    </w:rPr>
  </w:style>
  <w:style w:type="character" w:customStyle="1" w:styleId="CommentTextChar">
    <w:name w:val="Comment Text Char"/>
    <w:basedOn w:val="DefaultParagraphFont"/>
    <w:link w:val="CommentText"/>
    <w:uiPriority w:val="99"/>
    <w:semiHidden/>
    <w:locked/>
    <w:rsid w:val="00837C78"/>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37C78"/>
    <w:rPr>
      <w:b/>
      <w:bCs/>
    </w:rPr>
  </w:style>
  <w:style w:type="character" w:customStyle="1" w:styleId="CommentSubjectChar">
    <w:name w:val="Comment Subject Char"/>
    <w:basedOn w:val="CommentTextChar"/>
    <w:link w:val="CommentSubject"/>
    <w:uiPriority w:val="99"/>
    <w:semiHidden/>
    <w:locked/>
    <w:rsid w:val="00837C78"/>
    <w:rPr>
      <w:rFonts w:ascii="Georgia" w:hAnsi="Georgia" w:cs="Times New Roman"/>
      <w:b/>
      <w:bCs/>
      <w:lang w:eastAsia="en-US"/>
    </w:rPr>
  </w:style>
  <w:style w:type="paragraph" w:styleId="BalloonText">
    <w:name w:val="Balloon Text"/>
    <w:basedOn w:val="Normal"/>
    <w:link w:val="BalloonTextChar"/>
    <w:uiPriority w:val="99"/>
    <w:semiHidden/>
    <w:rsid w:val="00837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C78"/>
    <w:rPr>
      <w:rFonts w:ascii="Tahoma" w:hAnsi="Tahoma" w:cs="Tahoma"/>
      <w:sz w:val="16"/>
      <w:szCs w:val="16"/>
      <w:lang w:eastAsia="en-US"/>
    </w:rPr>
  </w:style>
  <w:style w:type="character" w:styleId="Hyperlink">
    <w:name w:val="Hyperlink"/>
    <w:basedOn w:val="DefaultParagraphFont"/>
    <w:uiPriority w:val="99"/>
    <w:rsid w:val="00837C78"/>
    <w:rPr>
      <w:rFonts w:cs="Times New Roman"/>
      <w:color w:val="0000FF"/>
      <w:u w:val="single"/>
    </w:rPr>
  </w:style>
  <w:style w:type="paragraph" w:styleId="NormalWeb">
    <w:name w:val="Normal (Web)"/>
    <w:basedOn w:val="Normal"/>
    <w:uiPriority w:val="99"/>
    <w:unhideWhenUsed/>
    <w:rsid w:val="00DB1F4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1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g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25</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5</cp:revision>
  <cp:lastPrinted>2014-01-27T15:09:00Z</cp:lastPrinted>
  <dcterms:created xsi:type="dcterms:W3CDTF">2014-01-27T15:07:00Z</dcterms:created>
  <dcterms:modified xsi:type="dcterms:W3CDTF">2014-01-27T15:31:00Z</dcterms:modified>
</cp:coreProperties>
</file>