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BD" w:rsidRDefault="00ED6C8D">
      <w:pPr>
        <w:pStyle w:val="Title"/>
        <w:rPr>
          <w:rFonts w:ascii="Georgia" w:hAnsi="Georgia"/>
          <w:szCs w:val="24"/>
        </w:rPr>
      </w:pPr>
      <w:r>
        <w:rPr>
          <w:rFonts w:ascii="Georgia" w:hAnsi="Georgia"/>
          <w:szCs w:val="24"/>
        </w:rPr>
        <w:t xml:space="preserve">Press release </w:t>
      </w:r>
    </w:p>
    <w:tbl>
      <w:tblPr>
        <w:tblW w:w="0" w:type="auto"/>
        <w:tblLayout w:type="fixed"/>
        <w:tblLook w:val="0000" w:firstRow="0" w:lastRow="0" w:firstColumn="0" w:lastColumn="0" w:noHBand="0" w:noVBand="0"/>
      </w:tblPr>
      <w:tblGrid>
        <w:gridCol w:w="2268"/>
        <w:gridCol w:w="6390"/>
      </w:tblGrid>
      <w:tr w:rsidR="005825BD">
        <w:tc>
          <w:tcPr>
            <w:tcW w:w="2268" w:type="dxa"/>
            <w:shd w:val="clear" w:color="auto" w:fill="auto"/>
          </w:tcPr>
          <w:p w:rsidR="005825BD" w:rsidRDefault="00ED6C8D">
            <w:pPr>
              <w:rPr>
                <w:i/>
                <w:sz w:val="24"/>
                <w:szCs w:val="24"/>
              </w:rPr>
            </w:pPr>
            <w:r>
              <w:rPr>
                <w:i/>
                <w:sz w:val="24"/>
                <w:szCs w:val="24"/>
              </w:rPr>
              <w:t>Date</w:t>
            </w:r>
          </w:p>
        </w:tc>
        <w:tc>
          <w:tcPr>
            <w:tcW w:w="6390" w:type="dxa"/>
            <w:shd w:val="clear" w:color="auto" w:fill="auto"/>
          </w:tcPr>
          <w:p w:rsidR="005825BD" w:rsidRDefault="008F685E" w:rsidP="00EE38CF">
            <w:pPr>
              <w:rPr>
                <w:b/>
                <w:sz w:val="24"/>
                <w:szCs w:val="24"/>
              </w:rPr>
            </w:pPr>
            <w:r>
              <w:rPr>
                <w:b/>
                <w:sz w:val="24"/>
                <w:szCs w:val="24"/>
              </w:rPr>
              <w:t xml:space="preserve">EMBARGO – </w:t>
            </w:r>
            <w:r w:rsidR="007E1698">
              <w:rPr>
                <w:b/>
                <w:sz w:val="24"/>
                <w:szCs w:val="24"/>
              </w:rPr>
              <w:t xml:space="preserve">4am GMT (12pm Bali time) </w:t>
            </w:r>
            <w:r>
              <w:rPr>
                <w:b/>
                <w:sz w:val="24"/>
                <w:szCs w:val="24"/>
              </w:rPr>
              <w:t>Saturday 5</w:t>
            </w:r>
            <w:r w:rsidRPr="008F685E">
              <w:rPr>
                <w:b/>
                <w:sz w:val="24"/>
                <w:szCs w:val="24"/>
                <w:vertAlign w:val="superscript"/>
              </w:rPr>
              <w:t>th</w:t>
            </w:r>
            <w:r w:rsidR="007E1698">
              <w:rPr>
                <w:b/>
                <w:sz w:val="24"/>
                <w:szCs w:val="24"/>
              </w:rPr>
              <w:t xml:space="preserve"> October.</w:t>
            </w:r>
            <w:r w:rsidR="00ED6C8D">
              <w:rPr>
                <w:sz w:val="24"/>
                <w:szCs w:val="24"/>
              </w:rPr>
              <w:t xml:space="preserve"> </w:t>
            </w:r>
          </w:p>
        </w:tc>
      </w:tr>
      <w:tr w:rsidR="005825BD">
        <w:tc>
          <w:tcPr>
            <w:tcW w:w="2268" w:type="dxa"/>
            <w:shd w:val="clear" w:color="auto" w:fill="auto"/>
          </w:tcPr>
          <w:p w:rsidR="005825BD" w:rsidRDefault="005825BD">
            <w:pPr>
              <w:rPr>
                <w:i/>
                <w:sz w:val="24"/>
                <w:szCs w:val="24"/>
              </w:rPr>
            </w:pPr>
          </w:p>
          <w:p w:rsidR="005825BD" w:rsidRDefault="00ED6C8D">
            <w:pPr>
              <w:rPr>
                <w:i/>
                <w:sz w:val="24"/>
                <w:szCs w:val="24"/>
              </w:rPr>
            </w:pPr>
            <w:r>
              <w:rPr>
                <w:i/>
                <w:sz w:val="24"/>
                <w:szCs w:val="24"/>
              </w:rPr>
              <w:t>Contact</w:t>
            </w:r>
          </w:p>
          <w:p w:rsidR="005825BD" w:rsidRDefault="005825BD">
            <w:pPr>
              <w:rPr>
                <w:i/>
                <w:sz w:val="24"/>
                <w:szCs w:val="24"/>
              </w:rPr>
            </w:pPr>
          </w:p>
          <w:p w:rsidR="005825BD" w:rsidRDefault="005825BD">
            <w:pPr>
              <w:rPr>
                <w:i/>
                <w:sz w:val="24"/>
                <w:szCs w:val="24"/>
              </w:rPr>
            </w:pPr>
          </w:p>
          <w:p w:rsidR="005825BD" w:rsidRDefault="005825BD">
            <w:pPr>
              <w:rPr>
                <w:i/>
                <w:sz w:val="24"/>
                <w:szCs w:val="24"/>
              </w:rPr>
            </w:pPr>
          </w:p>
          <w:p w:rsidR="005825BD" w:rsidRDefault="005825BD">
            <w:pPr>
              <w:rPr>
                <w:i/>
                <w:sz w:val="24"/>
                <w:szCs w:val="24"/>
              </w:rPr>
            </w:pPr>
          </w:p>
          <w:p w:rsidR="005825BD" w:rsidRDefault="005825BD">
            <w:pPr>
              <w:rPr>
                <w:i/>
                <w:sz w:val="24"/>
                <w:szCs w:val="24"/>
              </w:rPr>
            </w:pPr>
          </w:p>
          <w:p w:rsidR="005825BD" w:rsidRDefault="005825BD">
            <w:pPr>
              <w:rPr>
                <w:i/>
                <w:sz w:val="24"/>
                <w:szCs w:val="24"/>
              </w:rPr>
            </w:pPr>
          </w:p>
          <w:p w:rsidR="005825BD" w:rsidRDefault="005825BD">
            <w:pPr>
              <w:rPr>
                <w:i/>
                <w:sz w:val="24"/>
                <w:szCs w:val="24"/>
              </w:rPr>
            </w:pPr>
          </w:p>
          <w:p w:rsidR="005825BD" w:rsidRDefault="00ED6C8D">
            <w:pPr>
              <w:rPr>
                <w:i/>
                <w:sz w:val="24"/>
                <w:szCs w:val="24"/>
              </w:rPr>
            </w:pPr>
            <w:r>
              <w:rPr>
                <w:i/>
                <w:sz w:val="24"/>
                <w:szCs w:val="24"/>
              </w:rPr>
              <w:t>Pages</w:t>
            </w:r>
          </w:p>
        </w:tc>
        <w:tc>
          <w:tcPr>
            <w:tcW w:w="6390" w:type="dxa"/>
            <w:shd w:val="clear" w:color="auto" w:fill="auto"/>
          </w:tcPr>
          <w:p w:rsidR="005825BD" w:rsidRDefault="005825BD">
            <w:pPr>
              <w:tabs>
                <w:tab w:val="left" w:pos="1440"/>
              </w:tabs>
              <w:rPr>
                <w:sz w:val="24"/>
                <w:szCs w:val="24"/>
                <w:lang w:val="de-CH"/>
              </w:rPr>
            </w:pPr>
          </w:p>
          <w:p w:rsidR="005825BD" w:rsidRDefault="00ED6C8D">
            <w:pPr>
              <w:tabs>
                <w:tab w:val="left" w:pos="1440"/>
              </w:tabs>
              <w:rPr>
                <w:sz w:val="24"/>
                <w:szCs w:val="24"/>
                <w:lang w:val="de-CH"/>
              </w:rPr>
            </w:pPr>
            <w:r>
              <w:rPr>
                <w:sz w:val="24"/>
                <w:szCs w:val="24"/>
                <w:lang w:val="de-CH"/>
              </w:rPr>
              <w:t>Mike Davies</w:t>
            </w:r>
          </w:p>
          <w:p w:rsidR="005825BD" w:rsidRDefault="007E1698">
            <w:pPr>
              <w:tabs>
                <w:tab w:val="left" w:pos="1440"/>
              </w:tabs>
              <w:rPr>
                <w:sz w:val="24"/>
                <w:szCs w:val="24"/>
                <w:lang w:val="de-CH"/>
              </w:rPr>
            </w:pPr>
            <w:r>
              <w:rPr>
                <w:sz w:val="24"/>
                <w:szCs w:val="24"/>
                <w:lang w:val="de-CH"/>
              </w:rPr>
              <w:t>Tel:  + 44 (0) 7803 974 136</w:t>
            </w:r>
          </w:p>
          <w:p w:rsidR="005825BD" w:rsidRDefault="00ED6C8D">
            <w:pPr>
              <w:tabs>
                <w:tab w:val="left" w:pos="1440"/>
              </w:tabs>
              <w:rPr>
                <w:sz w:val="24"/>
                <w:szCs w:val="24"/>
                <w:lang w:val="de-CH"/>
              </w:rPr>
            </w:pPr>
            <w:r>
              <w:rPr>
                <w:sz w:val="24"/>
                <w:szCs w:val="24"/>
                <w:lang w:val="de-CH"/>
              </w:rPr>
              <w:t>Email:</w:t>
            </w:r>
            <w:r w:rsidR="00CF15E8">
              <w:rPr>
                <w:sz w:val="24"/>
                <w:szCs w:val="24"/>
                <w:lang w:val="de-CH"/>
              </w:rPr>
              <w:t xml:space="preserve"> </w:t>
            </w:r>
            <w:r w:rsidRPr="005D0395">
              <w:rPr>
                <w:rStyle w:val="Hyperlink"/>
                <w:sz w:val="24"/>
                <w:szCs w:val="24"/>
              </w:rPr>
              <w:t>mike.davies@uk.pwc.com</w:t>
            </w:r>
          </w:p>
          <w:p w:rsidR="005825BD" w:rsidRDefault="005825BD">
            <w:pPr>
              <w:tabs>
                <w:tab w:val="left" w:pos="1440"/>
              </w:tabs>
              <w:rPr>
                <w:sz w:val="24"/>
                <w:szCs w:val="24"/>
                <w:lang w:val="de-CH"/>
              </w:rPr>
            </w:pPr>
          </w:p>
          <w:p w:rsidR="005825BD" w:rsidRDefault="00E96D0B">
            <w:pPr>
              <w:tabs>
                <w:tab w:val="left" w:pos="1440"/>
              </w:tabs>
              <w:rPr>
                <w:sz w:val="24"/>
                <w:szCs w:val="24"/>
              </w:rPr>
            </w:pPr>
            <w:r>
              <w:rPr>
                <w:sz w:val="24"/>
                <w:szCs w:val="24"/>
              </w:rPr>
              <w:t>Mike Ascolese</w:t>
            </w:r>
          </w:p>
          <w:p w:rsidR="007E1698" w:rsidRDefault="00E96D0B">
            <w:pPr>
              <w:tabs>
                <w:tab w:val="left" w:pos="1440"/>
              </w:tabs>
              <w:rPr>
                <w:sz w:val="24"/>
                <w:szCs w:val="24"/>
              </w:rPr>
            </w:pPr>
            <w:r>
              <w:rPr>
                <w:sz w:val="24"/>
                <w:szCs w:val="24"/>
              </w:rPr>
              <w:t>Tel:  + 1 646 471 8106</w:t>
            </w:r>
          </w:p>
          <w:p w:rsidR="007E1698" w:rsidRDefault="007E1698">
            <w:pPr>
              <w:tabs>
                <w:tab w:val="left" w:pos="1440"/>
              </w:tabs>
              <w:rPr>
                <w:sz w:val="24"/>
                <w:szCs w:val="24"/>
              </w:rPr>
            </w:pPr>
            <w:r>
              <w:rPr>
                <w:sz w:val="24"/>
                <w:szCs w:val="24"/>
              </w:rPr>
              <w:t xml:space="preserve">Email: </w:t>
            </w:r>
            <w:hyperlink r:id="rId9" w:history="1">
              <w:r w:rsidR="00E96D0B" w:rsidRPr="00581344">
                <w:rPr>
                  <w:rStyle w:val="Hyperlink"/>
                  <w:sz w:val="24"/>
                  <w:szCs w:val="24"/>
                </w:rPr>
                <w:t>mike.ascolese@us.pwc.com</w:t>
              </w:r>
            </w:hyperlink>
            <w:r w:rsidR="00E96D0B">
              <w:rPr>
                <w:sz w:val="24"/>
                <w:szCs w:val="24"/>
              </w:rPr>
              <w:t xml:space="preserve"> </w:t>
            </w:r>
          </w:p>
          <w:p w:rsidR="005825BD" w:rsidRDefault="005825BD">
            <w:pPr>
              <w:tabs>
                <w:tab w:val="left" w:pos="1440"/>
              </w:tabs>
              <w:rPr>
                <w:sz w:val="24"/>
                <w:szCs w:val="24"/>
              </w:rPr>
            </w:pPr>
          </w:p>
          <w:p w:rsidR="005825BD" w:rsidRDefault="008F685E" w:rsidP="000B0D99">
            <w:pPr>
              <w:tabs>
                <w:tab w:val="left" w:pos="1440"/>
              </w:tabs>
              <w:rPr>
                <w:sz w:val="24"/>
                <w:szCs w:val="24"/>
              </w:rPr>
            </w:pPr>
            <w:r>
              <w:rPr>
                <w:sz w:val="24"/>
                <w:szCs w:val="24"/>
              </w:rPr>
              <w:t>3</w:t>
            </w:r>
            <w:r w:rsidR="00BD6E9E">
              <w:rPr>
                <w:sz w:val="24"/>
                <w:szCs w:val="24"/>
              </w:rPr>
              <w:t xml:space="preserve"> </w:t>
            </w:r>
          </w:p>
        </w:tc>
      </w:tr>
    </w:tbl>
    <w:p w:rsidR="005825BD" w:rsidRDefault="00ED6C8D">
      <w:pPr>
        <w:spacing w:line="240" w:lineRule="auto"/>
        <w:outlineLvl w:val="0"/>
        <w:rPr>
          <w:rFonts w:eastAsia="Times New Roman"/>
          <w:b/>
          <w:bCs/>
          <w:color w:val="C0504D"/>
          <w:kern w:val="36"/>
          <w:sz w:val="24"/>
          <w:szCs w:val="24"/>
          <w:lang w:val="en-US"/>
        </w:rPr>
      </w:pPr>
      <w:r>
        <w:rPr>
          <w:rFonts w:eastAsia="Times New Roman"/>
          <w:b/>
          <w:bCs/>
          <w:color w:val="C0504D"/>
          <w:kern w:val="36"/>
          <w:sz w:val="24"/>
          <w:szCs w:val="24"/>
          <w:lang w:val="en-US"/>
        </w:rPr>
        <w:t>____________________________________________________</w:t>
      </w:r>
    </w:p>
    <w:p w:rsidR="005825BD" w:rsidRDefault="005825BD">
      <w:pPr>
        <w:pStyle w:val="BodyText"/>
        <w:spacing w:after="0" w:line="240" w:lineRule="auto"/>
        <w:rPr>
          <w:b/>
          <w:sz w:val="22"/>
        </w:rPr>
      </w:pPr>
    </w:p>
    <w:p w:rsidR="005825BD" w:rsidRDefault="006C632D" w:rsidP="00A63A4B">
      <w:pPr>
        <w:pStyle w:val="BodyText"/>
        <w:spacing w:after="0" w:line="240" w:lineRule="auto"/>
        <w:jc w:val="center"/>
        <w:rPr>
          <w:b/>
          <w:sz w:val="24"/>
          <w:szCs w:val="24"/>
        </w:rPr>
      </w:pPr>
      <w:r>
        <w:rPr>
          <w:b/>
          <w:sz w:val="24"/>
          <w:szCs w:val="24"/>
        </w:rPr>
        <w:t xml:space="preserve">Rise in </w:t>
      </w:r>
      <w:r w:rsidR="00A63A4B">
        <w:rPr>
          <w:b/>
          <w:sz w:val="24"/>
          <w:szCs w:val="24"/>
        </w:rPr>
        <w:t xml:space="preserve">Investment </w:t>
      </w:r>
      <w:r w:rsidR="00C36733">
        <w:rPr>
          <w:b/>
          <w:sz w:val="24"/>
          <w:szCs w:val="24"/>
        </w:rPr>
        <w:t xml:space="preserve">to </w:t>
      </w:r>
      <w:r>
        <w:rPr>
          <w:b/>
          <w:sz w:val="24"/>
          <w:szCs w:val="24"/>
        </w:rPr>
        <w:t xml:space="preserve">Continue </w:t>
      </w:r>
      <w:r w:rsidR="00A63A4B">
        <w:rPr>
          <w:b/>
          <w:sz w:val="24"/>
          <w:szCs w:val="24"/>
        </w:rPr>
        <w:t xml:space="preserve">in Asia Pacific </w:t>
      </w:r>
    </w:p>
    <w:p w:rsidR="00A63A4B" w:rsidRDefault="00A63A4B" w:rsidP="003C64A8">
      <w:pPr>
        <w:pStyle w:val="BodyText"/>
        <w:spacing w:after="0" w:line="240" w:lineRule="auto"/>
        <w:rPr>
          <w:b/>
          <w:sz w:val="24"/>
          <w:szCs w:val="24"/>
        </w:rPr>
      </w:pPr>
    </w:p>
    <w:p w:rsidR="006C632D" w:rsidRDefault="006C632D">
      <w:pPr>
        <w:pStyle w:val="BodyText"/>
        <w:spacing w:after="0" w:line="240" w:lineRule="auto"/>
        <w:jc w:val="center"/>
        <w:rPr>
          <w:i/>
          <w:sz w:val="24"/>
          <w:szCs w:val="24"/>
        </w:rPr>
      </w:pPr>
      <w:r>
        <w:rPr>
          <w:i/>
          <w:sz w:val="24"/>
          <w:szCs w:val="24"/>
        </w:rPr>
        <w:t xml:space="preserve">China, Indonesia, US ranked as top investment destinations </w:t>
      </w:r>
    </w:p>
    <w:p w:rsidR="006C632D" w:rsidRDefault="006C632D">
      <w:pPr>
        <w:pStyle w:val="BodyText"/>
        <w:spacing w:after="0" w:line="240" w:lineRule="auto"/>
        <w:jc w:val="center"/>
        <w:rPr>
          <w:i/>
          <w:sz w:val="24"/>
          <w:szCs w:val="24"/>
        </w:rPr>
      </w:pPr>
      <w:r>
        <w:rPr>
          <w:i/>
          <w:sz w:val="24"/>
          <w:szCs w:val="24"/>
        </w:rPr>
        <w:t xml:space="preserve">Urbanisation, rising middle class, </w:t>
      </w:r>
      <w:r w:rsidR="007E1698">
        <w:rPr>
          <w:i/>
          <w:sz w:val="24"/>
          <w:szCs w:val="24"/>
        </w:rPr>
        <w:t xml:space="preserve">infrastructure - </w:t>
      </w:r>
      <w:r>
        <w:rPr>
          <w:i/>
          <w:sz w:val="24"/>
          <w:szCs w:val="24"/>
        </w:rPr>
        <w:t xml:space="preserve">potential </w:t>
      </w:r>
      <w:r w:rsidR="00C36733">
        <w:rPr>
          <w:i/>
          <w:sz w:val="24"/>
          <w:szCs w:val="24"/>
        </w:rPr>
        <w:t>sources of growth</w:t>
      </w:r>
    </w:p>
    <w:p w:rsidR="00EE5A3E" w:rsidRDefault="008D1210">
      <w:pPr>
        <w:pStyle w:val="BodyText"/>
        <w:spacing w:after="0" w:line="240" w:lineRule="auto"/>
        <w:jc w:val="center"/>
        <w:rPr>
          <w:sz w:val="24"/>
          <w:szCs w:val="24"/>
        </w:rPr>
      </w:pPr>
      <w:r>
        <w:rPr>
          <w:i/>
          <w:sz w:val="24"/>
          <w:szCs w:val="24"/>
        </w:rPr>
        <w:t>Opportunities in o</w:t>
      </w:r>
      <w:r w:rsidR="00C36733">
        <w:rPr>
          <w:i/>
          <w:sz w:val="24"/>
          <w:szCs w:val="24"/>
        </w:rPr>
        <w:t xml:space="preserve">vercoming regulatory, legal, trade barriers </w:t>
      </w:r>
    </w:p>
    <w:p w:rsidR="005825BD" w:rsidRDefault="005825BD" w:rsidP="003C64A8">
      <w:pPr>
        <w:pStyle w:val="BodyText"/>
        <w:spacing w:after="0" w:line="240" w:lineRule="auto"/>
        <w:rPr>
          <w:sz w:val="24"/>
          <w:szCs w:val="24"/>
        </w:rPr>
      </w:pPr>
    </w:p>
    <w:p w:rsidR="00C36733" w:rsidRDefault="006C632D">
      <w:pPr>
        <w:spacing w:line="240" w:lineRule="auto"/>
        <w:rPr>
          <w:sz w:val="24"/>
          <w:szCs w:val="24"/>
        </w:rPr>
      </w:pPr>
      <w:r>
        <w:rPr>
          <w:b/>
          <w:sz w:val="24"/>
          <w:szCs w:val="24"/>
        </w:rPr>
        <w:t>BALI, Indonesia,</w:t>
      </w:r>
      <w:r w:rsidR="00ED6C8D">
        <w:rPr>
          <w:b/>
          <w:sz w:val="24"/>
          <w:szCs w:val="24"/>
        </w:rPr>
        <w:t xml:space="preserve"> </w:t>
      </w:r>
      <w:r>
        <w:rPr>
          <w:b/>
          <w:sz w:val="24"/>
          <w:szCs w:val="24"/>
        </w:rPr>
        <w:t>5</w:t>
      </w:r>
      <w:r w:rsidR="003C64A8">
        <w:rPr>
          <w:b/>
          <w:sz w:val="24"/>
          <w:szCs w:val="24"/>
        </w:rPr>
        <w:t xml:space="preserve"> Oct</w:t>
      </w:r>
      <w:r w:rsidR="00ED6C8D">
        <w:rPr>
          <w:b/>
          <w:sz w:val="24"/>
          <w:szCs w:val="24"/>
        </w:rPr>
        <w:t xml:space="preserve"> 201</w:t>
      </w:r>
      <w:r w:rsidR="00EE38CF">
        <w:rPr>
          <w:b/>
          <w:sz w:val="24"/>
          <w:szCs w:val="24"/>
        </w:rPr>
        <w:t>3</w:t>
      </w:r>
      <w:r w:rsidR="00ED6C8D">
        <w:rPr>
          <w:sz w:val="24"/>
          <w:szCs w:val="24"/>
        </w:rPr>
        <w:t xml:space="preserve"> – </w:t>
      </w:r>
      <w:r w:rsidR="00C935F3">
        <w:rPr>
          <w:sz w:val="24"/>
          <w:szCs w:val="24"/>
        </w:rPr>
        <w:t>Forty two percent</w:t>
      </w:r>
      <w:r w:rsidR="007E1698">
        <w:rPr>
          <w:sz w:val="24"/>
          <w:szCs w:val="24"/>
        </w:rPr>
        <w:t xml:space="preserve"> of chief executive officers (CEOs) </w:t>
      </w:r>
      <w:r w:rsidR="00C36733">
        <w:rPr>
          <w:sz w:val="24"/>
          <w:szCs w:val="24"/>
        </w:rPr>
        <w:t xml:space="preserve">in Asia Pacific are </w:t>
      </w:r>
      <w:r w:rsidR="00F60133">
        <w:rPr>
          <w:sz w:val="24"/>
          <w:szCs w:val="24"/>
        </w:rPr>
        <w:t>‘</w:t>
      </w:r>
      <w:r w:rsidR="00C935F3">
        <w:rPr>
          <w:sz w:val="24"/>
          <w:szCs w:val="24"/>
        </w:rPr>
        <w:t xml:space="preserve">very </w:t>
      </w:r>
      <w:r w:rsidR="00C36733">
        <w:rPr>
          <w:sz w:val="24"/>
          <w:szCs w:val="24"/>
        </w:rPr>
        <w:t>confident</w:t>
      </w:r>
      <w:r w:rsidR="00F60133">
        <w:rPr>
          <w:sz w:val="24"/>
          <w:szCs w:val="24"/>
        </w:rPr>
        <w:t>’</w:t>
      </w:r>
      <w:r w:rsidR="00C36733">
        <w:rPr>
          <w:sz w:val="24"/>
          <w:szCs w:val="24"/>
        </w:rPr>
        <w:t xml:space="preserve"> of revenue growth over the next 12 months and </w:t>
      </w:r>
      <w:r w:rsidR="00D54F31">
        <w:rPr>
          <w:sz w:val="24"/>
          <w:szCs w:val="24"/>
        </w:rPr>
        <w:t xml:space="preserve">close to 70% </w:t>
      </w:r>
      <w:r w:rsidR="00C36733">
        <w:rPr>
          <w:sz w:val="24"/>
          <w:szCs w:val="24"/>
        </w:rPr>
        <w:t>intend to increase their investments in the region, according to a study by PwC.</w:t>
      </w:r>
    </w:p>
    <w:p w:rsidR="00C36733" w:rsidRDefault="00C36733">
      <w:pPr>
        <w:spacing w:line="240" w:lineRule="auto"/>
        <w:rPr>
          <w:sz w:val="24"/>
          <w:szCs w:val="24"/>
        </w:rPr>
      </w:pPr>
    </w:p>
    <w:p w:rsidR="00CF15E8" w:rsidRDefault="003C64A8">
      <w:pPr>
        <w:spacing w:line="240" w:lineRule="auto"/>
        <w:rPr>
          <w:sz w:val="24"/>
          <w:szCs w:val="24"/>
        </w:rPr>
      </w:pPr>
      <w:r>
        <w:rPr>
          <w:sz w:val="24"/>
          <w:szCs w:val="24"/>
        </w:rPr>
        <w:t>The study, ‘</w:t>
      </w:r>
      <w:proofErr w:type="gramStart"/>
      <w:r w:rsidR="00C36733">
        <w:rPr>
          <w:sz w:val="24"/>
          <w:szCs w:val="24"/>
        </w:rPr>
        <w:t>Towards</w:t>
      </w:r>
      <w:proofErr w:type="gramEnd"/>
      <w:r w:rsidR="00C36733">
        <w:rPr>
          <w:sz w:val="24"/>
          <w:szCs w:val="24"/>
        </w:rPr>
        <w:t xml:space="preserve"> resilience and growth: Asia Pacific business in transition'</w:t>
      </w:r>
      <w:r w:rsidR="008E206E">
        <w:rPr>
          <w:sz w:val="24"/>
          <w:szCs w:val="24"/>
        </w:rPr>
        <w:t>,</w:t>
      </w:r>
      <w:r w:rsidR="00C36733">
        <w:rPr>
          <w:sz w:val="24"/>
          <w:szCs w:val="24"/>
        </w:rPr>
        <w:t xml:space="preserve"> surveyed nearly 500 business leaders on their attitudes toward</w:t>
      </w:r>
      <w:r w:rsidR="007E1698">
        <w:rPr>
          <w:sz w:val="24"/>
          <w:szCs w:val="24"/>
        </w:rPr>
        <w:t>s doing</w:t>
      </w:r>
      <w:r w:rsidR="00C36733">
        <w:rPr>
          <w:sz w:val="24"/>
          <w:szCs w:val="24"/>
        </w:rPr>
        <w:t xml:space="preserve"> business in the region.  It was released </w:t>
      </w:r>
      <w:r w:rsidR="00762FD0">
        <w:rPr>
          <w:sz w:val="24"/>
          <w:szCs w:val="24"/>
        </w:rPr>
        <w:t xml:space="preserve">today </w:t>
      </w:r>
      <w:r w:rsidR="00C36733">
        <w:rPr>
          <w:sz w:val="24"/>
          <w:szCs w:val="24"/>
        </w:rPr>
        <w:t>at a meeting of the Asia Pacific</w:t>
      </w:r>
      <w:r w:rsidR="00762FD0">
        <w:rPr>
          <w:sz w:val="24"/>
          <w:szCs w:val="24"/>
        </w:rPr>
        <w:t xml:space="preserve"> E</w:t>
      </w:r>
      <w:r w:rsidR="00C935F3">
        <w:rPr>
          <w:sz w:val="24"/>
          <w:szCs w:val="24"/>
        </w:rPr>
        <w:t>conomic Cooperation (APEC) in Bali</w:t>
      </w:r>
      <w:r w:rsidR="008F685E">
        <w:rPr>
          <w:sz w:val="24"/>
          <w:szCs w:val="24"/>
        </w:rPr>
        <w:t>,</w:t>
      </w:r>
      <w:r w:rsidR="00C935F3">
        <w:rPr>
          <w:sz w:val="24"/>
          <w:szCs w:val="24"/>
        </w:rPr>
        <w:t xml:space="preserve"> Indonesia.</w:t>
      </w:r>
    </w:p>
    <w:p w:rsidR="00762FD0" w:rsidRDefault="00762FD0">
      <w:pPr>
        <w:spacing w:line="240" w:lineRule="auto"/>
        <w:rPr>
          <w:sz w:val="24"/>
          <w:szCs w:val="24"/>
        </w:rPr>
      </w:pPr>
    </w:p>
    <w:p w:rsidR="00762FD0" w:rsidRDefault="00762FD0">
      <w:pPr>
        <w:spacing w:line="240" w:lineRule="auto"/>
        <w:rPr>
          <w:sz w:val="24"/>
          <w:szCs w:val="24"/>
        </w:rPr>
      </w:pPr>
      <w:r>
        <w:rPr>
          <w:sz w:val="24"/>
          <w:szCs w:val="24"/>
        </w:rPr>
        <w:t>The survey foun</w:t>
      </w:r>
      <w:r w:rsidR="008E206E">
        <w:rPr>
          <w:sz w:val="24"/>
          <w:szCs w:val="24"/>
        </w:rPr>
        <w:t>d confidence among Asia Pacific-</w:t>
      </w:r>
      <w:r>
        <w:rPr>
          <w:sz w:val="24"/>
          <w:szCs w:val="24"/>
        </w:rPr>
        <w:t xml:space="preserve">based executives on </w:t>
      </w:r>
      <w:r w:rsidR="00C935F3">
        <w:rPr>
          <w:sz w:val="24"/>
          <w:szCs w:val="24"/>
        </w:rPr>
        <w:t>the rise. Some 42%</w:t>
      </w:r>
      <w:r w:rsidR="007E1698">
        <w:rPr>
          <w:sz w:val="24"/>
          <w:szCs w:val="24"/>
        </w:rPr>
        <w:t xml:space="preserve"> of executives say</w:t>
      </w:r>
      <w:r w:rsidR="00F60133">
        <w:rPr>
          <w:sz w:val="24"/>
          <w:szCs w:val="24"/>
        </w:rPr>
        <w:t xml:space="preserve"> they are ‘very confident’</w:t>
      </w:r>
      <w:r>
        <w:rPr>
          <w:sz w:val="24"/>
          <w:szCs w:val="24"/>
        </w:rPr>
        <w:t xml:space="preserve"> of revenue growth in the</w:t>
      </w:r>
      <w:r w:rsidR="00C935F3">
        <w:rPr>
          <w:sz w:val="24"/>
          <w:szCs w:val="24"/>
        </w:rPr>
        <w:t xml:space="preserve"> coming year, up from 36%</w:t>
      </w:r>
      <w:r>
        <w:rPr>
          <w:sz w:val="24"/>
          <w:szCs w:val="24"/>
        </w:rPr>
        <w:t xml:space="preserve"> la</w:t>
      </w:r>
      <w:r w:rsidR="00C935F3">
        <w:rPr>
          <w:sz w:val="24"/>
          <w:szCs w:val="24"/>
        </w:rPr>
        <w:t>st year. Longer term, 5</w:t>
      </w:r>
      <w:r w:rsidR="007E1698">
        <w:rPr>
          <w:sz w:val="24"/>
          <w:szCs w:val="24"/>
        </w:rPr>
        <w:t>2</w:t>
      </w:r>
      <w:r w:rsidR="00C935F3">
        <w:rPr>
          <w:sz w:val="24"/>
          <w:szCs w:val="24"/>
        </w:rPr>
        <w:t>%</w:t>
      </w:r>
      <w:r w:rsidR="007E1698">
        <w:rPr>
          <w:sz w:val="24"/>
          <w:szCs w:val="24"/>
        </w:rPr>
        <w:t xml:space="preserve"> say</w:t>
      </w:r>
      <w:r>
        <w:rPr>
          <w:sz w:val="24"/>
          <w:szCs w:val="24"/>
        </w:rPr>
        <w:t xml:space="preserve"> they are confident of growth over the next three to five years, about the same as in 2012.</w:t>
      </w:r>
    </w:p>
    <w:p w:rsidR="00762FD0" w:rsidRDefault="00762FD0">
      <w:pPr>
        <w:spacing w:line="240" w:lineRule="auto"/>
        <w:rPr>
          <w:sz w:val="24"/>
          <w:szCs w:val="24"/>
        </w:rPr>
      </w:pPr>
    </w:p>
    <w:p w:rsidR="00762FD0" w:rsidRDefault="00762FD0">
      <w:pPr>
        <w:spacing w:line="240" w:lineRule="auto"/>
        <w:rPr>
          <w:sz w:val="24"/>
          <w:szCs w:val="24"/>
        </w:rPr>
      </w:pPr>
      <w:r>
        <w:rPr>
          <w:sz w:val="24"/>
          <w:szCs w:val="24"/>
        </w:rPr>
        <w:t>According to the survey, the trend toward</w:t>
      </w:r>
      <w:r w:rsidR="008E206E">
        <w:rPr>
          <w:sz w:val="24"/>
          <w:szCs w:val="24"/>
        </w:rPr>
        <w:t>s</w:t>
      </w:r>
      <w:r>
        <w:rPr>
          <w:sz w:val="24"/>
          <w:szCs w:val="24"/>
        </w:rPr>
        <w:t xml:space="preserve"> urbanisation in many Asia Pacif</w:t>
      </w:r>
      <w:r w:rsidR="00BF5E6E">
        <w:rPr>
          <w:sz w:val="24"/>
          <w:szCs w:val="24"/>
        </w:rPr>
        <w:t>ic economies</w:t>
      </w:r>
      <w:r w:rsidR="00D9672F">
        <w:rPr>
          <w:sz w:val="24"/>
          <w:szCs w:val="24"/>
        </w:rPr>
        <w:t xml:space="preserve">, the emergence of </w:t>
      </w:r>
      <w:r w:rsidR="00BF5E6E">
        <w:rPr>
          <w:sz w:val="24"/>
          <w:szCs w:val="24"/>
        </w:rPr>
        <w:t xml:space="preserve">the </w:t>
      </w:r>
      <w:r w:rsidR="00D9672F">
        <w:rPr>
          <w:sz w:val="24"/>
          <w:szCs w:val="24"/>
        </w:rPr>
        <w:t>local m</w:t>
      </w:r>
      <w:r w:rsidR="00BF5E6E">
        <w:rPr>
          <w:sz w:val="24"/>
          <w:szCs w:val="24"/>
        </w:rPr>
        <w:t>iddle</w:t>
      </w:r>
      <w:r w:rsidR="00FD56EE">
        <w:rPr>
          <w:sz w:val="24"/>
          <w:szCs w:val="24"/>
        </w:rPr>
        <w:t>-</w:t>
      </w:r>
      <w:r w:rsidR="00BF5E6E">
        <w:rPr>
          <w:sz w:val="24"/>
          <w:szCs w:val="24"/>
        </w:rPr>
        <w:t>class</w:t>
      </w:r>
      <w:r w:rsidR="00D9672F">
        <w:rPr>
          <w:sz w:val="24"/>
          <w:szCs w:val="24"/>
        </w:rPr>
        <w:t xml:space="preserve"> and the need for infrastructure development are the main reasons for </w:t>
      </w:r>
      <w:r w:rsidR="00C935F3">
        <w:rPr>
          <w:sz w:val="24"/>
          <w:szCs w:val="24"/>
        </w:rPr>
        <w:t xml:space="preserve">driving the increase in </w:t>
      </w:r>
      <w:r w:rsidR="00D9672F">
        <w:rPr>
          <w:sz w:val="24"/>
          <w:szCs w:val="24"/>
        </w:rPr>
        <w:t>confidence.</w:t>
      </w:r>
    </w:p>
    <w:p w:rsidR="00762FD0" w:rsidRDefault="00762FD0">
      <w:pPr>
        <w:spacing w:line="240" w:lineRule="auto"/>
        <w:rPr>
          <w:sz w:val="24"/>
          <w:szCs w:val="24"/>
        </w:rPr>
      </w:pPr>
    </w:p>
    <w:p w:rsidR="00B85DD0" w:rsidRDefault="00FD56EE" w:rsidP="00CF15E8">
      <w:pPr>
        <w:spacing w:line="240" w:lineRule="auto"/>
        <w:rPr>
          <w:rFonts w:cs="Arial"/>
          <w:bCs/>
          <w:sz w:val="24"/>
          <w:szCs w:val="24"/>
        </w:rPr>
      </w:pPr>
      <w:r>
        <w:rPr>
          <w:sz w:val="24"/>
          <w:szCs w:val="24"/>
        </w:rPr>
        <w:t>“</w:t>
      </w:r>
      <w:r w:rsidR="00D9672F">
        <w:rPr>
          <w:sz w:val="24"/>
          <w:szCs w:val="24"/>
        </w:rPr>
        <w:t>Executives in the Asia Pacific region are in the midst of a major transformation taking place within the region driven by a gradual but steady rise in income and economic opportuni</w:t>
      </w:r>
      <w:r w:rsidR="00BF5E6E">
        <w:rPr>
          <w:sz w:val="24"/>
          <w:szCs w:val="24"/>
        </w:rPr>
        <w:t>t</w:t>
      </w:r>
      <w:r>
        <w:rPr>
          <w:sz w:val="24"/>
          <w:szCs w:val="24"/>
        </w:rPr>
        <w:t>y for millions of people,”</w:t>
      </w:r>
      <w:r w:rsidR="00BF5E6E">
        <w:rPr>
          <w:sz w:val="24"/>
          <w:szCs w:val="24"/>
        </w:rPr>
        <w:t xml:space="preserve"> says</w:t>
      </w:r>
      <w:r w:rsidR="00CF15E8">
        <w:rPr>
          <w:rFonts w:cs="Arial"/>
          <w:bCs/>
          <w:sz w:val="24"/>
          <w:szCs w:val="24"/>
        </w:rPr>
        <w:t xml:space="preserve"> Dennis M. Nally, Chairman of PricewaterhouseCoopers International Ltd.</w:t>
      </w:r>
      <w:r w:rsidR="00D9672F">
        <w:rPr>
          <w:rFonts w:cs="Arial"/>
          <w:bCs/>
          <w:sz w:val="24"/>
          <w:szCs w:val="24"/>
        </w:rPr>
        <w:t xml:space="preserve"> </w:t>
      </w:r>
      <w:r>
        <w:rPr>
          <w:rFonts w:cs="Arial"/>
          <w:bCs/>
          <w:sz w:val="24"/>
          <w:szCs w:val="24"/>
        </w:rPr>
        <w:t>“</w:t>
      </w:r>
      <w:r w:rsidR="00B85DD0">
        <w:rPr>
          <w:rFonts w:cs="Arial"/>
          <w:bCs/>
          <w:sz w:val="24"/>
          <w:szCs w:val="24"/>
        </w:rPr>
        <w:t>Whi</w:t>
      </w:r>
      <w:r w:rsidR="00BF5E6E">
        <w:rPr>
          <w:rFonts w:cs="Arial"/>
          <w:bCs/>
          <w:sz w:val="24"/>
          <w:szCs w:val="24"/>
        </w:rPr>
        <w:t xml:space="preserve">le overall confidence in growth </w:t>
      </w:r>
      <w:r w:rsidR="00B85DD0">
        <w:rPr>
          <w:rFonts w:cs="Arial"/>
          <w:bCs/>
          <w:sz w:val="24"/>
          <w:szCs w:val="24"/>
        </w:rPr>
        <w:t xml:space="preserve">in </w:t>
      </w:r>
      <w:r w:rsidR="00C935F3">
        <w:rPr>
          <w:rFonts w:cs="Arial"/>
          <w:bCs/>
          <w:sz w:val="24"/>
          <w:szCs w:val="24"/>
        </w:rPr>
        <w:lastRenderedPageBreak/>
        <w:t xml:space="preserve">Asia </w:t>
      </w:r>
      <w:r w:rsidR="00B85DD0">
        <w:rPr>
          <w:rFonts w:cs="Arial"/>
          <w:bCs/>
          <w:sz w:val="24"/>
          <w:szCs w:val="24"/>
        </w:rPr>
        <w:t>Pacific rema</w:t>
      </w:r>
      <w:r w:rsidR="00BF5E6E">
        <w:rPr>
          <w:rFonts w:cs="Arial"/>
          <w:bCs/>
          <w:sz w:val="24"/>
          <w:szCs w:val="24"/>
        </w:rPr>
        <w:t xml:space="preserve">ins </w:t>
      </w:r>
      <w:proofErr w:type="gramStart"/>
      <w:r w:rsidR="00BF5E6E">
        <w:rPr>
          <w:rFonts w:cs="Arial"/>
          <w:bCs/>
          <w:sz w:val="24"/>
          <w:szCs w:val="24"/>
        </w:rPr>
        <w:t>undiminished,</w:t>
      </w:r>
      <w:proofErr w:type="gramEnd"/>
      <w:r w:rsidR="00BF5E6E">
        <w:rPr>
          <w:rFonts w:cs="Arial"/>
          <w:bCs/>
          <w:sz w:val="24"/>
          <w:szCs w:val="24"/>
        </w:rPr>
        <w:t xml:space="preserve"> APEC economies</w:t>
      </w:r>
      <w:r w:rsidR="00B85DD0">
        <w:rPr>
          <w:rFonts w:cs="Arial"/>
          <w:bCs/>
          <w:sz w:val="24"/>
          <w:szCs w:val="24"/>
        </w:rPr>
        <w:t xml:space="preserve"> now also face many of the uncertainties of slower growth, previously limited to the more developed markets."</w:t>
      </w:r>
    </w:p>
    <w:p w:rsidR="00B85DD0" w:rsidRDefault="00B85DD0" w:rsidP="00CF15E8">
      <w:pPr>
        <w:spacing w:line="240" w:lineRule="auto"/>
        <w:rPr>
          <w:rFonts w:cs="Arial"/>
          <w:bCs/>
          <w:sz w:val="24"/>
          <w:szCs w:val="24"/>
        </w:rPr>
      </w:pPr>
    </w:p>
    <w:p w:rsidR="00B85DD0" w:rsidRDefault="00B85DD0" w:rsidP="00CF15E8">
      <w:pPr>
        <w:spacing w:line="240" w:lineRule="auto"/>
        <w:rPr>
          <w:rFonts w:cs="Arial"/>
          <w:bCs/>
          <w:sz w:val="24"/>
          <w:szCs w:val="24"/>
        </w:rPr>
      </w:pPr>
      <w:r>
        <w:rPr>
          <w:rFonts w:cs="Arial"/>
          <w:bCs/>
          <w:sz w:val="24"/>
          <w:szCs w:val="24"/>
        </w:rPr>
        <w:t xml:space="preserve">In the survey, executives were </w:t>
      </w:r>
      <w:r w:rsidR="00BF5E6E">
        <w:rPr>
          <w:rFonts w:cs="Arial"/>
          <w:bCs/>
          <w:sz w:val="24"/>
          <w:szCs w:val="24"/>
        </w:rPr>
        <w:t xml:space="preserve">also </w:t>
      </w:r>
      <w:r w:rsidR="00FD56EE">
        <w:rPr>
          <w:rFonts w:cs="Arial"/>
          <w:bCs/>
          <w:sz w:val="24"/>
          <w:szCs w:val="24"/>
        </w:rPr>
        <w:t>asked to identify their ‘</w:t>
      </w:r>
      <w:r w:rsidR="008D1210">
        <w:rPr>
          <w:rFonts w:cs="Arial"/>
          <w:bCs/>
          <w:sz w:val="24"/>
          <w:szCs w:val="24"/>
        </w:rPr>
        <w:t>dark horse</w:t>
      </w:r>
      <w:r w:rsidR="00FD56EE">
        <w:rPr>
          <w:rFonts w:cs="Arial"/>
          <w:bCs/>
          <w:sz w:val="24"/>
          <w:szCs w:val="24"/>
        </w:rPr>
        <w:t>’</w:t>
      </w:r>
      <w:r w:rsidR="0013162F">
        <w:rPr>
          <w:rFonts w:cs="Arial"/>
          <w:bCs/>
          <w:sz w:val="24"/>
          <w:szCs w:val="24"/>
        </w:rPr>
        <w:t xml:space="preserve"> pick – an </w:t>
      </w:r>
      <w:r w:rsidR="00D54F31">
        <w:rPr>
          <w:rFonts w:cs="Arial"/>
          <w:bCs/>
          <w:sz w:val="24"/>
          <w:szCs w:val="24"/>
        </w:rPr>
        <w:t xml:space="preserve">Asia Pacific </w:t>
      </w:r>
      <w:r w:rsidR="0013162F">
        <w:rPr>
          <w:rFonts w:cs="Arial"/>
          <w:bCs/>
          <w:sz w:val="24"/>
          <w:szCs w:val="24"/>
        </w:rPr>
        <w:t>economy that could surprise with more business opportunity than is currently expected</w:t>
      </w:r>
      <w:r w:rsidR="00FC2CCC">
        <w:rPr>
          <w:rFonts w:cs="Arial"/>
          <w:bCs/>
          <w:sz w:val="24"/>
          <w:szCs w:val="24"/>
        </w:rPr>
        <w:t>.</w:t>
      </w:r>
      <w:r>
        <w:rPr>
          <w:rFonts w:cs="Arial"/>
          <w:bCs/>
          <w:sz w:val="24"/>
          <w:szCs w:val="24"/>
        </w:rPr>
        <w:t xml:space="preserve"> Indonesia was the top pick, followed by Myanmar, China, The Philippines, and Viet Nam. Among the most cited </w:t>
      </w:r>
      <w:r w:rsidR="0013162F">
        <w:rPr>
          <w:rFonts w:cs="Arial"/>
          <w:bCs/>
          <w:sz w:val="24"/>
          <w:szCs w:val="24"/>
        </w:rPr>
        <w:t xml:space="preserve">attractive qualities </w:t>
      </w:r>
      <w:r w:rsidR="00141EDE">
        <w:rPr>
          <w:rFonts w:cs="Arial"/>
          <w:bCs/>
          <w:sz w:val="24"/>
          <w:szCs w:val="24"/>
        </w:rPr>
        <w:t xml:space="preserve">were expanding middle classes, ample natural resources, increasing transparency, infrastructure </w:t>
      </w:r>
      <w:r w:rsidR="00C935F3">
        <w:rPr>
          <w:rFonts w:cs="Arial"/>
          <w:bCs/>
          <w:sz w:val="24"/>
          <w:szCs w:val="24"/>
        </w:rPr>
        <w:t xml:space="preserve">improvement </w:t>
      </w:r>
      <w:r w:rsidR="00141EDE">
        <w:rPr>
          <w:rFonts w:cs="Arial"/>
          <w:bCs/>
          <w:sz w:val="24"/>
          <w:szCs w:val="24"/>
        </w:rPr>
        <w:t>plans and political stability.</w:t>
      </w:r>
    </w:p>
    <w:p w:rsidR="00141EDE" w:rsidRDefault="00141EDE" w:rsidP="00CF15E8">
      <w:pPr>
        <w:spacing w:line="240" w:lineRule="auto"/>
        <w:rPr>
          <w:rFonts w:cs="Arial"/>
          <w:bCs/>
          <w:sz w:val="24"/>
          <w:szCs w:val="24"/>
        </w:rPr>
      </w:pPr>
    </w:p>
    <w:p w:rsidR="00141EDE" w:rsidRDefault="00141EDE" w:rsidP="00CF15E8">
      <w:pPr>
        <w:spacing w:line="240" w:lineRule="auto"/>
        <w:rPr>
          <w:rFonts w:cs="Arial"/>
          <w:bCs/>
          <w:sz w:val="24"/>
          <w:szCs w:val="24"/>
        </w:rPr>
      </w:pPr>
      <w:r>
        <w:rPr>
          <w:rFonts w:cs="Arial"/>
          <w:bCs/>
          <w:sz w:val="24"/>
          <w:szCs w:val="24"/>
        </w:rPr>
        <w:t>In other findings:</w:t>
      </w:r>
    </w:p>
    <w:p w:rsidR="00141EDE" w:rsidRDefault="00141EDE" w:rsidP="00CF15E8">
      <w:pPr>
        <w:spacing w:line="240" w:lineRule="auto"/>
        <w:rPr>
          <w:rFonts w:cs="Arial"/>
          <w:bCs/>
          <w:sz w:val="24"/>
          <w:szCs w:val="24"/>
        </w:rPr>
      </w:pPr>
    </w:p>
    <w:p w:rsidR="005C102D" w:rsidRPr="003C64A8" w:rsidRDefault="00C935F3" w:rsidP="003C64A8">
      <w:pPr>
        <w:pStyle w:val="ListParagraph"/>
        <w:numPr>
          <w:ilvl w:val="0"/>
          <w:numId w:val="18"/>
        </w:numPr>
        <w:spacing w:line="240" w:lineRule="auto"/>
        <w:ind w:left="360"/>
        <w:rPr>
          <w:rFonts w:cs="Arial"/>
          <w:bCs/>
          <w:sz w:val="24"/>
          <w:szCs w:val="24"/>
        </w:rPr>
      </w:pPr>
      <w:r w:rsidRPr="003C64A8">
        <w:rPr>
          <w:rFonts w:cs="Arial"/>
          <w:bCs/>
          <w:sz w:val="24"/>
          <w:szCs w:val="24"/>
        </w:rPr>
        <w:t>Nearly 90%</w:t>
      </w:r>
      <w:r w:rsidR="00BF5E6E" w:rsidRPr="003C64A8">
        <w:rPr>
          <w:rFonts w:cs="Arial"/>
          <w:bCs/>
          <w:sz w:val="24"/>
          <w:szCs w:val="24"/>
        </w:rPr>
        <w:t xml:space="preserve"> of Asia Pacific CEOs say their growth strategies are </w:t>
      </w:r>
      <w:r w:rsidR="005C102D" w:rsidRPr="003C64A8">
        <w:rPr>
          <w:rFonts w:cs="Arial"/>
          <w:bCs/>
          <w:sz w:val="24"/>
          <w:szCs w:val="24"/>
        </w:rPr>
        <w:t xml:space="preserve">influenced by </w:t>
      </w:r>
      <w:r w:rsidRPr="003C64A8">
        <w:rPr>
          <w:rFonts w:cs="Arial"/>
          <w:bCs/>
          <w:sz w:val="24"/>
          <w:szCs w:val="24"/>
        </w:rPr>
        <w:t xml:space="preserve">the growing market of </w:t>
      </w:r>
      <w:r w:rsidR="005C102D" w:rsidRPr="003C64A8">
        <w:rPr>
          <w:rFonts w:cs="Arial"/>
          <w:bCs/>
          <w:sz w:val="24"/>
          <w:szCs w:val="24"/>
        </w:rPr>
        <w:t>middle-income consumers. And nearly ha</w:t>
      </w:r>
      <w:r w:rsidR="00BF5E6E" w:rsidRPr="003C64A8">
        <w:rPr>
          <w:rFonts w:cs="Arial"/>
          <w:bCs/>
          <w:sz w:val="24"/>
          <w:szCs w:val="24"/>
        </w:rPr>
        <w:t xml:space="preserve">lf of investment increases are </w:t>
      </w:r>
      <w:r w:rsidR="005C102D" w:rsidRPr="003C64A8">
        <w:rPr>
          <w:rFonts w:cs="Arial"/>
          <w:bCs/>
          <w:sz w:val="24"/>
          <w:szCs w:val="24"/>
        </w:rPr>
        <w:t>focused on new prod</w:t>
      </w:r>
      <w:r w:rsidRPr="003C64A8">
        <w:rPr>
          <w:rFonts w:cs="Arial"/>
          <w:bCs/>
          <w:sz w:val="24"/>
          <w:szCs w:val="24"/>
        </w:rPr>
        <w:t>ucts, services and distribution</w:t>
      </w:r>
      <w:r w:rsidR="003C64A8" w:rsidRPr="003C64A8">
        <w:rPr>
          <w:rFonts w:cs="Arial"/>
          <w:bCs/>
          <w:sz w:val="24"/>
          <w:szCs w:val="24"/>
        </w:rPr>
        <w:t xml:space="preserve"> </w:t>
      </w:r>
      <w:r w:rsidR="00D54F31" w:rsidRPr="003C64A8">
        <w:rPr>
          <w:rFonts w:cs="Arial"/>
          <w:bCs/>
          <w:sz w:val="24"/>
          <w:szCs w:val="24"/>
        </w:rPr>
        <w:t>- growth areas for serving</w:t>
      </w:r>
      <w:r w:rsidRPr="003C64A8">
        <w:rPr>
          <w:rFonts w:cs="Arial"/>
          <w:bCs/>
          <w:sz w:val="24"/>
          <w:szCs w:val="24"/>
        </w:rPr>
        <w:t xml:space="preserve"> the growing middle class.</w:t>
      </w:r>
    </w:p>
    <w:p w:rsidR="003C64A8" w:rsidRPr="003C64A8" w:rsidRDefault="003C64A8" w:rsidP="003C64A8">
      <w:pPr>
        <w:spacing w:line="240" w:lineRule="auto"/>
        <w:rPr>
          <w:rFonts w:cs="Arial"/>
          <w:bCs/>
          <w:sz w:val="24"/>
          <w:szCs w:val="24"/>
        </w:rPr>
      </w:pPr>
    </w:p>
    <w:p w:rsidR="005C102D" w:rsidRPr="003C64A8" w:rsidRDefault="005C102D" w:rsidP="003C64A8">
      <w:pPr>
        <w:pStyle w:val="ListParagraph"/>
        <w:numPr>
          <w:ilvl w:val="0"/>
          <w:numId w:val="18"/>
        </w:numPr>
        <w:spacing w:line="240" w:lineRule="auto"/>
        <w:ind w:left="360"/>
        <w:rPr>
          <w:rFonts w:cs="Arial"/>
          <w:bCs/>
          <w:sz w:val="24"/>
          <w:szCs w:val="24"/>
        </w:rPr>
      </w:pPr>
      <w:r w:rsidRPr="003C64A8">
        <w:rPr>
          <w:rFonts w:cs="Arial"/>
          <w:bCs/>
          <w:sz w:val="24"/>
          <w:szCs w:val="24"/>
        </w:rPr>
        <w:t xml:space="preserve">About one in five CEOs is </w:t>
      </w:r>
      <w:r w:rsidR="00BF5E6E" w:rsidRPr="003C64A8">
        <w:rPr>
          <w:rFonts w:cs="Arial"/>
          <w:bCs/>
          <w:sz w:val="24"/>
          <w:szCs w:val="24"/>
        </w:rPr>
        <w:t>pursuing mobile-</w:t>
      </w:r>
      <w:r w:rsidRPr="003C64A8">
        <w:rPr>
          <w:rFonts w:cs="Arial"/>
          <w:bCs/>
          <w:sz w:val="24"/>
          <w:szCs w:val="24"/>
        </w:rPr>
        <w:t>enabled</w:t>
      </w:r>
      <w:r w:rsidR="0013162F" w:rsidRPr="003C64A8">
        <w:rPr>
          <w:rFonts w:cs="Arial"/>
          <w:bCs/>
          <w:sz w:val="24"/>
          <w:szCs w:val="24"/>
        </w:rPr>
        <w:t xml:space="preserve"> products and services such as</w:t>
      </w:r>
      <w:r w:rsidRPr="003C64A8">
        <w:rPr>
          <w:rFonts w:cs="Arial"/>
          <w:bCs/>
          <w:sz w:val="24"/>
          <w:szCs w:val="24"/>
        </w:rPr>
        <w:t xml:space="preserve"> transactions.</w:t>
      </w:r>
    </w:p>
    <w:p w:rsidR="003C64A8" w:rsidRPr="003C64A8" w:rsidRDefault="003C64A8" w:rsidP="003C64A8">
      <w:pPr>
        <w:spacing w:line="240" w:lineRule="auto"/>
        <w:ind w:left="360"/>
        <w:rPr>
          <w:rFonts w:cs="Arial"/>
          <w:bCs/>
          <w:sz w:val="24"/>
          <w:szCs w:val="24"/>
        </w:rPr>
      </w:pPr>
    </w:p>
    <w:p w:rsidR="00141EDE" w:rsidRPr="003C64A8" w:rsidRDefault="00C4253E" w:rsidP="003C64A8">
      <w:pPr>
        <w:pStyle w:val="ListParagraph"/>
        <w:numPr>
          <w:ilvl w:val="0"/>
          <w:numId w:val="18"/>
        </w:numPr>
        <w:spacing w:line="240" w:lineRule="auto"/>
        <w:ind w:left="360"/>
        <w:rPr>
          <w:rFonts w:cs="Arial"/>
          <w:bCs/>
          <w:sz w:val="24"/>
          <w:szCs w:val="24"/>
        </w:rPr>
      </w:pPr>
      <w:r w:rsidRPr="003C64A8">
        <w:rPr>
          <w:rFonts w:cs="Arial"/>
          <w:bCs/>
          <w:sz w:val="24"/>
          <w:szCs w:val="24"/>
        </w:rPr>
        <w:t xml:space="preserve">Developing </w:t>
      </w:r>
      <w:r w:rsidR="0037587F" w:rsidRPr="003C64A8">
        <w:rPr>
          <w:rFonts w:cs="Arial"/>
          <w:bCs/>
          <w:sz w:val="24"/>
          <w:szCs w:val="24"/>
        </w:rPr>
        <w:t>broadband network</w:t>
      </w:r>
      <w:r w:rsidR="00141EDE" w:rsidRPr="003C64A8">
        <w:rPr>
          <w:rFonts w:cs="Arial"/>
          <w:bCs/>
          <w:sz w:val="24"/>
          <w:szCs w:val="24"/>
        </w:rPr>
        <w:t xml:space="preserve"> and urban transport will bolster economic growth, as will changes in regulatory and legal barriers and trade infrastructure.</w:t>
      </w:r>
    </w:p>
    <w:p w:rsidR="003C64A8" w:rsidRPr="003C64A8" w:rsidRDefault="003C64A8" w:rsidP="003C64A8">
      <w:pPr>
        <w:spacing w:line="240" w:lineRule="auto"/>
        <w:ind w:left="360"/>
        <w:rPr>
          <w:rFonts w:cs="Arial"/>
          <w:bCs/>
          <w:sz w:val="24"/>
          <w:szCs w:val="24"/>
        </w:rPr>
      </w:pPr>
    </w:p>
    <w:p w:rsidR="00141EDE" w:rsidRPr="003C64A8" w:rsidRDefault="00141EDE" w:rsidP="003C64A8">
      <w:pPr>
        <w:pStyle w:val="ListParagraph"/>
        <w:numPr>
          <w:ilvl w:val="0"/>
          <w:numId w:val="18"/>
        </w:numPr>
        <w:spacing w:line="240" w:lineRule="auto"/>
        <w:ind w:left="360"/>
        <w:rPr>
          <w:rFonts w:cs="Arial"/>
          <w:bCs/>
          <w:sz w:val="24"/>
          <w:szCs w:val="24"/>
        </w:rPr>
      </w:pPr>
      <w:r w:rsidRPr="003C64A8">
        <w:rPr>
          <w:rFonts w:cs="Arial"/>
          <w:bCs/>
          <w:sz w:val="24"/>
          <w:szCs w:val="24"/>
        </w:rPr>
        <w:t xml:space="preserve">Regulatory consistency </w:t>
      </w:r>
      <w:r w:rsidR="00D54F31" w:rsidRPr="003C64A8">
        <w:rPr>
          <w:rFonts w:cs="Arial"/>
          <w:bCs/>
          <w:sz w:val="24"/>
          <w:szCs w:val="24"/>
        </w:rPr>
        <w:t xml:space="preserve">across the region </w:t>
      </w:r>
      <w:r w:rsidRPr="003C64A8">
        <w:rPr>
          <w:rFonts w:cs="Arial"/>
          <w:bCs/>
          <w:sz w:val="24"/>
          <w:szCs w:val="24"/>
        </w:rPr>
        <w:t xml:space="preserve">could unleash additional investment. </w:t>
      </w:r>
      <w:r w:rsidR="00C935F3" w:rsidRPr="003C64A8">
        <w:rPr>
          <w:rFonts w:cs="Arial"/>
          <w:bCs/>
          <w:sz w:val="24"/>
          <w:szCs w:val="24"/>
        </w:rPr>
        <w:t xml:space="preserve">A fifth of </w:t>
      </w:r>
      <w:r w:rsidRPr="003C64A8">
        <w:rPr>
          <w:rFonts w:cs="Arial"/>
          <w:bCs/>
          <w:sz w:val="24"/>
          <w:szCs w:val="24"/>
        </w:rPr>
        <w:t xml:space="preserve">CEOs </w:t>
      </w:r>
      <w:r w:rsidR="00BF5E6E" w:rsidRPr="003C64A8">
        <w:rPr>
          <w:rFonts w:cs="Arial"/>
          <w:bCs/>
          <w:sz w:val="24"/>
          <w:szCs w:val="24"/>
        </w:rPr>
        <w:t>say</w:t>
      </w:r>
      <w:r w:rsidR="008D5B22" w:rsidRPr="003C64A8">
        <w:rPr>
          <w:rFonts w:cs="Arial"/>
          <w:bCs/>
          <w:sz w:val="24"/>
          <w:szCs w:val="24"/>
        </w:rPr>
        <w:t xml:space="preserve"> that if </w:t>
      </w:r>
      <w:r w:rsidRPr="003C64A8">
        <w:rPr>
          <w:rFonts w:cs="Arial"/>
          <w:bCs/>
          <w:sz w:val="24"/>
          <w:szCs w:val="24"/>
        </w:rPr>
        <w:t>rules concerning intellectual property, co</w:t>
      </w:r>
      <w:r w:rsidR="00C935F3" w:rsidRPr="003C64A8">
        <w:rPr>
          <w:rFonts w:cs="Arial"/>
          <w:bCs/>
          <w:sz w:val="24"/>
          <w:szCs w:val="24"/>
        </w:rPr>
        <w:t>rpor</w:t>
      </w:r>
      <w:r w:rsidR="00BF5E6E" w:rsidRPr="003C64A8">
        <w:rPr>
          <w:rFonts w:cs="Arial"/>
          <w:bCs/>
          <w:sz w:val="24"/>
          <w:szCs w:val="24"/>
        </w:rPr>
        <w:t>ate governance and services are harmonised they are</w:t>
      </w:r>
      <w:r w:rsidR="00F60133" w:rsidRPr="003C64A8">
        <w:rPr>
          <w:rFonts w:cs="Arial"/>
          <w:bCs/>
          <w:sz w:val="24"/>
          <w:szCs w:val="24"/>
        </w:rPr>
        <w:t xml:space="preserve"> ‘highly likely’</w:t>
      </w:r>
      <w:r w:rsidR="00C935F3" w:rsidRPr="003C64A8">
        <w:rPr>
          <w:rFonts w:cs="Arial"/>
          <w:bCs/>
          <w:sz w:val="24"/>
          <w:szCs w:val="24"/>
        </w:rPr>
        <w:t xml:space="preserve"> to invest more</w:t>
      </w:r>
      <w:r w:rsidR="002F09A1" w:rsidRPr="003C64A8">
        <w:rPr>
          <w:rFonts w:cs="Arial"/>
          <w:bCs/>
          <w:sz w:val="24"/>
          <w:szCs w:val="24"/>
        </w:rPr>
        <w:t>.</w:t>
      </w:r>
    </w:p>
    <w:p w:rsidR="003C64A8" w:rsidRPr="003C64A8" w:rsidRDefault="003C64A8" w:rsidP="003C64A8">
      <w:pPr>
        <w:spacing w:line="240" w:lineRule="auto"/>
        <w:ind w:left="360"/>
        <w:rPr>
          <w:rFonts w:cs="Arial"/>
          <w:bCs/>
          <w:sz w:val="24"/>
          <w:szCs w:val="24"/>
        </w:rPr>
      </w:pPr>
    </w:p>
    <w:p w:rsidR="008D5B22" w:rsidRPr="003C64A8" w:rsidRDefault="005C102D" w:rsidP="003C64A8">
      <w:pPr>
        <w:pStyle w:val="ListParagraph"/>
        <w:numPr>
          <w:ilvl w:val="0"/>
          <w:numId w:val="18"/>
        </w:numPr>
        <w:spacing w:line="240" w:lineRule="auto"/>
        <w:ind w:left="360"/>
        <w:rPr>
          <w:rFonts w:cs="Arial"/>
          <w:bCs/>
          <w:sz w:val="24"/>
          <w:szCs w:val="24"/>
        </w:rPr>
      </w:pPr>
      <w:r w:rsidRPr="003C64A8">
        <w:rPr>
          <w:rFonts w:cs="Arial"/>
          <w:bCs/>
          <w:sz w:val="24"/>
          <w:szCs w:val="24"/>
        </w:rPr>
        <w:t xml:space="preserve">The multiple trade discussions among APEC </w:t>
      </w:r>
      <w:r w:rsidR="00694D49" w:rsidRPr="003C64A8">
        <w:rPr>
          <w:rFonts w:cs="Arial"/>
          <w:bCs/>
          <w:sz w:val="24"/>
          <w:szCs w:val="24"/>
        </w:rPr>
        <w:t>e</w:t>
      </w:r>
      <w:r w:rsidR="00866416" w:rsidRPr="003C64A8">
        <w:rPr>
          <w:rFonts w:cs="Arial"/>
          <w:bCs/>
          <w:sz w:val="24"/>
          <w:szCs w:val="24"/>
        </w:rPr>
        <w:t>conomies</w:t>
      </w:r>
      <w:r w:rsidR="00C935F3" w:rsidRPr="003C64A8">
        <w:rPr>
          <w:rFonts w:cs="Arial"/>
          <w:bCs/>
          <w:sz w:val="24"/>
          <w:szCs w:val="24"/>
        </w:rPr>
        <w:t xml:space="preserve"> is welcomed by about 70%</w:t>
      </w:r>
      <w:r w:rsidRPr="003C64A8">
        <w:rPr>
          <w:rFonts w:cs="Arial"/>
          <w:bCs/>
          <w:sz w:val="24"/>
          <w:szCs w:val="24"/>
        </w:rPr>
        <w:t xml:space="preserve"> o</w:t>
      </w:r>
      <w:r w:rsidR="00C935F3" w:rsidRPr="003C64A8">
        <w:rPr>
          <w:rFonts w:cs="Arial"/>
          <w:bCs/>
          <w:sz w:val="24"/>
          <w:szCs w:val="24"/>
        </w:rPr>
        <w:t>f regional CEOs, but 22%</w:t>
      </w:r>
      <w:r w:rsidR="00D54F31" w:rsidRPr="003C64A8">
        <w:rPr>
          <w:rFonts w:cs="Arial"/>
          <w:bCs/>
          <w:sz w:val="24"/>
          <w:szCs w:val="24"/>
        </w:rPr>
        <w:t xml:space="preserve"> also</w:t>
      </w:r>
      <w:r w:rsidR="00C935F3" w:rsidRPr="003C64A8">
        <w:rPr>
          <w:rFonts w:cs="Arial"/>
          <w:bCs/>
          <w:sz w:val="24"/>
          <w:szCs w:val="24"/>
        </w:rPr>
        <w:t xml:space="preserve"> </w:t>
      </w:r>
      <w:r w:rsidRPr="003C64A8">
        <w:rPr>
          <w:rFonts w:cs="Arial"/>
          <w:bCs/>
          <w:sz w:val="24"/>
          <w:szCs w:val="24"/>
        </w:rPr>
        <w:t xml:space="preserve">see them leading to </w:t>
      </w:r>
      <w:r w:rsidR="00D54F31" w:rsidRPr="003C64A8">
        <w:rPr>
          <w:rFonts w:cs="Arial"/>
          <w:bCs/>
          <w:sz w:val="24"/>
          <w:szCs w:val="24"/>
        </w:rPr>
        <w:t xml:space="preserve">more </w:t>
      </w:r>
      <w:r w:rsidRPr="003C64A8">
        <w:rPr>
          <w:rFonts w:cs="Arial"/>
          <w:bCs/>
          <w:sz w:val="24"/>
          <w:szCs w:val="24"/>
        </w:rPr>
        <w:t>uncertainty and administrative costs.</w:t>
      </w:r>
    </w:p>
    <w:p w:rsidR="008D5B22" w:rsidRDefault="008D5B22" w:rsidP="003C64A8">
      <w:pPr>
        <w:spacing w:line="240" w:lineRule="auto"/>
        <w:rPr>
          <w:rFonts w:cs="Arial"/>
          <w:bCs/>
          <w:sz w:val="24"/>
          <w:szCs w:val="24"/>
        </w:rPr>
      </w:pPr>
    </w:p>
    <w:p w:rsidR="008D5B22" w:rsidRDefault="008D5B22" w:rsidP="008D5B22">
      <w:pPr>
        <w:spacing w:line="240" w:lineRule="auto"/>
        <w:rPr>
          <w:rFonts w:cs="Arial"/>
          <w:bCs/>
          <w:sz w:val="24"/>
          <w:szCs w:val="24"/>
        </w:rPr>
      </w:pPr>
      <w:r>
        <w:rPr>
          <w:rFonts w:cs="Arial"/>
          <w:bCs/>
          <w:sz w:val="24"/>
          <w:szCs w:val="24"/>
        </w:rPr>
        <w:t>“Investment prospects are looking positive across Asia Pacific</w:t>
      </w:r>
      <w:r w:rsidR="008F685E">
        <w:rPr>
          <w:rFonts w:cs="Arial"/>
          <w:bCs/>
          <w:sz w:val="24"/>
          <w:szCs w:val="24"/>
        </w:rPr>
        <w:t>,”</w:t>
      </w:r>
      <w:r w:rsidR="00BF5E6E">
        <w:rPr>
          <w:rFonts w:cs="Arial"/>
          <w:bCs/>
          <w:sz w:val="24"/>
          <w:szCs w:val="24"/>
        </w:rPr>
        <w:t xml:space="preserve"> says Mr</w:t>
      </w:r>
      <w:r w:rsidR="00FD56EE">
        <w:rPr>
          <w:rFonts w:cs="Arial"/>
          <w:bCs/>
          <w:sz w:val="24"/>
          <w:szCs w:val="24"/>
        </w:rPr>
        <w:t>.</w:t>
      </w:r>
      <w:r w:rsidR="003C64A8">
        <w:rPr>
          <w:rFonts w:cs="Arial"/>
          <w:bCs/>
          <w:sz w:val="24"/>
          <w:szCs w:val="24"/>
        </w:rPr>
        <w:t xml:space="preserve"> Nally. </w:t>
      </w:r>
      <w:r>
        <w:rPr>
          <w:rFonts w:cs="Arial"/>
          <w:bCs/>
          <w:sz w:val="24"/>
          <w:szCs w:val="24"/>
        </w:rPr>
        <w:t>“Howe</w:t>
      </w:r>
      <w:r w:rsidR="00BF5E6E">
        <w:rPr>
          <w:rFonts w:cs="Arial"/>
          <w:bCs/>
          <w:sz w:val="24"/>
          <w:szCs w:val="24"/>
        </w:rPr>
        <w:t>ver</w:t>
      </w:r>
      <w:r w:rsidR="00F60133">
        <w:rPr>
          <w:rFonts w:cs="Arial"/>
          <w:bCs/>
          <w:sz w:val="24"/>
          <w:szCs w:val="24"/>
        </w:rPr>
        <w:t>,</w:t>
      </w:r>
      <w:r w:rsidR="00BF5E6E">
        <w:rPr>
          <w:rFonts w:cs="Arial"/>
          <w:bCs/>
          <w:sz w:val="24"/>
          <w:szCs w:val="24"/>
        </w:rPr>
        <w:t xml:space="preserve"> if governments use the APEC </w:t>
      </w:r>
      <w:r>
        <w:rPr>
          <w:rFonts w:cs="Arial"/>
          <w:bCs/>
          <w:sz w:val="24"/>
          <w:szCs w:val="24"/>
        </w:rPr>
        <w:t>meeting in Bali to effectively tackle CEOs</w:t>
      </w:r>
      <w:r w:rsidR="002F09A1">
        <w:rPr>
          <w:rFonts w:cs="Arial"/>
          <w:bCs/>
          <w:sz w:val="24"/>
          <w:szCs w:val="24"/>
        </w:rPr>
        <w:t xml:space="preserve">’ </w:t>
      </w:r>
      <w:r>
        <w:rPr>
          <w:rFonts w:cs="Arial"/>
          <w:bCs/>
          <w:sz w:val="24"/>
          <w:szCs w:val="24"/>
        </w:rPr>
        <w:t>concerns about regulatory and legal barriers, and to speed up progress on trade negotiations, this could unleash an even greater wave of new investment</w:t>
      </w:r>
      <w:r w:rsidR="008F685E">
        <w:rPr>
          <w:rFonts w:cs="Arial"/>
          <w:bCs/>
          <w:sz w:val="24"/>
          <w:szCs w:val="24"/>
        </w:rPr>
        <w:t xml:space="preserve"> and help secure CEO confidence in the region</w:t>
      </w:r>
      <w:r>
        <w:rPr>
          <w:rFonts w:cs="Arial"/>
          <w:bCs/>
          <w:sz w:val="24"/>
          <w:szCs w:val="24"/>
        </w:rPr>
        <w:t>.”</w:t>
      </w:r>
    </w:p>
    <w:p w:rsidR="00193FA3" w:rsidRDefault="00193FA3" w:rsidP="008D5B22">
      <w:pPr>
        <w:spacing w:line="240" w:lineRule="auto"/>
        <w:rPr>
          <w:rFonts w:cs="Arial"/>
          <w:bCs/>
          <w:sz w:val="24"/>
          <w:szCs w:val="24"/>
        </w:rPr>
      </w:pPr>
    </w:p>
    <w:p w:rsidR="000E7764" w:rsidRDefault="000E7764" w:rsidP="008D5B22">
      <w:pPr>
        <w:spacing w:line="240" w:lineRule="auto"/>
        <w:rPr>
          <w:rFonts w:cs="Arial"/>
          <w:bCs/>
          <w:sz w:val="24"/>
          <w:szCs w:val="24"/>
        </w:rPr>
      </w:pPr>
    </w:p>
    <w:p w:rsidR="00BF5E6E" w:rsidRPr="003C64A8" w:rsidRDefault="00BF5E6E" w:rsidP="008D5B22">
      <w:pPr>
        <w:spacing w:line="240" w:lineRule="auto"/>
        <w:rPr>
          <w:rFonts w:cs="Arial"/>
          <w:bCs/>
          <w:sz w:val="24"/>
          <w:szCs w:val="24"/>
        </w:rPr>
      </w:pPr>
      <w:r w:rsidRPr="003C64A8">
        <w:rPr>
          <w:rFonts w:cs="Arial"/>
          <w:bCs/>
          <w:sz w:val="24"/>
          <w:szCs w:val="24"/>
        </w:rPr>
        <w:t>Notes to editors:</w:t>
      </w:r>
    </w:p>
    <w:p w:rsidR="008D1210" w:rsidRPr="003C64A8" w:rsidRDefault="00B85DD0" w:rsidP="008D1210">
      <w:pPr>
        <w:pStyle w:val="NormalWeb"/>
        <w:numPr>
          <w:ilvl w:val="0"/>
          <w:numId w:val="17"/>
        </w:numPr>
        <w:spacing w:before="0" w:beforeAutospacing="0" w:after="0" w:afterAutospacing="0"/>
        <w:ind w:left="360"/>
        <w:rPr>
          <w:rFonts w:ascii="Georgia" w:eastAsia="Calibri" w:hAnsi="Georgia"/>
          <w:lang w:val="en-GB"/>
        </w:rPr>
      </w:pPr>
      <w:r w:rsidRPr="003C64A8">
        <w:rPr>
          <w:rFonts w:ascii="Georgia" w:hAnsi="Georgia" w:cs="Arial"/>
          <w:bCs/>
        </w:rPr>
        <w:t xml:space="preserve"> </w:t>
      </w:r>
      <w:r w:rsidR="008D1210" w:rsidRPr="003C64A8">
        <w:rPr>
          <w:rFonts w:ascii="Georgia" w:hAnsi="Georgia"/>
          <w:b/>
        </w:rPr>
        <w:t>About APEC</w:t>
      </w:r>
      <w:r w:rsidR="008D1210" w:rsidRPr="003C64A8">
        <w:rPr>
          <w:rFonts w:ascii="Georgia" w:hAnsi="Georgia"/>
          <w:b/>
        </w:rPr>
        <w:br/>
      </w:r>
      <w:r w:rsidR="008D1210" w:rsidRPr="003C64A8">
        <w:rPr>
          <w:rFonts w:ascii="Georgia" w:hAnsi="Georgia" w:cs="Arial"/>
          <w:color w:val="000000"/>
        </w:rPr>
        <w:t>The Asia-Pacific Economic Cooperation (APEC) forum is the premier economic organisation in the Asia-Pacific region. Established in 1989 by 12 economies, APEC fosters growth and prosperity by facilitating economic cooperation and expanding trade and investment throughout the region. APEC’s 21 member economies today accoun</w:t>
      </w:r>
      <w:r w:rsidR="00F60133" w:rsidRPr="003C64A8">
        <w:rPr>
          <w:rFonts w:ascii="Georgia" w:hAnsi="Georgia" w:cs="Arial"/>
          <w:color w:val="000000"/>
        </w:rPr>
        <w:t xml:space="preserve">t for 55% </w:t>
      </w:r>
      <w:r w:rsidR="008D1210" w:rsidRPr="003C64A8">
        <w:rPr>
          <w:rFonts w:ascii="Georgia" w:hAnsi="Georgia" w:cs="Arial"/>
          <w:color w:val="000000"/>
        </w:rPr>
        <w:t>of global GDP.</w:t>
      </w:r>
      <w:r w:rsidR="008D1210" w:rsidRPr="003C64A8">
        <w:rPr>
          <w:rFonts w:ascii="Georgia" w:hAnsi="Georgia" w:cs="Arial"/>
          <w:color w:val="000000"/>
        </w:rPr>
        <w:br/>
      </w:r>
      <w:r w:rsidR="008D1210" w:rsidRPr="003C64A8">
        <w:rPr>
          <w:rFonts w:ascii="Georgia" w:hAnsi="Georgia" w:cs="Arial"/>
          <w:color w:val="000000"/>
        </w:rPr>
        <w:lastRenderedPageBreak/>
        <w:br/>
      </w:r>
      <w:r w:rsidR="008D1210" w:rsidRPr="003C64A8">
        <w:rPr>
          <w:rFonts w:ascii="Georgia" w:eastAsia="Calibri" w:hAnsi="Georgia"/>
          <w:lang w:val="en-GB"/>
        </w:rPr>
        <w:t>The APEC CEO Summit is the Asia-Pacific's premier business event, drawing thousands of economic and business leaders from around the region and beyond. The 201</w:t>
      </w:r>
      <w:r w:rsidR="00B92D32" w:rsidRPr="003C64A8">
        <w:rPr>
          <w:rFonts w:ascii="Georgia" w:eastAsia="Calibri" w:hAnsi="Georgia"/>
          <w:lang w:val="en-GB"/>
        </w:rPr>
        <w:t>3 CEO Summit will be held from 5</w:t>
      </w:r>
      <w:r w:rsidR="008D1210" w:rsidRPr="003C64A8">
        <w:rPr>
          <w:rFonts w:ascii="Georgia" w:eastAsia="Calibri" w:hAnsi="Georgia"/>
          <w:lang w:val="en-GB"/>
        </w:rPr>
        <w:t>th</w:t>
      </w:r>
      <w:r w:rsidR="0034196E" w:rsidRPr="003C64A8">
        <w:rPr>
          <w:rFonts w:ascii="Georgia" w:eastAsia="Calibri" w:hAnsi="Georgia"/>
          <w:lang w:val="en-GB"/>
        </w:rPr>
        <w:t xml:space="preserve"> to 7</w:t>
      </w:r>
      <w:r w:rsidR="008D1210" w:rsidRPr="003C64A8">
        <w:rPr>
          <w:rFonts w:ascii="Georgia" w:eastAsia="Calibri" w:hAnsi="Georgia"/>
          <w:lang w:val="en-GB"/>
        </w:rPr>
        <w:t>th October in Bali, Indonesia.</w:t>
      </w:r>
    </w:p>
    <w:p w:rsidR="008D1210" w:rsidRPr="003C64A8" w:rsidRDefault="008D1210" w:rsidP="008D1210">
      <w:pPr>
        <w:pStyle w:val="NormalWeb"/>
        <w:spacing w:before="0" w:beforeAutospacing="0" w:after="0" w:afterAutospacing="0"/>
        <w:rPr>
          <w:rFonts w:ascii="Georgia" w:hAnsi="Georgia"/>
        </w:rPr>
      </w:pPr>
    </w:p>
    <w:p w:rsidR="008D1210" w:rsidRPr="003C64A8" w:rsidRDefault="008D1210" w:rsidP="008D1210">
      <w:pPr>
        <w:pStyle w:val="NormalWeb"/>
        <w:numPr>
          <w:ilvl w:val="0"/>
          <w:numId w:val="17"/>
        </w:numPr>
        <w:spacing w:before="0" w:beforeAutospacing="0" w:after="0" w:afterAutospacing="0"/>
        <w:ind w:left="360"/>
        <w:rPr>
          <w:rFonts w:ascii="Georgia" w:eastAsia="Calibri" w:hAnsi="Georgia"/>
          <w:lang w:val="en-GB"/>
        </w:rPr>
      </w:pPr>
      <w:r w:rsidRPr="003C64A8">
        <w:rPr>
          <w:rFonts w:ascii="Georgia" w:hAnsi="Georgia"/>
          <w:b/>
          <w:lang w:val="en-GB"/>
        </w:rPr>
        <w:t>Survey Methodology</w:t>
      </w:r>
      <w:r w:rsidRPr="003C64A8">
        <w:rPr>
          <w:rFonts w:ascii="Georgia" w:hAnsi="Georgia"/>
          <w:b/>
          <w:lang w:val="en-GB"/>
        </w:rPr>
        <w:br/>
      </w:r>
      <w:proofErr w:type="gramStart"/>
      <w:r w:rsidRPr="003C64A8">
        <w:rPr>
          <w:rFonts w:ascii="Georgia" w:eastAsia="Calibri" w:hAnsi="Georgia"/>
          <w:lang w:val="en-GB"/>
        </w:rPr>
        <w:t>Carried</w:t>
      </w:r>
      <w:proofErr w:type="gramEnd"/>
      <w:r w:rsidRPr="003C64A8">
        <w:rPr>
          <w:rFonts w:ascii="Georgia" w:eastAsia="Calibri" w:hAnsi="Georgia"/>
          <w:lang w:val="en-GB"/>
        </w:rPr>
        <w:t xml:space="preserve"> out by PwC International Survey Unit, the APEC CEO Survey 2013 was conducted between June and August 2013 covering 478 CEOs and industry leaders in all 21 APEC economies.</w:t>
      </w:r>
      <w:r w:rsidR="00FD56EE">
        <w:rPr>
          <w:rFonts w:ascii="Georgia" w:eastAsia="Calibri" w:hAnsi="Georgia"/>
          <w:lang w:val="en-GB"/>
        </w:rPr>
        <w:t xml:space="preserve"> </w:t>
      </w:r>
      <w:bookmarkStart w:id="0" w:name="_GoBack"/>
      <w:bookmarkEnd w:id="0"/>
      <w:r w:rsidR="00B92D32" w:rsidRPr="003C64A8">
        <w:rPr>
          <w:rFonts w:ascii="Georgia" w:eastAsia="Calibri" w:hAnsi="Georgia"/>
          <w:lang w:val="en-GB"/>
        </w:rPr>
        <w:t xml:space="preserve">The full survey report can be found here </w:t>
      </w:r>
      <w:hyperlink r:id="rId10" w:history="1">
        <w:r w:rsidR="00212D0A" w:rsidRPr="003C64A8">
          <w:rPr>
            <w:rStyle w:val="Hyperlink"/>
            <w:rFonts w:ascii="Georgia" w:hAnsi="Georgia" w:cs="Arial"/>
          </w:rPr>
          <w:t>www.pwc.com/us/apec/2013</w:t>
        </w:r>
      </w:hyperlink>
    </w:p>
    <w:p w:rsidR="008D1210" w:rsidRPr="003C64A8" w:rsidRDefault="008D1210" w:rsidP="003C64A8">
      <w:pPr>
        <w:rPr>
          <w:sz w:val="24"/>
          <w:szCs w:val="24"/>
        </w:rPr>
      </w:pPr>
    </w:p>
    <w:p w:rsidR="008D1210" w:rsidRPr="003C64A8" w:rsidRDefault="008D1210" w:rsidP="008D1210">
      <w:pPr>
        <w:pStyle w:val="NormalWeb"/>
        <w:numPr>
          <w:ilvl w:val="0"/>
          <w:numId w:val="17"/>
        </w:numPr>
        <w:spacing w:before="0" w:beforeAutospacing="0" w:after="0" w:afterAutospacing="0"/>
        <w:ind w:left="360"/>
        <w:rPr>
          <w:rFonts w:ascii="Georgia" w:hAnsi="Georgia"/>
          <w:lang w:val="en-GB"/>
        </w:rPr>
      </w:pPr>
      <w:r w:rsidRPr="003C64A8">
        <w:rPr>
          <w:rFonts w:ascii="Georgia" w:hAnsi="Georgia"/>
          <w:b/>
        </w:rPr>
        <w:t xml:space="preserve">About PwC </w:t>
      </w:r>
      <w:r w:rsidR="003C64A8" w:rsidRPr="003C64A8">
        <w:rPr>
          <w:rFonts w:ascii="Georgia" w:hAnsi="Georgia"/>
          <w:b/>
        </w:rPr>
        <w:br/>
      </w:r>
      <w:r w:rsidRPr="003C64A8">
        <w:rPr>
          <w:rFonts w:ascii="Georgia" w:hAnsi="Georgia"/>
          <w:bCs/>
        </w:rPr>
        <w:t>P</w:t>
      </w:r>
      <w:r w:rsidRPr="003C64A8">
        <w:rPr>
          <w:rFonts w:ascii="Georgia" w:hAnsi="Georgia"/>
        </w:rPr>
        <w:t>wC firms help organisations and individuals create the value they’re looking for.</w:t>
      </w:r>
      <w:r w:rsidR="008D5B22" w:rsidRPr="003C64A8">
        <w:rPr>
          <w:rFonts w:ascii="Georgia" w:hAnsi="Georgia"/>
        </w:rPr>
        <w:t xml:space="preserve"> We’re a network of firms in 157 countries with more than 184</w:t>
      </w:r>
      <w:r w:rsidRPr="003C64A8">
        <w:rPr>
          <w:rFonts w:ascii="Georgia" w:hAnsi="Georgia"/>
        </w:rPr>
        <w:t xml:space="preserve">,000 people who are committed to delivering quality in assurance, tax and advisory services. Tell us what matters to you and find out more by visiting us at </w:t>
      </w:r>
      <w:hyperlink r:id="rId11" w:history="1">
        <w:r w:rsidRPr="003C64A8">
          <w:rPr>
            <w:rStyle w:val="Hyperlink"/>
            <w:rFonts w:ascii="Georgia" w:hAnsi="Georgia"/>
          </w:rPr>
          <w:t>www.pwc.com</w:t>
        </w:r>
      </w:hyperlink>
      <w:r w:rsidRPr="003C64A8">
        <w:rPr>
          <w:rFonts w:ascii="Georgia" w:hAnsi="Georgia"/>
        </w:rPr>
        <w:t>.</w:t>
      </w:r>
      <w:r w:rsidR="003C64A8" w:rsidRPr="003C64A8">
        <w:rPr>
          <w:rFonts w:ascii="Georgia" w:hAnsi="Georgia"/>
        </w:rPr>
        <w:br/>
      </w:r>
      <w:r w:rsidR="003C64A8" w:rsidRPr="003C64A8">
        <w:rPr>
          <w:rFonts w:ascii="Georgia" w:hAnsi="Georgia"/>
        </w:rPr>
        <w:br/>
      </w:r>
      <w:r w:rsidRPr="003C64A8">
        <w:rPr>
          <w:rFonts w:ascii="Georgia" w:hAnsi="Georgia"/>
          <w:lang w:val="en-GB"/>
        </w:rPr>
        <w:t>PwC refers to the PwC network and/or one or more of its member firms, each of which is a separate legal entity. Please see www.pwc.com/structure for further details.</w:t>
      </w:r>
    </w:p>
    <w:p w:rsidR="008D1210" w:rsidRPr="003C64A8" w:rsidRDefault="008D1210" w:rsidP="008D1210">
      <w:pPr>
        <w:spacing w:line="240" w:lineRule="auto"/>
        <w:outlineLvl w:val="0"/>
        <w:rPr>
          <w:rFonts w:cs="Arial"/>
          <w:bCs/>
          <w:sz w:val="24"/>
          <w:szCs w:val="24"/>
        </w:rPr>
      </w:pPr>
    </w:p>
    <w:p w:rsidR="00AF3B32" w:rsidRPr="003C64A8" w:rsidRDefault="008D1210">
      <w:pPr>
        <w:spacing w:line="240" w:lineRule="auto"/>
        <w:rPr>
          <w:b/>
          <w:sz w:val="24"/>
          <w:szCs w:val="24"/>
          <w:lang w:eastAsia="en-GB"/>
        </w:rPr>
      </w:pPr>
      <w:proofErr w:type="gramStart"/>
      <w:r w:rsidRPr="003C64A8">
        <w:rPr>
          <w:rFonts w:cs="Arial"/>
          <w:color w:val="000000"/>
          <w:sz w:val="24"/>
          <w:szCs w:val="24"/>
        </w:rPr>
        <w:t xml:space="preserve">2013 </w:t>
      </w:r>
      <w:r w:rsidR="003C64A8">
        <w:rPr>
          <w:rFonts w:cs="Arial"/>
          <w:color w:val="000000"/>
          <w:sz w:val="24"/>
          <w:szCs w:val="24"/>
        </w:rPr>
        <w:t xml:space="preserve"> </w:t>
      </w:r>
      <w:r w:rsidRPr="003C64A8">
        <w:rPr>
          <w:rFonts w:cs="Arial"/>
          <w:color w:val="000000"/>
          <w:sz w:val="24"/>
          <w:szCs w:val="24"/>
        </w:rPr>
        <w:t>PricewaterhouseCoopers</w:t>
      </w:r>
      <w:proofErr w:type="gramEnd"/>
      <w:r w:rsidRPr="003C64A8">
        <w:rPr>
          <w:rFonts w:cs="Arial"/>
          <w:color w:val="000000"/>
          <w:sz w:val="24"/>
          <w:szCs w:val="24"/>
        </w:rPr>
        <w:t>. All rights reserved.</w:t>
      </w:r>
    </w:p>
    <w:sectPr w:rsidR="00AF3B32" w:rsidRPr="003C64A8" w:rsidSect="00CF15E8">
      <w:headerReference w:type="even" r:id="rId12"/>
      <w:headerReference w:type="default" r:id="rId13"/>
      <w:footerReference w:type="even" r:id="rId14"/>
      <w:footerReference w:type="default" r:id="rId15"/>
      <w:headerReference w:type="first" r:id="rId16"/>
      <w:pgSz w:w="11907" w:h="16839"/>
      <w:pgMar w:top="2977" w:right="850" w:bottom="1276"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94" w:rsidRDefault="00A30E94">
      <w:pPr>
        <w:spacing w:line="240" w:lineRule="auto"/>
      </w:pPr>
      <w:r>
        <w:separator/>
      </w:r>
    </w:p>
  </w:endnote>
  <w:endnote w:type="continuationSeparator" w:id="0">
    <w:p w:rsidR="00A30E94" w:rsidRDefault="00A30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Charter Com Black">
    <w:charset w:val="00"/>
    <w:family w:val="roman"/>
    <w:pitch w:val="variable"/>
    <w:sig w:usb0="800000AF" w:usb1="5000204A" w:usb2="00000000" w:usb3="00000000" w:csb0="0000009B" w:csb1="00000000"/>
  </w:font>
  <w:font w:name="ITC Charter Com">
    <w:altName w:val="Cambria Math"/>
    <w:charset w:val="00"/>
    <w:family w:val="roman"/>
    <w:pitch w:val="variable"/>
    <w:sig w:usb0="00000001"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DB635C">
    <w:pPr>
      <w:pStyle w:val="Footer"/>
    </w:pPr>
    <w:r>
      <w:fldChar w:fldCharType="begin"/>
    </w:r>
    <w:r w:rsidR="0035396B">
      <w:instrText xml:space="preserve"> PAGE  \* MERGEFORMAT </w:instrText>
    </w:r>
    <w:r>
      <w:fldChar w:fldCharType="separate"/>
    </w:r>
    <w:r w:rsidR="00FD56EE">
      <w:rPr>
        <w:noProof/>
      </w:rPr>
      <w:t>2</w:t>
    </w:r>
    <w:r>
      <w:rPr>
        <w:noProof/>
      </w:rPr>
      <w:fldChar w:fldCharType="end"/>
    </w:r>
    <w:r w:rsidR="00ED6C8D">
      <w:t xml:space="preserve"> of </w:t>
    </w:r>
    <w:fldSimple w:instr=" NUMPAGES  \* MERGEFORMAT ">
      <w:r w:rsidR="00FD56EE">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DB635C">
    <w:pPr>
      <w:pStyle w:val="Footer"/>
    </w:pPr>
    <w:r>
      <w:fldChar w:fldCharType="begin"/>
    </w:r>
    <w:r w:rsidR="0035396B">
      <w:instrText xml:space="preserve"> PAGE  \* MERGEFORMAT </w:instrText>
    </w:r>
    <w:r>
      <w:fldChar w:fldCharType="separate"/>
    </w:r>
    <w:r w:rsidR="00FD56EE">
      <w:rPr>
        <w:noProof/>
      </w:rPr>
      <w:t>3</w:t>
    </w:r>
    <w:r>
      <w:rPr>
        <w:noProof/>
      </w:rPr>
      <w:fldChar w:fldCharType="end"/>
    </w:r>
    <w:r w:rsidR="00ED6C8D">
      <w:t xml:space="preserve"> of </w:t>
    </w:r>
    <w:fldSimple w:instr=" NUMPAGES  \* MERGEFORMAT ">
      <w:r w:rsidR="00FD56E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94" w:rsidRDefault="00A30E94">
      <w:pPr>
        <w:spacing w:line="240" w:lineRule="auto"/>
      </w:pPr>
      <w:r>
        <w:separator/>
      </w:r>
    </w:p>
  </w:footnote>
  <w:footnote w:type="continuationSeparator" w:id="0">
    <w:p w:rsidR="00A30E94" w:rsidRDefault="00A30E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5825BD">
    <w:pPr>
      <w:pStyle w:val="Header"/>
    </w:pPr>
  </w:p>
  <w:p w:rsidR="005825BD" w:rsidRDefault="00ED6C8D">
    <w:pPr>
      <w:pStyle w:val="Header"/>
    </w:pPr>
    <w:r>
      <w:rPr>
        <w:noProof/>
        <w:lang w:val="en-US"/>
      </w:rPr>
      <w:drawing>
        <wp:anchor distT="0" distB="0" distL="114300" distR="114300" simplePos="0" relativeHeight="251658752" behindDoc="0" locked="1" layoutInCell="1" allowOverlap="1">
          <wp:simplePos x="0" y="0"/>
          <wp:positionH relativeFrom="page">
            <wp:posOffset>735965</wp:posOffset>
          </wp:positionH>
          <wp:positionV relativeFrom="page">
            <wp:posOffset>796290</wp:posOffset>
          </wp:positionV>
          <wp:extent cx="1414780" cy="1268095"/>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ED6C8D">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5825BD" w:rsidRDefault="00582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ED6C8D">
    <w:pPr>
      <w:pStyle w:val="Header"/>
    </w:pPr>
    <w:r>
      <w:rPr>
        <w:noProof/>
        <w:lang w:val="en-US"/>
      </w:rPr>
      <w:drawing>
        <wp:anchor distT="0" distB="0" distL="114300" distR="114300" simplePos="0" relativeHeight="251657728" behindDoc="0" locked="1" layoutInCell="1" allowOverlap="1">
          <wp:simplePos x="0" y="0"/>
          <wp:positionH relativeFrom="page">
            <wp:posOffset>583565</wp:posOffset>
          </wp:positionH>
          <wp:positionV relativeFrom="page">
            <wp:posOffset>643890</wp:posOffset>
          </wp:positionV>
          <wp:extent cx="1414780" cy="126809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nextgenjournal.com/wp-content/themes/NextGen%20Journal%201.0.11/images/twitter-logo.png" style="width:64.5pt;height:64.5pt;visibility:visible" o:bullet="t">
        <v:imagedata r:id="rId1" o:title="twitter-logo"/>
      </v:shape>
    </w:pict>
  </w:numPicBullet>
  <w:numPicBullet w:numPicBulletId="1">
    <w:pict>
      <v:shape id="_x0000_i1039" type="#_x0000_t75" style="width:12pt;height:12pt;visibility:visible" o:bullet="t">
        <v:imagedata r:id="rId2" o:title=""/>
      </v:shape>
    </w:pict>
  </w:numPicBullet>
  <w:abstractNum w:abstractNumId="0">
    <w:nsid w:val="03DB116F"/>
    <w:multiLevelType w:val="hybridMultilevel"/>
    <w:tmpl w:val="196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006B1"/>
    <w:multiLevelType w:val="hybridMultilevel"/>
    <w:tmpl w:val="88D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4B13"/>
    <w:multiLevelType w:val="hybridMultilevel"/>
    <w:tmpl w:val="AB18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EA0F48"/>
    <w:multiLevelType w:val="hybridMultilevel"/>
    <w:tmpl w:val="E62C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C2101"/>
    <w:multiLevelType w:val="hybridMultilevel"/>
    <w:tmpl w:val="5F2A401A"/>
    <w:lvl w:ilvl="0" w:tplc="A0D0E1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3A6CE5"/>
    <w:multiLevelType w:val="hybridMultilevel"/>
    <w:tmpl w:val="15EC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48373E"/>
    <w:multiLevelType w:val="hybridMultilevel"/>
    <w:tmpl w:val="776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777DD"/>
    <w:multiLevelType w:val="hybridMultilevel"/>
    <w:tmpl w:val="B44C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B1E62"/>
    <w:multiLevelType w:val="hybridMultilevel"/>
    <w:tmpl w:val="97A4FFC8"/>
    <w:lvl w:ilvl="0" w:tplc="48C05B14">
      <w:start w:val="1"/>
      <w:numFmt w:val="bullet"/>
      <w:lvlText w:val=""/>
      <w:lvlJc w:val="left"/>
      <w:pPr>
        <w:ind w:left="360" w:hanging="360"/>
      </w:pPr>
      <w:rPr>
        <w:rFonts w:ascii="Symbol" w:hAnsi="Symbol" w:hint="default"/>
        <w:color w:val="DC6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75289F"/>
    <w:multiLevelType w:val="hybridMultilevel"/>
    <w:tmpl w:val="308A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EC479A"/>
    <w:multiLevelType w:val="hybridMultilevel"/>
    <w:tmpl w:val="452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D73828"/>
    <w:multiLevelType w:val="hybridMultilevel"/>
    <w:tmpl w:val="0FF4432A"/>
    <w:name w:val="PwCListNumbers13"/>
    <w:lvl w:ilvl="0" w:tplc="A778569C">
      <w:start w:val="1"/>
      <w:numFmt w:val="bullet"/>
      <w:lvlText w:val=""/>
      <w:lvlJc w:val="left"/>
      <w:pPr>
        <w:ind w:left="720" w:hanging="360"/>
      </w:pPr>
      <w:rPr>
        <w:rFonts w:ascii="Symbol" w:hAnsi="Symbol" w:hint="default"/>
      </w:rPr>
    </w:lvl>
    <w:lvl w:ilvl="1" w:tplc="35683F4A" w:tentative="1">
      <w:start w:val="1"/>
      <w:numFmt w:val="bullet"/>
      <w:lvlText w:val="o"/>
      <w:lvlJc w:val="left"/>
      <w:pPr>
        <w:ind w:left="1440" w:hanging="360"/>
      </w:pPr>
      <w:rPr>
        <w:rFonts w:ascii="Courier New" w:hAnsi="Courier New" w:cs="Courier New" w:hint="default"/>
      </w:rPr>
    </w:lvl>
    <w:lvl w:ilvl="2" w:tplc="87A89F86" w:tentative="1">
      <w:start w:val="1"/>
      <w:numFmt w:val="bullet"/>
      <w:lvlText w:val=""/>
      <w:lvlJc w:val="left"/>
      <w:pPr>
        <w:ind w:left="2160" w:hanging="360"/>
      </w:pPr>
      <w:rPr>
        <w:rFonts w:ascii="Wingdings" w:hAnsi="Wingdings" w:hint="default"/>
      </w:rPr>
    </w:lvl>
    <w:lvl w:ilvl="3" w:tplc="3E4A052C" w:tentative="1">
      <w:start w:val="1"/>
      <w:numFmt w:val="bullet"/>
      <w:lvlText w:val=""/>
      <w:lvlJc w:val="left"/>
      <w:pPr>
        <w:ind w:left="2880" w:hanging="360"/>
      </w:pPr>
      <w:rPr>
        <w:rFonts w:ascii="Symbol" w:hAnsi="Symbol" w:hint="default"/>
      </w:rPr>
    </w:lvl>
    <w:lvl w:ilvl="4" w:tplc="DAD6CE36" w:tentative="1">
      <w:start w:val="1"/>
      <w:numFmt w:val="bullet"/>
      <w:lvlText w:val="o"/>
      <w:lvlJc w:val="left"/>
      <w:pPr>
        <w:ind w:left="3600" w:hanging="360"/>
      </w:pPr>
      <w:rPr>
        <w:rFonts w:ascii="Courier New" w:hAnsi="Courier New" w:cs="Courier New" w:hint="default"/>
      </w:rPr>
    </w:lvl>
    <w:lvl w:ilvl="5" w:tplc="747A0162" w:tentative="1">
      <w:start w:val="1"/>
      <w:numFmt w:val="bullet"/>
      <w:lvlText w:val=""/>
      <w:lvlJc w:val="left"/>
      <w:pPr>
        <w:ind w:left="4320" w:hanging="360"/>
      </w:pPr>
      <w:rPr>
        <w:rFonts w:ascii="Wingdings" w:hAnsi="Wingdings" w:hint="default"/>
      </w:rPr>
    </w:lvl>
    <w:lvl w:ilvl="6" w:tplc="84E8503A" w:tentative="1">
      <w:start w:val="1"/>
      <w:numFmt w:val="bullet"/>
      <w:lvlText w:val=""/>
      <w:lvlJc w:val="left"/>
      <w:pPr>
        <w:ind w:left="5040" w:hanging="360"/>
      </w:pPr>
      <w:rPr>
        <w:rFonts w:ascii="Symbol" w:hAnsi="Symbol" w:hint="default"/>
      </w:rPr>
    </w:lvl>
    <w:lvl w:ilvl="7" w:tplc="49D4BE16" w:tentative="1">
      <w:start w:val="1"/>
      <w:numFmt w:val="bullet"/>
      <w:lvlText w:val="o"/>
      <w:lvlJc w:val="left"/>
      <w:pPr>
        <w:ind w:left="5760" w:hanging="360"/>
      </w:pPr>
      <w:rPr>
        <w:rFonts w:ascii="Courier New" w:hAnsi="Courier New" w:cs="Courier New" w:hint="default"/>
      </w:rPr>
    </w:lvl>
    <w:lvl w:ilvl="8" w:tplc="00065B32" w:tentative="1">
      <w:start w:val="1"/>
      <w:numFmt w:val="bullet"/>
      <w:lvlText w:val=""/>
      <w:lvlJc w:val="left"/>
      <w:pPr>
        <w:ind w:left="6480" w:hanging="360"/>
      </w:pPr>
      <w:rPr>
        <w:rFonts w:ascii="Wingdings" w:hAnsi="Wingdings" w:hint="default"/>
      </w:rPr>
    </w:lvl>
  </w:abstractNum>
  <w:abstractNum w:abstractNumId="12">
    <w:nsid w:val="4DB60A41"/>
    <w:multiLevelType w:val="hybridMultilevel"/>
    <w:tmpl w:val="3EE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B0241"/>
    <w:multiLevelType w:val="hybridMultilevel"/>
    <w:tmpl w:val="6AEC4C98"/>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B76B8E"/>
    <w:multiLevelType w:val="hybridMultilevel"/>
    <w:tmpl w:val="2F2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375CC"/>
    <w:multiLevelType w:val="hybridMultilevel"/>
    <w:tmpl w:val="E1562FD0"/>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E55581"/>
    <w:multiLevelType w:val="hybridMultilevel"/>
    <w:tmpl w:val="DD2A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F436E"/>
    <w:multiLevelType w:val="hybridMultilevel"/>
    <w:tmpl w:val="3FF64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7"/>
  </w:num>
  <w:num w:numId="4">
    <w:abstractNumId w:val="15"/>
  </w:num>
  <w:num w:numId="5">
    <w:abstractNumId w:val="13"/>
  </w:num>
  <w:num w:numId="6">
    <w:abstractNumId w:val="4"/>
  </w:num>
  <w:num w:numId="7">
    <w:abstractNumId w:val="2"/>
  </w:num>
  <w:num w:numId="8">
    <w:abstractNumId w:val="11"/>
  </w:num>
  <w:num w:numId="9">
    <w:abstractNumId w:val="9"/>
  </w:num>
  <w:num w:numId="10">
    <w:abstractNumId w:val="8"/>
  </w:num>
  <w:num w:numId="11">
    <w:abstractNumId w:val="6"/>
  </w:num>
  <w:num w:numId="12">
    <w:abstractNumId w:val="0"/>
  </w:num>
  <w:num w:numId="13">
    <w:abstractNumId w:val="10"/>
  </w:num>
  <w:num w:numId="14">
    <w:abstractNumId w:val="3"/>
  </w:num>
  <w:num w:numId="15">
    <w:abstractNumId w:val="14"/>
  </w:num>
  <w:num w:numId="16">
    <w:abstractNumId w:val="1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BD"/>
    <w:rsid w:val="00004DA6"/>
    <w:rsid w:val="0001778E"/>
    <w:rsid w:val="00020552"/>
    <w:rsid w:val="0005062C"/>
    <w:rsid w:val="0005640F"/>
    <w:rsid w:val="00056FF6"/>
    <w:rsid w:val="000B0744"/>
    <w:rsid w:val="000B0D99"/>
    <w:rsid w:val="000C03B9"/>
    <w:rsid w:val="000C4334"/>
    <w:rsid w:val="000E7764"/>
    <w:rsid w:val="001266CB"/>
    <w:rsid w:val="0013162F"/>
    <w:rsid w:val="00141EDE"/>
    <w:rsid w:val="00172D09"/>
    <w:rsid w:val="00193FA3"/>
    <w:rsid w:val="001B0C65"/>
    <w:rsid w:val="00212D0A"/>
    <w:rsid w:val="00244D78"/>
    <w:rsid w:val="002E4E62"/>
    <w:rsid w:val="002F09A1"/>
    <w:rsid w:val="0034196E"/>
    <w:rsid w:val="0035396B"/>
    <w:rsid w:val="0037587F"/>
    <w:rsid w:val="003C32E8"/>
    <w:rsid w:val="003C64A8"/>
    <w:rsid w:val="003E6F8A"/>
    <w:rsid w:val="00420BBD"/>
    <w:rsid w:val="0050587A"/>
    <w:rsid w:val="005825BD"/>
    <w:rsid w:val="005C08C1"/>
    <w:rsid w:val="005C102D"/>
    <w:rsid w:val="005D0395"/>
    <w:rsid w:val="005E6FB4"/>
    <w:rsid w:val="005F2118"/>
    <w:rsid w:val="00604EE4"/>
    <w:rsid w:val="00634046"/>
    <w:rsid w:val="00635219"/>
    <w:rsid w:val="006528EB"/>
    <w:rsid w:val="006614A9"/>
    <w:rsid w:val="00694D49"/>
    <w:rsid w:val="006B7350"/>
    <w:rsid w:val="006C632D"/>
    <w:rsid w:val="006E16D3"/>
    <w:rsid w:val="00762FD0"/>
    <w:rsid w:val="007A4404"/>
    <w:rsid w:val="007D7C97"/>
    <w:rsid w:val="007E1698"/>
    <w:rsid w:val="00800954"/>
    <w:rsid w:val="00804CDA"/>
    <w:rsid w:val="00835A06"/>
    <w:rsid w:val="00866416"/>
    <w:rsid w:val="00866E74"/>
    <w:rsid w:val="008A7740"/>
    <w:rsid w:val="008C4888"/>
    <w:rsid w:val="008D1210"/>
    <w:rsid w:val="008D5B22"/>
    <w:rsid w:val="008E206E"/>
    <w:rsid w:val="008F685E"/>
    <w:rsid w:val="009223DB"/>
    <w:rsid w:val="00937DA7"/>
    <w:rsid w:val="00991725"/>
    <w:rsid w:val="009B0339"/>
    <w:rsid w:val="00A0053A"/>
    <w:rsid w:val="00A30E94"/>
    <w:rsid w:val="00A63A4B"/>
    <w:rsid w:val="00AF3B32"/>
    <w:rsid w:val="00B22E60"/>
    <w:rsid w:val="00B705F6"/>
    <w:rsid w:val="00B85DD0"/>
    <w:rsid w:val="00B92D32"/>
    <w:rsid w:val="00BD6E9E"/>
    <w:rsid w:val="00BF471D"/>
    <w:rsid w:val="00BF5E6E"/>
    <w:rsid w:val="00C01C8E"/>
    <w:rsid w:val="00C33A1C"/>
    <w:rsid w:val="00C36733"/>
    <w:rsid w:val="00C4253E"/>
    <w:rsid w:val="00C621FA"/>
    <w:rsid w:val="00C935F3"/>
    <w:rsid w:val="00C943B0"/>
    <w:rsid w:val="00CC418E"/>
    <w:rsid w:val="00CF0B2B"/>
    <w:rsid w:val="00CF15E8"/>
    <w:rsid w:val="00D16392"/>
    <w:rsid w:val="00D54F31"/>
    <w:rsid w:val="00D9672F"/>
    <w:rsid w:val="00DB0CDC"/>
    <w:rsid w:val="00DB635C"/>
    <w:rsid w:val="00DE1E62"/>
    <w:rsid w:val="00E054AB"/>
    <w:rsid w:val="00E309D4"/>
    <w:rsid w:val="00E40955"/>
    <w:rsid w:val="00E43D54"/>
    <w:rsid w:val="00E67CCE"/>
    <w:rsid w:val="00E90408"/>
    <w:rsid w:val="00E92144"/>
    <w:rsid w:val="00E96D0B"/>
    <w:rsid w:val="00ED6C8D"/>
    <w:rsid w:val="00EE38CF"/>
    <w:rsid w:val="00EE5A3E"/>
    <w:rsid w:val="00F60133"/>
    <w:rsid w:val="00F91EBC"/>
    <w:rsid w:val="00F9277D"/>
    <w:rsid w:val="00FC2536"/>
    <w:rsid w:val="00FC2CCC"/>
    <w:rsid w:val="00FD56EE"/>
    <w:rsid w:val="00FF0BB8"/>
    <w:rsid w:val="00FF0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BD"/>
    <w:pPr>
      <w:spacing w:line="240" w:lineRule="atLeast"/>
    </w:pPr>
    <w:rPr>
      <w:rFonts w:ascii="Georgia" w:hAnsi="Georgia"/>
      <w:szCs w:val="22"/>
      <w:lang w:eastAsia="en-US"/>
    </w:rPr>
  </w:style>
  <w:style w:type="paragraph" w:styleId="Heading1">
    <w:name w:val="heading 1"/>
    <w:basedOn w:val="Normal"/>
    <w:next w:val="Normal"/>
    <w:link w:val="Heading1Char"/>
    <w:qFormat/>
    <w:rsid w:val="005825BD"/>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5B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825BD"/>
  </w:style>
  <w:style w:type="paragraph" w:styleId="Footer">
    <w:name w:val="footer"/>
    <w:basedOn w:val="Normal"/>
    <w:link w:val="FooterChar"/>
    <w:uiPriority w:val="99"/>
    <w:unhideWhenUsed/>
    <w:rsid w:val="005825BD"/>
    <w:pPr>
      <w:tabs>
        <w:tab w:val="center" w:pos="4513"/>
        <w:tab w:val="right" w:pos="9026"/>
      </w:tabs>
      <w:spacing w:line="240" w:lineRule="auto"/>
    </w:pPr>
  </w:style>
  <w:style w:type="character" w:customStyle="1" w:styleId="FooterChar">
    <w:name w:val="Footer Char"/>
    <w:basedOn w:val="DefaultParagraphFont"/>
    <w:link w:val="Footer"/>
    <w:uiPriority w:val="99"/>
    <w:rsid w:val="005825BD"/>
  </w:style>
  <w:style w:type="paragraph" w:styleId="BodyText">
    <w:name w:val="Body Text"/>
    <w:basedOn w:val="Normal"/>
    <w:link w:val="BodyTextChar"/>
    <w:uiPriority w:val="99"/>
    <w:semiHidden/>
    <w:unhideWhenUsed/>
    <w:rsid w:val="005825BD"/>
    <w:pPr>
      <w:spacing w:after="240"/>
    </w:pPr>
  </w:style>
  <w:style w:type="character" w:customStyle="1" w:styleId="BodyTextChar">
    <w:name w:val="Body Text Char"/>
    <w:basedOn w:val="DefaultParagraphFont"/>
    <w:link w:val="BodyText"/>
    <w:uiPriority w:val="99"/>
    <w:semiHidden/>
    <w:rsid w:val="005825BD"/>
    <w:rPr>
      <w:rFonts w:ascii="Georgia" w:hAnsi="Georgia"/>
      <w:sz w:val="20"/>
    </w:rPr>
  </w:style>
  <w:style w:type="paragraph" w:styleId="Title">
    <w:name w:val="Title"/>
    <w:basedOn w:val="Normal"/>
    <w:next w:val="Normal"/>
    <w:link w:val="TitleChar"/>
    <w:uiPriority w:val="10"/>
    <w:qFormat/>
    <w:rsid w:val="005825BD"/>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5825BD"/>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5825BD"/>
    <w:pPr>
      <w:spacing w:line="200" w:lineRule="atLeast"/>
    </w:pPr>
    <w:rPr>
      <w:i/>
      <w:sz w:val="18"/>
    </w:rPr>
  </w:style>
  <w:style w:type="character" w:customStyle="1" w:styleId="AddressChar">
    <w:name w:val="Address Char"/>
    <w:basedOn w:val="DefaultParagraphFont"/>
    <w:link w:val="Address"/>
    <w:rsid w:val="005825BD"/>
    <w:rPr>
      <w:rFonts w:ascii="Georgia" w:hAnsi="Georgia"/>
      <w:i/>
      <w:sz w:val="18"/>
    </w:rPr>
  </w:style>
  <w:style w:type="paragraph" w:customStyle="1" w:styleId="Disclaimer">
    <w:name w:val="Disclaimer"/>
    <w:basedOn w:val="Normal"/>
    <w:link w:val="DisclaimerChar"/>
    <w:rsid w:val="005825BD"/>
    <w:pPr>
      <w:spacing w:line="140" w:lineRule="atLeast"/>
    </w:pPr>
    <w:rPr>
      <w:rFonts w:ascii="Arial" w:hAnsi="Arial" w:cs="Arial"/>
      <w:sz w:val="12"/>
    </w:rPr>
  </w:style>
  <w:style w:type="character" w:customStyle="1" w:styleId="DisclaimerChar">
    <w:name w:val="Disclaimer Char"/>
    <w:basedOn w:val="DefaultParagraphFont"/>
    <w:link w:val="Disclaimer"/>
    <w:rsid w:val="005825BD"/>
    <w:rPr>
      <w:rFonts w:ascii="Arial" w:hAnsi="Arial" w:cs="Arial"/>
      <w:sz w:val="12"/>
    </w:rPr>
  </w:style>
  <w:style w:type="character" w:customStyle="1" w:styleId="Heading1Char">
    <w:name w:val="Heading 1 Char"/>
    <w:basedOn w:val="DefaultParagraphFont"/>
    <w:link w:val="Heading1"/>
    <w:rsid w:val="005825BD"/>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5825BD"/>
    <w:rPr>
      <w:color w:val="0000FF"/>
      <w:u w:val="single"/>
    </w:rPr>
  </w:style>
  <w:style w:type="paragraph" w:styleId="ListParagraph">
    <w:name w:val="List Paragraph"/>
    <w:basedOn w:val="Normal"/>
    <w:uiPriority w:val="34"/>
    <w:qFormat/>
    <w:rsid w:val="005825BD"/>
    <w:pPr>
      <w:ind w:left="720"/>
      <w:contextualSpacing/>
    </w:pPr>
  </w:style>
  <w:style w:type="character" w:customStyle="1" w:styleId="apple-style-span">
    <w:name w:val="apple-style-span"/>
    <w:basedOn w:val="DefaultParagraphFont"/>
    <w:rsid w:val="005825BD"/>
  </w:style>
  <w:style w:type="paragraph" w:styleId="NormalWeb">
    <w:name w:val="Normal (Web)"/>
    <w:basedOn w:val="Normal"/>
    <w:unhideWhenUsed/>
    <w:rsid w:val="005825BD"/>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82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BD"/>
    <w:rPr>
      <w:rFonts w:ascii="Tahoma" w:hAnsi="Tahoma" w:cs="Tahoma"/>
      <w:sz w:val="16"/>
      <w:szCs w:val="16"/>
      <w:lang w:eastAsia="en-US"/>
    </w:rPr>
  </w:style>
  <w:style w:type="character" w:customStyle="1" w:styleId="apple-converted-space">
    <w:name w:val="apple-converted-space"/>
    <w:basedOn w:val="DefaultParagraphFont"/>
    <w:rsid w:val="005825BD"/>
  </w:style>
  <w:style w:type="character" w:styleId="Emphasis">
    <w:name w:val="Emphasis"/>
    <w:basedOn w:val="DefaultParagraphFont"/>
    <w:uiPriority w:val="20"/>
    <w:qFormat/>
    <w:rsid w:val="005825BD"/>
    <w:rPr>
      <w:i/>
      <w:iCs/>
    </w:rPr>
  </w:style>
  <w:style w:type="character" w:styleId="CommentReference">
    <w:name w:val="annotation reference"/>
    <w:basedOn w:val="DefaultParagraphFont"/>
    <w:uiPriority w:val="99"/>
    <w:semiHidden/>
    <w:unhideWhenUsed/>
    <w:rsid w:val="005825BD"/>
    <w:rPr>
      <w:sz w:val="16"/>
      <w:szCs w:val="16"/>
    </w:rPr>
  </w:style>
  <w:style w:type="paragraph" w:styleId="CommentText">
    <w:name w:val="annotation text"/>
    <w:basedOn w:val="Normal"/>
    <w:link w:val="CommentTextChar"/>
    <w:uiPriority w:val="99"/>
    <w:semiHidden/>
    <w:unhideWhenUsed/>
    <w:rsid w:val="005825BD"/>
    <w:pPr>
      <w:spacing w:line="240" w:lineRule="auto"/>
    </w:pPr>
    <w:rPr>
      <w:szCs w:val="20"/>
    </w:rPr>
  </w:style>
  <w:style w:type="character" w:customStyle="1" w:styleId="CommentTextChar">
    <w:name w:val="Comment Text Char"/>
    <w:basedOn w:val="DefaultParagraphFont"/>
    <w:link w:val="CommentText"/>
    <w:uiPriority w:val="99"/>
    <w:semiHidden/>
    <w:rsid w:val="005825BD"/>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825BD"/>
    <w:rPr>
      <w:b/>
      <w:bCs/>
    </w:rPr>
  </w:style>
  <w:style w:type="character" w:customStyle="1" w:styleId="CommentSubjectChar">
    <w:name w:val="Comment Subject Char"/>
    <w:basedOn w:val="CommentTextChar"/>
    <w:link w:val="CommentSubject"/>
    <w:uiPriority w:val="99"/>
    <w:semiHidden/>
    <w:rsid w:val="005825BD"/>
    <w:rPr>
      <w:rFonts w:ascii="Georgia" w:hAnsi="Georgia"/>
      <w:b/>
      <w:bCs/>
      <w:lang w:eastAsia="en-US"/>
    </w:rPr>
  </w:style>
  <w:style w:type="paragraph" w:styleId="Revision">
    <w:name w:val="Revision"/>
    <w:hidden/>
    <w:uiPriority w:val="99"/>
    <w:semiHidden/>
    <w:rsid w:val="005825BD"/>
    <w:rPr>
      <w:rFonts w:ascii="Georgia" w:hAnsi="Georgia"/>
      <w:szCs w:val="22"/>
      <w:lang w:eastAsia="en-US"/>
    </w:rPr>
  </w:style>
  <w:style w:type="paragraph" w:customStyle="1" w:styleId="NoParagraphStyle">
    <w:name w:val="[No Paragraph Style]"/>
    <w:rsid w:val="00E309D4"/>
    <w:pPr>
      <w:autoSpaceDE w:val="0"/>
      <w:autoSpaceDN w:val="0"/>
      <w:adjustRightInd w:val="0"/>
      <w:spacing w:line="288" w:lineRule="auto"/>
      <w:textAlignment w:val="center"/>
    </w:pPr>
    <w:rPr>
      <w:rFonts w:ascii="ITC Charter Com Black" w:eastAsiaTheme="minorHAnsi" w:hAnsi="ITC Charter Com Black" w:cstheme="minorBidi"/>
      <w:color w:val="000000"/>
      <w:sz w:val="24"/>
      <w:szCs w:val="24"/>
      <w:lang w:eastAsia="en-US"/>
    </w:rPr>
  </w:style>
  <w:style w:type="paragraph" w:customStyle="1" w:styleId="CharttitleBodycontentPageelements">
    <w:name w:val="Chart title (Body content:Page elements)"/>
    <w:basedOn w:val="NoParagraphStyle"/>
    <w:uiPriority w:val="99"/>
    <w:rsid w:val="00E309D4"/>
    <w:pPr>
      <w:suppressAutoHyphens/>
      <w:spacing w:after="60" w:line="220" w:lineRule="atLeast"/>
    </w:pPr>
    <w:rPr>
      <w:b/>
      <w:bCs/>
      <w:color w:val="F26D21"/>
      <w:sz w:val="17"/>
      <w:szCs w:val="17"/>
    </w:rPr>
  </w:style>
  <w:style w:type="paragraph" w:customStyle="1" w:styleId="CharttextBodycontentPageelements">
    <w:name w:val="Chart text (Body content:Page elements)"/>
    <w:basedOn w:val="NoParagraphStyle"/>
    <w:uiPriority w:val="99"/>
    <w:rsid w:val="00E309D4"/>
    <w:pPr>
      <w:suppressAutoHyphens/>
      <w:spacing w:after="60" w:line="220" w:lineRule="atLeast"/>
    </w:pPr>
    <w:rPr>
      <w:sz w:val="17"/>
      <w:szCs w:val="17"/>
    </w:rPr>
  </w:style>
  <w:style w:type="character" w:customStyle="1" w:styleId="BurgundyColours">
    <w:name w:val="Burgundy (Colours)"/>
    <w:uiPriority w:val="99"/>
    <w:rsid w:val="00E309D4"/>
    <w:rPr>
      <w:color w:val="B82233"/>
    </w:rPr>
  </w:style>
  <w:style w:type="character" w:customStyle="1" w:styleId="Bold">
    <w:name w:val="Bold"/>
    <w:uiPriority w:val="99"/>
    <w:rsid w:val="00E309D4"/>
    <w:rPr>
      <w:rFonts w:ascii="ITC Charter Com" w:hAnsi="ITC Charter Com" w:cs="ITC Charter Com"/>
      <w:b/>
      <w:bCs/>
    </w:rPr>
  </w:style>
  <w:style w:type="character" w:customStyle="1" w:styleId="CharterboldCharter">
    <w:name w:val="Charter bold (Charter)"/>
    <w:uiPriority w:val="99"/>
    <w:rsid w:val="00E309D4"/>
    <w:rPr>
      <w:rFonts w:ascii="ITC Charter Com" w:hAnsi="ITC Charter Com" w:cs="ITC Charter Com"/>
      <w:b/>
      <w:bCs/>
    </w:rPr>
  </w:style>
  <w:style w:type="character" w:customStyle="1" w:styleId="HelveticaBold">
    <w:name w:val="Helvetica Bold"/>
    <w:uiPriority w:val="99"/>
    <w:rsid w:val="00E309D4"/>
    <w:rPr>
      <w:b/>
      <w:bCs/>
      <w:lang w:val="en-US"/>
    </w:rPr>
  </w:style>
  <w:style w:type="character" w:customStyle="1" w:styleId="BlackColours">
    <w:name w:val="Black (Colours)"/>
    <w:uiPriority w:val="99"/>
    <w:rsid w:val="00E309D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BD"/>
    <w:pPr>
      <w:spacing w:line="240" w:lineRule="atLeast"/>
    </w:pPr>
    <w:rPr>
      <w:rFonts w:ascii="Georgia" w:hAnsi="Georgia"/>
      <w:szCs w:val="22"/>
      <w:lang w:eastAsia="en-US"/>
    </w:rPr>
  </w:style>
  <w:style w:type="paragraph" w:styleId="Heading1">
    <w:name w:val="heading 1"/>
    <w:basedOn w:val="Normal"/>
    <w:next w:val="Normal"/>
    <w:link w:val="Heading1Char"/>
    <w:qFormat/>
    <w:rsid w:val="005825BD"/>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5B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825BD"/>
  </w:style>
  <w:style w:type="paragraph" w:styleId="Footer">
    <w:name w:val="footer"/>
    <w:basedOn w:val="Normal"/>
    <w:link w:val="FooterChar"/>
    <w:uiPriority w:val="99"/>
    <w:unhideWhenUsed/>
    <w:rsid w:val="005825BD"/>
    <w:pPr>
      <w:tabs>
        <w:tab w:val="center" w:pos="4513"/>
        <w:tab w:val="right" w:pos="9026"/>
      </w:tabs>
      <w:spacing w:line="240" w:lineRule="auto"/>
    </w:pPr>
  </w:style>
  <w:style w:type="character" w:customStyle="1" w:styleId="FooterChar">
    <w:name w:val="Footer Char"/>
    <w:basedOn w:val="DefaultParagraphFont"/>
    <w:link w:val="Footer"/>
    <w:uiPriority w:val="99"/>
    <w:rsid w:val="005825BD"/>
  </w:style>
  <w:style w:type="paragraph" w:styleId="BodyText">
    <w:name w:val="Body Text"/>
    <w:basedOn w:val="Normal"/>
    <w:link w:val="BodyTextChar"/>
    <w:uiPriority w:val="99"/>
    <w:semiHidden/>
    <w:unhideWhenUsed/>
    <w:rsid w:val="005825BD"/>
    <w:pPr>
      <w:spacing w:after="240"/>
    </w:pPr>
  </w:style>
  <w:style w:type="character" w:customStyle="1" w:styleId="BodyTextChar">
    <w:name w:val="Body Text Char"/>
    <w:basedOn w:val="DefaultParagraphFont"/>
    <w:link w:val="BodyText"/>
    <w:uiPriority w:val="99"/>
    <w:semiHidden/>
    <w:rsid w:val="005825BD"/>
    <w:rPr>
      <w:rFonts w:ascii="Georgia" w:hAnsi="Georgia"/>
      <w:sz w:val="20"/>
    </w:rPr>
  </w:style>
  <w:style w:type="paragraph" w:styleId="Title">
    <w:name w:val="Title"/>
    <w:basedOn w:val="Normal"/>
    <w:next w:val="Normal"/>
    <w:link w:val="TitleChar"/>
    <w:uiPriority w:val="10"/>
    <w:qFormat/>
    <w:rsid w:val="005825BD"/>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5825BD"/>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5825BD"/>
    <w:pPr>
      <w:spacing w:line="200" w:lineRule="atLeast"/>
    </w:pPr>
    <w:rPr>
      <w:i/>
      <w:sz w:val="18"/>
    </w:rPr>
  </w:style>
  <w:style w:type="character" w:customStyle="1" w:styleId="AddressChar">
    <w:name w:val="Address Char"/>
    <w:basedOn w:val="DefaultParagraphFont"/>
    <w:link w:val="Address"/>
    <w:rsid w:val="005825BD"/>
    <w:rPr>
      <w:rFonts w:ascii="Georgia" w:hAnsi="Georgia"/>
      <w:i/>
      <w:sz w:val="18"/>
    </w:rPr>
  </w:style>
  <w:style w:type="paragraph" w:customStyle="1" w:styleId="Disclaimer">
    <w:name w:val="Disclaimer"/>
    <w:basedOn w:val="Normal"/>
    <w:link w:val="DisclaimerChar"/>
    <w:rsid w:val="005825BD"/>
    <w:pPr>
      <w:spacing w:line="140" w:lineRule="atLeast"/>
    </w:pPr>
    <w:rPr>
      <w:rFonts w:ascii="Arial" w:hAnsi="Arial" w:cs="Arial"/>
      <w:sz w:val="12"/>
    </w:rPr>
  </w:style>
  <w:style w:type="character" w:customStyle="1" w:styleId="DisclaimerChar">
    <w:name w:val="Disclaimer Char"/>
    <w:basedOn w:val="DefaultParagraphFont"/>
    <w:link w:val="Disclaimer"/>
    <w:rsid w:val="005825BD"/>
    <w:rPr>
      <w:rFonts w:ascii="Arial" w:hAnsi="Arial" w:cs="Arial"/>
      <w:sz w:val="12"/>
    </w:rPr>
  </w:style>
  <w:style w:type="character" w:customStyle="1" w:styleId="Heading1Char">
    <w:name w:val="Heading 1 Char"/>
    <w:basedOn w:val="DefaultParagraphFont"/>
    <w:link w:val="Heading1"/>
    <w:rsid w:val="005825BD"/>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5825BD"/>
    <w:rPr>
      <w:color w:val="0000FF"/>
      <w:u w:val="single"/>
    </w:rPr>
  </w:style>
  <w:style w:type="paragraph" w:styleId="ListParagraph">
    <w:name w:val="List Paragraph"/>
    <w:basedOn w:val="Normal"/>
    <w:uiPriority w:val="34"/>
    <w:qFormat/>
    <w:rsid w:val="005825BD"/>
    <w:pPr>
      <w:ind w:left="720"/>
      <w:contextualSpacing/>
    </w:pPr>
  </w:style>
  <w:style w:type="character" w:customStyle="1" w:styleId="apple-style-span">
    <w:name w:val="apple-style-span"/>
    <w:basedOn w:val="DefaultParagraphFont"/>
    <w:rsid w:val="005825BD"/>
  </w:style>
  <w:style w:type="paragraph" w:styleId="NormalWeb">
    <w:name w:val="Normal (Web)"/>
    <w:basedOn w:val="Normal"/>
    <w:unhideWhenUsed/>
    <w:rsid w:val="005825BD"/>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82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BD"/>
    <w:rPr>
      <w:rFonts w:ascii="Tahoma" w:hAnsi="Tahoma" w:cs="Tahoma"/>
      <w:sz w:val="16"/>
      <w:szCs w:val="16"/>
      <w:lang w:eastAsia="en-US"/>
    </w:rPr>
  </w:style>
  <w:style w:type="character" w:customStyle="1" w:styleId="apple-converted-space">
    <w:name w:val="apple-converted-space"/>
    <w:basedOn w:val="DefaultParagraphFont"/>
    <w:rsid w:val="005825BD"/>
  </w:style>
  <w:style w:type="character" w:styleId="Emphasis">
    <w:name w:val="Emphasis"/>
    <w:basedOn w:val="DefaultParagraphFont"/>
    <w:uiPriority w:val="20"/>
    <w:qFormat/>
    <w:rsid w:val="005825BD"/>
    <w:rPr>
      <w:i/>
      <w:iCs/>
    </w:rPr>
  </w:style>
  <w:style w:type="character" w:styleId="CommentReference">
    <w:name w:val="annotation reference"/>
    <w:basedOn w:val="DefaultParagraphFont"/>
    <w:uiPriority w:val="99"/>
    <w:semiHidden/>
    <w:unhideWhenUsed/>
    <w:rsid w:val="005825BD"/>
    <w:rPr>
      <w:sz w:val="16"/>
      <w:szCs w:val="16"/>
    </w:rPr>
  </w:style>
  <w:style w:type="paragraph" w:styleId="CommentText">
    <w:name w:val="annotation text"/>
    <w:basedOn w:val="Normal"/>
    <w:link w:val="CommentTextChar"/>
    <w:uiPriority w:val="99"/>
    <w:semiHidden/>
    <w:unhideWhenUsed/>
    <w:rsid w:val="005825BD"/>
    <w:pPr>
      <w:spacing w:line="240" w:lineRule="auto"/>
    </w:pPr>
    <w:rPr>
      <w:szCs w:val="20"/>
    </w:rPr>
  </w:style>
  <w:style w:type="character" w:customStyle="1" w:styleId="CommentTextChar">
    <w:name w:val="Comment Text Char"/>
    <w:basedOn w:val="DefaultParagraphFont"/>
    <w:link w:val="CommentText"/>
    <w:uiPriority w:val="99"/>
    <w:semiHidden/>
    <w:rsid w:val="005825BD"/>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825BD"/>
    <w:rPr>
      <w:b/>
      <w:bCs/>
    </w:rPr>
  </w:style>
  <w:style w:type="character" w:customStyle="1" w:styleId="CommentSubjectChar">
    <w:name w:val="Comment Subject Char"/>
    <w:basedOn w:val="CommentTextChar"/>
    <w:link w:val="CommentSubject"/>
    <w:uiPriority w:val="99"/>
    <w:semiHidden/>
    <w:rsid w:val="005825BD"/>
    <w:rPr>
      <w:rFonts w:ascii="Georgia" w:hAnsi="Georgia"/>
      <w:b/>
      <w:bCs/>
      <w:lang w:eastAsia="en-US"/>
    </w:rPr>
  </w:style>
  <w:style w:type="paragraph" w:styleId="Revision">
    <w:name w:val="Revision"/>
    <w:hidden/>
    <w:uiPriority w:val="99"/>
    <w:semiHidden/>
    <w:rsid w:val="005825BD"/>
    <w:rPr>
      <w:rFonts w:ascii="Georgia" w:hAnsi="Georgia"/>
      <w:szCs w:val="22"/>
      <w:lang w:eastAsia="en-US"/>
    </w:rPr>
  </w:style>
  <w:style w:type="paragraph" w:customStyle="1" w:styleId="NoParagraphStyle">
    <w:name w:val="[No Paragraph Style]"/>
    <w:rsid w:val="00E309D4"/>
    <w:pPr>
      <w:autoSpaceDE w:val="0"/>
      <w:autoSpaceDN w:val="0"/>
      <w:adjustRightInd w:val="0"/>
      <w:spacing w:line="288" w:lineRule="auto"/>
      <w:textAlignment w:val="center"/>
    </w:pPr>
    <w:rPr>
      <w:rFonts w:ascii="ITC Charter Com Black" w:eastAsiaTheme="minorHAnsi" w:hAnsi="ITC Charter Com Black" w:cstheme="minorBidi"/>
      <w:color w:val="000000"/>
      <w:sz w:val="24"/>
      <w:szCs w:val="24"/>
      <w:lang w:eastAsia="en-US"/>
    </w:rPr>
  </w:style>
  <w:style w:type="paragraph" w:customStyle="1" w:styleId="CharttitleBodycontentPageelements">
    <w:name w:val="Chart title (Body content:Page elements)"/>
    <w:basedOn w:val="NoParagraphStyle"/>
    <w:uiPriority w:val="99"/>
    <w:rsid w:val="00E309D4"/>
    <w:pPr>
      <w:suppressAutoHyphens/>
      <w:spacing w:after="60" w:line="220" w:lineRule="atLeast"/>
    </w:pPr>
    <w:rPr>
      <w:b/>
      <w:bCs/>
      <w:color w:val="F26D21"/>
      <w:sz w:val="17"/>
      <w:szCs w:val="17"/>
    </w:rPr>
  </w:style>
  <w:style w:type="paragraph" w:customStyle="1" w:styleId="CharttextBodycontentPageelements">
    <w:name w:val="Chart text (Body content:Page elements)"/>
    <w:basedOn w:val="NoParagraphStyle"/>
    <w:uiPriority w:val="99"/>
    <w:rsid w:val="00E309D4"/>
    <w:pPr>
      <w:suppressAutoHyphens/>
      <w:spacing w:after="60" w:line="220" w:lineRule="atLeast"/>
    </w:pPr>
    <w:rPr>
      <w:sz w:val="17"/>
      <w:szCs w:val="17"/>
    </w:rPr>
  </w:style>
  <w:style w:type="character" w:customStyle="1" w:styleId="BurgundyColours">
    <w:name w:val="Burgundy (Colours)"/>
    <w:uiPriority w:val="99"/>
    <w:rsid w:val="00E309D4"/>
    <w:rPr>
      <w:color w:val="B82233"/>
    </w:rPr>
  </w:style>
  <w:style w:type="character" w:customStyle="1" w:styleId="Bold">
    <w:name w:val="Bold"/>
    <w:uiPriority w:val="99"/>
    <w:rsid w:val="00E309D4"/>
    <w:rPr>
      <w:rFonts w:ascii="ITC Charter Com" w:hAnsi="ITC Charter Com" w:cs="ITC Charter Com"/>
      <w:b/>
      <w:bCs/>
    </w:rPr>
  </w:style>
  <w:style w:type="character" w:customStyle="1" w:styleId="CharterboldCharter">
    <w:name w:val="Charter bold (Charter)"/>
    <w:uiPriority w:val="99"/>
    <w:rsid w:val="00E309D4"/>
    <w:rPr>
      <w:rFonts w:ascii="ITC Charter Com" w:hAnsi="ITC Charter Com" w:cs="ITC Charter Com"/>
      <w:b/>
      <w:bCs/>
    </w:rPr>
  </w:style>
  <w:style w:type="character" w:customStyle="1" w:styleId="HelveticaBold">
    <w:name w:val="Helvetica Bold"/>
    <w:uiPriority w:val="99"/>
    <w:rsid w:val="00E309D4"/>
    <w:rPr>
      <w:b/>
      <w:bCs/>
      <w:lang w:val="en-US"/>
    </w:rPr>
  </w:style>
  <w:style w:type="character" w:customStyle="1" w:styleId="BlackColours">
    <w:name w:val="Black (Colours)"/>
    <w:uiPriority w:val="99"/>
    <w:rsid w:val="00E309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0932">
      <w:bodyDiv w:val="1"/>
      <w:marLeft w:val="0"/>
      <w:marRight w:val="0"/>
      <w:marTop w:val="0"/>
      <w:marBottom w:val="0"/>
      <w:divBdr>
        <w:top w:val="none" w:sz="0" w:space="0" w:color="auto"/>
        <w:left w:val="none" w:sz="0" w:space="0" w:color="auto"/>
        <w:bottom w:val="none" w:sz="0" w:space="0" w:color="auto"/>
        <w:right w:val="none" w:sz="0" w:space="0" w:color="auto"/>
      </w:divBdr>
    </w:div>
    <w:div w:id="448475063">
      <w:bodyDiv w:val="1"/>
      <w:marLeft w:val="0"/>
      <w:marRight w:val="0"/>
      <w:marTop w:val="0"/>
      <w:marBottom w:val="0"/>
      <w:divBdr>
        <w:top w:val="none" w:sz="0" w:space="0" w:color="auto"/>
        <w:left w:val="none" w:sz="0" w:space="0" w:color="auto"/>
        <w:bottom w:val="none" w:sz="0" w:space="0" w:color="auto"/>
        <w:right w:val="none" w:sz="0" w:space="0" w:color="auto"/>
      </w:divBdr>
    </w:div>
    <w:div w:id="722827353">
      <w:bodyDiv w:val="1"/>
      <w:marLeft w:val="0"/>
      <w:marRight w:val="0"/>
      <w:marTop w:val="0"/>
      <w:marBottom w:val="0"/>
      <w:divBdr>
        <w:top w:val="none" w:sz="0" w:space="0" w:color="auto"/>
        <w:left w:val="none" w:sz="0" w:space="0" w:color="auto"/>
        <w:bottom w:val="none" w:sz="0" w:space="0" w:color="auto"/>
        <w:right w:val="none" w:sz="0" w:space="0" w:color="auto"/>
      </w:divBdr>
      <w:divsChild>
        <w:div w:id="504177054">
          <w:marLeft w:val="0"/>
          <w:marRight w:val="0"/>
          <w:marTop w:val="0"/>
          <w:marBottom w:val="0"/>
          <w:divBdr>
            <w:top w:val="none" w:sz="0" w:space="0" w:color="auto"/>
            <w:left w:val="none" w:sz="0" w:space="0" w:color="auto"/>
            <w:bottom w:val="none" w:sz="0" w:space="0" w:color="auto"/>
            <w:right w:val="none" w:sz="0" w:space="0" w:color="auto"/>
          </w:divBdr>
          <w:divsChild>
            <w:div w:id="2129352184">
              <w:marLeft w:val="0"/>
              <w:marRight w:val="0"/>
              <w:marTop w:val="0"/>
              <w:marBottom w:val="0"/>
              <w:divBdr>
                <w:top w:val="none" w:sz="0" w:space="0" w:color="auto"/>
                <w:left w:val="none" w:sz="0" w:space="0" w:color="auto"/>
                <w:bottom w:val="none" w:sz="0" w:space="0" w:color="auto"/>
                <w:right w:val="none" w:sz="0" w:space="0" w:color="auto"/>
              </w:divBdr>
              <w:divsChild>
                <w:div w:id="701442871">
                  <w:marLeft w:val="0"/>
                  <w:marRight w:val="0"/>
                  <w:marTop w:val="0"/>
                  <w:marBottom w:val="0"/>
                  <w:divBdr>
                    <w:top w:val="none" w:sz="0" w:space="0" w:color="auto"/>
                    <w:left w:val="none" w:sz="0" w:space="0" w:color="auto"/>
                    <w:bottom w:val="none" w:sz="0" w:space="0" w:color="auto"/>
                    <w:right w:val="none" w:sz="0" w:space="0" w:color="auto"/>
                  </w:divBdr>
                  <w:divsChild>
                    <w:div w:id="2107995879">
                      <w:marLeft w:val="173"/>
                      <w:marRight w:val="173"/>
                      <w:marTop w:val="0"/>
                      <w:marBottom w:val="0"/>
                      <w:divBdr>
                        <w:top w:val="none" w:sz="0" w:space="0" w:color="auto"/>
                        <w:left w:val="none" w:sz="0" w:space="0" w:color="auto"/>
                        <w:bottom w:val="none" w:sz="0" w:space="0" w:color="auto"/>
                        <w:right w:val="none" w:sz="0" w:space="0" w:color="auto"/>
                      </w:divBdr>
                      <w:divsChild>
                        <w:div w:id="1584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wc.com/us/apec/2013" TargetMode="External"/><Relationship Id="rId4" Type="http://schemas.microsoft.com/office/2007/relationships/stylesWithEffects" Target="stylesWithEffects.xml"/><Relationship Id="rId9" Type="http://schemas.openxmlformats.org/officeDocument/2006/relationships/hyperlink" Target="mailto:mike.ascolese@us.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9F8E-E5CF-474A-A316-0087778A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5427</CharactersWithSpaces>
  <SharedDoc>false</SharedDoc>
  <HLinks>
    <vt:vector size="18" baseType="variant">
      <vt:variant>
        <vt:i4>5308489</vt:i4>
      </vt:variant>
      <vt:variant>
        <vt:i4>6</vt:i4>
      </vt:variant>
      <vt:variant>
        <vt:i4>0</vt:i4>
      </vt:variant>
      <vt:variant>
        <vt:i4>5</vt:i4>
      </vt:variant>
      <vt:variant>
        <vt:lpwstr>http://www.pwc.com/gx</vt:lpwstr>
      </vt:variant>
      <vt:variant>
        <vt:lpwstr/>
      </vt:variant>
      <vt:variant>
        <vt:i4>3866648</vt:i4>
      </vt:variant>
      <vt:variant>
        <vt:i4>3</vt:i4>
      </vt:variant>
      <vt:variant>
        <vt:i4>0</vt:i4>
      </vt:variant>
      <vt:variant>
        <vt:i4>5</vt:i4>
      </vt:variant>
      <vt:variant>
        <vt:lpwstr>mailto:mike.ascolese@us.pwc.com</vt:lpwstr>
      </vt:variant>
      <vt:variant>
        <vt:lpwstr/>
      </vt:variant>
      <vt:variant>
        <vt:i4>6029418</vt:i4>
      </vt:variant>
      <vt:variant>
        <vt:i4>0</vt:i4>
      </vt:variant>
      <vt:variant>
        <vt:i4>0</vt:i4>
      </vt:variant>
      <vt:variant>
        <vt:i4>5</vt:i4>
      </vt:variant>
      <vt:variant>
        <vt:lpwstr>mailto:mike.davies@uk.pwc.com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2</cp:revision>
  <cp:lastPrinted>2013-10-01T16:59:00Z</cp:lastPrinted>
  <dcterms:created xsi:type="dcterms:W3CDTF">2013-10-01T22:10:00Z</dcterms:created>
  <dcterms:modified xsi:type="dcterms:W3CDTF">2013-10-01T22:10:00Z</dcterms:modified>
</cp:coreProperties>
</file>