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5" w:rsidRDefault="000B42ED">
      <w:r>
        <w:rPr>
          <w:noProof/>
          <w:lang w:val="en-US"/>
        </w:rPr>
        <mc:AlternateContent>
          <mc:Choice Requires="wps">
            <w:drawing>
              <wp:anchor distT="0" distB="0" distL="114300" distR="114300" simplePos="0" relativeHeight="251657728"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4979E5" w:rsidRDefault="001460EB">
      <w:pPr>
        <w:pStyle w:val="Title"/>
        <w:spacing w:after="0"/>
        <w:rPr>
          <w:rFonts w:ascii="Georgia" w:hAnsi="Georgia"/>
        </w:rPr>
      </w:pPr>
      <w:r>
        <w:rPr>
          <w:rFonts w:ascii="Georgia" w:hAnsi="Georgia"/>
        </w:rPr>
        <w:t xml:space="preserve">News release </w:t>
      </w:r>
    </w:p>
    <w:p w:rsidR="004979E5" w:rsidRDefault="004979E5"/>
    <w:tbl>
      <w:tblPr>
        <w:tblW w:w="0" w:type="auto"/>
        <w:tblLayout w:type="fixed"/>
        <w:tblLook w:val="0000" w:firstRow="0" w:lastRow="0" w:firstColumn="0" w:lastColumn="0" w:noHBand="0" w:noVBand="0"/>
      </w:tblPr>
      <w:tblGrid>
        <w:gridCol w:w="2268"/>
        <w:gridCol w:w="4645"/>
      </w:tblGrid>
      <w:tr w:rsidR="004979E5">
        <w:tc>
          <w:tcPr>
            <w:tcW w:w="2268" w:type="dxa"/>
            <w:shd w:val="clear" w:color="auto" w:fill="auto"/>
          </w:tcPr>
          <w:p w:rsidR="004979E5" w:rsidRDefault="001460EB">
            <w:pPr>
              <w:spacing w:line="240" w:lineRule="auto"/>
              <w:rPr>
                <w:i/>
              </w:rPr>
            </w:pPr>
            <w:r>
              <w:rPr>
                <w:i/>
              </w:rPr>
              <w:t>Date</w:t>
            </w:r>
          </w:p>
        </w:tc>
        <w:tc>
          <w:tcPr>
            <w:tcW w:w="4645" w:type="dxa"/>
            <w:shd w:val="clear" w:color="auto" w:fill="auto"/>
          </w:tcPr>
          <w:p w:rsidR="00AA504E" w:rsidRDefault="001460EB" w:rsidP="00154860">
            <w:pPr>
              <w:spacing w:line="240" w:lineRule="auto"/>
              <w:rPr>
                <w:color w:val="000000" w:themeColor="text1"/>
              </w:rPr>
            </w:pPr>
            <w:r>
              <w:rPr>
                <w:color w:val="000000" w:themeColor="text1"/>
              </w:rPr>
              <w:t xml:space="preserve">Embargoed until 00.01 hrs, </w:t>
            </w:r>
            <w:r w:rsidR="00154860">
              <w:rPr>
                <w:color w:val="000000" w:themeColor="text1"/>
              </w:rPr>
              <w:t>1 October</w:t>
            </w:r>
            <w:r>
              <w:rPr>
                <w:color w:val="000000" w:themeColor="text1"/>
              </w:rPr>
              <w:t xml:space="preserve"> 2013</w:t>
            </w:r>
          </w:p>
          <w:p w:rsidR="004979E5" w:rsidRDefault="001460EB" w:rsidP="00154860">
            <w:pPr>
              <w:spacing w:line="240" w:lineRule="auto"/>
              <w:rPr>
                <w:color w:val="000000" w:themeColor="text1"/>
              </w:rPr>
            </w:pPr>
            <w:r>
              <w:rPr>
                <w:color w:val="000000" w:themeColor="text1"/>
              </w:rPr>
              <w:t xml:space="preserve"> </w:t>
            </w:r>
          </w:p>
        </w:tc>
      </w:tr>
      <w:tr w:rsidR="004979E5">
        <w:tc>
          <w:tcPr>
            <w:tcW w:w="2268" w:type="dxa"/>
            <w:shd w:val="clear" w:color="auto" w:fill="auto"/>
          </w:tcPr>
          <w:p w:rsidR="004979E5" w:rsidRDefault="001460EB">
            <w:pPr>
              <w:spacing w:line="240" w:lineRule="auto"/>
              <w:rPr>
                <w:i/>
              </w:rPr>
            </w:pPr>
            <w:r>
              <w:rPr>
                <w:i/>
              </w:rPr>
              <w:t>Contact</w:t>
            </w:r>
          </w:p>
        </w:tc>
        <w:tc>
          <w:tcPr>
            <w:tcW w:w="4645" w:type="dxa"/>
            <w:shd w:val="clear" w:color="auto" w:fill="auto"/>
          </w:tcPr>
          <w:p w:rsidR="004979E5" w:rsidRDefault="001460EB">
            <w:pPr>
              <w:spacing w:line="240" w:lineRule="auto"/>
              <w:rPr>
                <w:lang w:val="it-IT"/>
              </w:rPr>
            </w:pPr>
            <w:r>
              <w:rPr>
                <w:lang w:val="it-IT"/>
              </w:rPr>
              <w:t>Hilary Downes, PwC</w:t>
            </w:r>
          </w:p>
          <w:p w:rsidR="004979E5" w:rsidRDefault="001460EB">
            <w:pPr>
              <w:tabs>
                <w:tab w:val="left" w:pos="1440"/>
              </w:tabs>
              <w:ind w:left="1440" w:hanging="1440"/>
              <w:rPr>
                <w:rFonts w:cs="Arial"/>
                <w:lang w:val="it-IT"/>
              </w:rPr>
            </w:pPr>
            <w:r>
              <w:rPr>
                <w:rFonts w:cs="Arial"/>
                <w:lang w:val="it-IT"/>
              </w:rPr>
              <w:t>Tel: +44 207 213 4706  / +44 07718 340113</w:t>
            </w:r>
          </w:p>
          <w:p w:rsidR="004979E5" w:rsidRDefault="001460EB" w:rsidP="007718EA">
            <w:pPr>
              <w:spacing w:line="240" w:lineRule="auto"/>
              <w:rPr>
                <w:rFonts w:cs="Arial"/>
                <w:lang w:val="it-IT"/>
              </w:rPr>
            </w:pPr>
            <w:r>
              <w:rPr>
                <w:rFonts w:cs="Arial"/>
                <w:lang w:val="it-IT"/>
              </w:rPr>
              <w:t xml:space="preserve">e-mail: </w:t>
            </w:r>
            <w:hyperlink r:id="rId9" w:history="1">
              <w:r>
                <w:rPr>
                  <w:rStyle w:val="Hyperlink"/>
                  <w:rFonts w:cs="Arial"/>
                  <w:lang w:val="it-IT"/>
                </w:rPr>
                <w:t>hilary.n.downes@uk.pwc.com</w:t>
              </w:r>
            </w:hyperlink>
            <w:r>
              <w:rPr>
                <w:rFonts w:cs="Arial"/>
                <w:lang w:val="it-IT"/>
              </w:rPr>
              <w:t xml:space="preserve"> </w:t>
            </w:r>
          </w:p>
          <w:p w:rsidR="00AA504E" w:rsidRDefault="00AA504E" w:rsidP="007718EA">
            <w:pPr>
              <w:spacing w:line="240" w:lineRule="auto"/>
              <w:rPr>
                <w:lang w:val="it-IT"/>
              </w:rPr>
            </w:pPr>
            <w:bookmarkStart w:id="0" w:name="_GoBack"/>
            <w:bookmarkEnd w:id="0"/>
          </w:p>
        </w:tc>
      </w:tr>
      <w:tr w:rsidR="004979E5">
        <w:tc>
          <w:tcPr>
            <w:tcW w:w="2268" w:type="dxa"/>
            <w:shd w:val="clear" w:color="auto" w:fill="auto"/>
          </w:tcPr>
          <w:p w:rsidR="004979E5" w:rsidRDefault="001460EB">
            <w:pPr>
              <w:spacing w:line="240" w:lineRule="auto"/>
              <w:rPr>
                <w:i/>
              </w:rPr>
            </w:pPr>
            <w:r>
              <w:rPr>
                <w:i/>
              </w:rPr>
              <w:t xml:space="preserve">Pages </w:t>
            </w:r>
          </w:p>
        </w:tc>
        <w:tc>
          <w:tcPr>
            <w:tcW w:w="4645" w:type="dxa"/>
            <w:shd w:val="clear" w:color="auto" w:fill="auto"/>
          </w:tcPr>
          <w:p w:rsidR="004979E5" w:rsidRDefault="001460EB">
            <w:pPr>
              <w:spacing w:line="240" w:lineRule="auto"/>
              <w:rPr>
                <w:lang w:eastAsia="zh-CN"/>
              </w:rPr>
            </w:pPr>
            <w:r>
              <w:rPr>
                <w:lang w:eastAsia="zh-CN"/>
              </w:rPr>
              <w:t>2</w:t>
            </w:r>
          </w:p>
          <w:p w:rsidR="004979E5" w:rsidRDefault="004979E5">
            <w:pPr>
              <w:spacing w:line="240" w:lineRule="auto"/>
            </w:pPr>
          </w:p>
        </w:tc>
      </w:tr>
    </w:tbl>
    <w:p w:rsidR="004979E5" w:rsidRDefault="004979E5">
      <w:pPr>
        <w:pStyle w:val="Title"/>
        <w:rPr>
          <w:rFonts w:ascii="Georgia" w:eastAsia="SimSun" w:hAnsi="Georgia" w:cs="Arial"/>
          <w:bCs/>
          <w:i w:val="0"/>
          <w:color w:val="auto"/>
          <w:spacing w:val="0"/>
          <w:kern w:val="0"/>
          <w:sz w:val="22"/>
          <w:szCs w:val="22"/>
          <w:lang w:val="en-US"/>
        </w:rPr>
      </w:pPr>
    </w:p>
    <w:p w:rsidR="006E255F" w:rsidRPr="00AA504E" w:rsidRDefault="006E255F" w:rsidP="006E255F">
      <w:pPr>
        <w:autoSpaceDE w:val="0"/>
        <w:autoSpaceDN w:val="0"/>
        <w:adjustRightInd w:val="0"/>
        <w:spacing w:line="240" w:lineRule="auto"/>
        <w:jc w:val="center"/>
        <w:rPr>
          <w:rFonts w:cs="Georgia"/>
          <w:b/>
          <w:bCs/>
          <w:color w:val="000000"/>
          <w:sz w:val="24"/>
          <w:szCs w:val="24"/>
        </w:rPr>
      </w:pPr>
      <w:r w:rsidRPr="00AA504E">
        <w:rPr>
          <w:rFonts w:cs="Georgia"/>
          <w:b/>
          <w:bCs/>
          <w:color w:val="000000"/>
          <w:sz w:val="24"/>
          <w:szCs w:val="24"/>
        </w:rPr>
        <w:t>PwC: Missed opportunity for private equity on ESG management</w:t>
      </w:r>
    </w:p>
    <w:p w:rsidR="006E255F" w:rsidRDefault="006E255F" w:rsidP="006E255F">
      <w:pPr>
        <w:autoSpaceDE w:val="0"/>
        <w:autoSpaceDN w:val="0"/>
        <w:adjustRightInd w:val="0"/>
        <w:spacing w:line="240" w:lineRule="auto"/>
        <w:rPr>
          <w:rFonts w:cs="Georgia"/>
          <w:color w:val="000000"/>
        </w:rPr>
      </w:pPr>
    </w:p>
    <w:p w:rsidR="006E255F" w:rsidRDefault="006E255F" w:rsidP="006E255F">
      <w:pPr>
        <w:autoSpaceDE w:val="0"/>
        <w:autoSpaceDN w:val="0"/>
        <w:adjustRightInd w:val="0"/>
        <w:spacing w:line="240" w:lineRule="auto"/>
        <w:rPr>
          <w:rFonts w:cs="Georgia"/>
          <w:color w:val="000000"/>
        </w:rPr>
      </w:pPr>
    </w:p>
    <w:p w:rsidR="006E255F" w:rsidRDefault="00AA504E" w:rsidP="006E255F">
      <w:pPr>
        <w:autoSpaceDE w:val="0"/>
        <w:autoSpaceDN w:val="0"/>
        <w:adjustRightInd w:val="0"/>
        <w:spacing w:line="240" w:lineRule="auto"/>
        <w:rPr>
          <w:rFonts w:cs="Georgia"/>
          <w:color w:val="000000"/>
        </w:rPr>
      </w:pPr>
      <w:r w:rsidRPr="00AA504E">
        <w:rPr>
          <w:rFonts w:cs="Georgia"/>
          <w:b/>
          <w:color w:val="000000"/>
        </w:rPr>
        <w:t>London, 1 Oct 2013</w:t>
      </w:r>
      <w:r>
        <w:rPr>
          <w:rFonts w:cs="Georgia"/>
          <w:color w:val="000000"/>
        </w:rPr>
        <w:noBreakHyphen/>
      </w:r>
      <w:r>
        <w:rPr>
          <w:rFonts w:cs="Georgia"/>
          <w:color w:val="000000"/>
        </w:rPr>
        <w:noBreakHyphen/>
      </w:r>
      <w:r w:rsidR="006E255F">
        <w:rPr>
          <w:rFonts w:cs="Georgia"/>
          <w:color w:val="000000"/>
        </w:rPr>
        <w:t>New research from PwC has found that private equity firms are missing an opportunity to put a value on the improvements they’re making within their portfolio companies, from implementing their environmental, social and governance (ESG) management programmes.</w:t>
      </w:r>
      <w:r w:rsidR="006E255F" w:rsidRPr="006333A7">
        <w:rPr>
          <w:rFonts w:cs="Georgia"/>
          <w:color w:val="000000"/>
        </w:rPr>
        <w:t xml:space="preserve"> </w:t>
      </w:r>
    </w:p>
    <w:p w:rsidR="006E255F" w:rsidRDefault="006E255F" w:rsidP="006E255F">
      <w:pPr>
        <w:autoSpaceDE w:val="0"/>
        <w:autoSpaceDN w:val="0"/>
        <w:adjustRightInd w:val="0"/>
        <w:spacing w:line="240" w:lineRule="auto"/>
        <w:rPr>
          <w:rFonts w:cs="Georgia"/>
          <w:color w:val="000000"/>
        </w:rPr>
      </w:pPr>
    </w:p>
    <w:p w:rsidR="006E255F" w:rsidRDefault="006E255F" w:rsidP="006E255F">
      <w:pPr>
        <w:autoSpaceDE w:val="0"/>
        <w:autoSpaceDN w:val="0"/>
        <w:adjustRightInd w:val="0"/>
        <w:spacing w:line="240" w:lineRule="auto"/>
        <w:rPr>
          <w:rFonts w:cs="Georgia"/>
          <w:color w:val="000000"/>
        </w:rPr>
      </w:pPr>
      <w:r>
        <w:rPr>
          <w:rFonts w:cs="Georgia"/>
          <w:color w:val="000000"/>
        </w:rPr>
        <w:t xml:space="preserve">The report, </w:t>
      </w:r>
      <w:r>
        <w:rPr>
          <w:rFonts w:cs="Georgia"/>
          <w:i/>
          <w:iCs/>
          <w:color w:val="000000"/>
        </w:rPr>
        <w:t>Putting a price on value</w:t>
      </w:r>
      <w:r>
        <w:rPr>
          <w:rFonts w:cs="Georgia"/>
          <w:color w:val="000000"/>
        </w:rPr>
        <w:t xml:space="preserve">, based on the largest ever survey of the private equity industry’s attitude to ESG issues, found that less than 15% of PE houses  calculate the value they create through ESG activity. This is despite more than 80% of respondents saying that they monitor ESG activities. </w:t>
      </w:r>
    </w:p>
    <w:p w:rsidR="006E255F" w:rsidRDefault="006E255F" w:rsidP="006E255F">
      <w:pPr>
        <w:autoSpaceDE w:val="0"/>
        <w:autoSpaceDN w:val="0"/>
        <w:adjustRightInd w:val="0"/>
        <w:spacing w:line="240" w:lineRule="auto"/>
        <w:rPr>
          <w:rFonts w:ascii="Times New Roman" w:hAnsi="Times New Roman"/>
          <w:color w:val="000000"/>
        </w:rPr>
      </w:pPr>
    </w:p>
    <w:p w:rsidR="006E255F" w:rsidRDefault="006E255F" w:rsidP="006E255F">
      <w:pPr>
        <w:autoSpaceDE w:val="0"/>
        <w:autoSpaceDN w:val="0"/>
        <w:adjustRightInd w:val="0"/>
        <w:spacing w:line="240" w:lineRule="auto"/>
        <w:rPr>
          <w:rFonts w:cs="Georgia"/>
          <w:color w:val="000000"/>
        </w:rPr>
      </w:pPr>
      <w:r>
        <w:rPr>
          <w:rFonts w:cs="Georgia"/>
          <w:color w:val="000000"/>
        </w:rPr>
        <w:t>Instead, PE houses are focusing their ESG management activity more towards risk than opportunity: activity levels are high at the acquisition stage with PE houses sensibly keen to identify potential problems. The PwC survey found that 71% include ESG issues in pre-acquisition due diligence. The survey showed that the emphasis is on monitoring rather than valuation and the added value of any performance improvement generated through investing in ESG issues is missed.</w:t>
      </w:r>
    </w:p>
    <w:p w:rsidR="006E255F" w:rsidRDefault="006E255F" w:rsidP="006E255F">
      <w:pPr>
        <w:autoSpaceDE w:val="0"/>
        <w:autoSpaceDN w:val="0"/>
        <w:adjustRightInd w:val="0"/>
        <w:spacing w:line="240" w:lineRule="auto"/>
        <w:rPr>
          <w:rFonts w:cs="Georgia"/>
          <w:color w:val="000000"/>
        </w:rPr>
      </w:pPr>
    </w:p>
    <w:p w:rsidR="006E255F" w:rsidRDefault="006E255F" w:rsidP="006E255F">
      <w:pPr>
        <w:autoSpaceDE w:val="0"/>
        <w:autoSpaceDN w:val="0"/>
        <w:adjustRightInd w:val="0"/>
        <w:spacing w:line="240" w:lineRule="auto"/>
        <w:rPr>
          <w:rFonts w:cs="Georgia"/>
          <w:color w:val="000000"/>
        </w:rPr>
      </w:pPr>
      <w:r>
        <w:rPr>
          <w:rFonts w:cs="Georgia"/>
          <w:color w:val="000000"/>
        </w:rPr>
        <w:t>Phil Case, Director in the Sustainability &amp; Climate Change practice at PwC said:</w:t>
      </w:r>
    </w:p>
    <w:p w:rsidR="006E255F" w:rsidRDefault="006E255F" w:rsidP="006E255F">
      <w:pPr>
        <w:autoSpaceDE w:val="0"/>
        <w:autoSpaceDN w:val="0"/>
        <w:adjustRightInd w:val="0"/>
        <w:spacing w:line="240" w:lineRule="auto"/>
        <w:ind w:left="284"/>
        <w:rPr>
          <w:rFonts w:cs="Georgia"/>
          <w:color w:val="000000"/>
        </w:rPr>
      </w:pPr>
    </w:p>
    <w:p w:rsidR="006E255F" w:rsidRDefault="006E255F" w:rsidP="006E255F">
      <w:pPr>
        <w:autoSpaceDE w:val="0"/>
        <w:autoSpaceDN w:val="0"/>
        <w:adjustRightInd w:val="0"/>
        <w:spacing w:line="240" w:lineRule="auto"/>
        <w:ind w:left="284"/>
        <w:rPr>
          <w:rFonts w:cs="Georgia"/>
          <w:color w:val="000000"/>
        </w:rPr>
      </w:pPr>
      <w:r>
        <w:rPr>
          <w:rFonts w:cs="Georgia"/>
          <w:color w:val="000000"/>
        </w:rPr>
        <w:t>“These results show that private equity houses understand the value of ESG management – whether it’s protecting value through managing risk, or generating value by spotting opportunities. But not only could PE houses generate more value through better ESG management, it is also possible for this value to be quantified and communicated to investors, acquirers and wider stakeholders.</w:t>
      </w:r>
    </w:p>
    <w:p w:rsidR="006E255F" w:rsidRDefault="006E255F" w:rsidP="006E255F">
      <w:pPr>
        <w:autoSpaceDE w:val="0"/>
        <w:autoSpaceDN w:val="0"/>
        <w:adjustRightInd w:val="0"/>
        <w:spacing w:line="240" w:lineRule="auto"/>
        <w:ind w:left="284"/>
        <w:rPr>
          <w:rFonts w:cs="Georgia"/>
          <w:color w:val="000000"/>
        </w:rPr>
      </w:pPr>
    </w:p>
    <w:p w:rsidR="006E255F" w:rsidRDefault="006E255F" w:rsidP="006E255F">
      <w:pPr>
        <w:autoSpaceDE w:val="0"/>
        <w:autoSpaceDN w:val="0"/>
        <w:adjustRightInd w:val="0"/>
        <w:spacing w:line="240" w:lineRule="auto"/>
        <w:ind w:left="284"/>
        <w:rPr>
          <w:rFonts w:cs="Georgia"/>
          <w:color w:val="000000"/>
        </w:rPr>
      </w:pPr>
      <w:r>
        <w:rPr>
          <w:rFonts w:cs="Georgia"/>
          <w:color w:val="000000"/>
        </w:rPr>
        <w:t xml:space="preserve">“Four-fifths of private equity houses believe that investor interest in ESG issues will increase in the next two years so the imperative to engage with this is clear. But quantifying the benefits of ESG management isn’t always easy. Even the most sophisticated PE houses see the challenge in understanding, calculating and communicating the value that good ESG management can deliver: it needs specialised skills, dedicated resources and new ways of thinking about how companies are managed and where economies and growth are headed. </w:t>
      </w:r>
    </w:p>
    <w:p w:rsidR="006E255F" w:rsidRDefault="006E255F" w:rsidP="006E255F">
      <w:pPr>
        <w:tabs>
          <w:tab w:val="left" w:pos="2790"/>
        </w:tabs>
        <w:autoSpaceDE w:val="0"/>
        <w:autoSpaceDN w:val="0"/>
        <w:adjustRightInd w:val="0"/>
        <w:spacing w:line="240" w:lineRule="auto"/>
        <w:ind w:left="284"/>
        <w:rPr>
          <w:rFonts w:ascii="Times New Roman" w:hAnsi="Times New Roman"/>
          <w:color w:val="000000"/>
        </w:rPr>
      </w:pPr>
      <w:r>
        <w:rPr>
          <w:rFonts w:ascii="Times New Roman" w:hAnsi="Times New Roman"/>
          <w:color w:val="000000"/>
        </w:rPr>
        <w:tab/>
      </w:r>
    </w:p>
    <w:p w:rsidR="006E255F" w:rsidRDefault="006E255F" w:rsidP="006E255F">
      <w:pPr>
        <w:autoSpaceDE w:val="0"/>
        <w:autoSpaceDN w:val="0"/>
        <w:adjustRightInd w:val="0"/>
        <w:spacing w:line="240" w:lineRule="auto"/>
        <w:ind w:left="284"/>
        <w:rPr>
          <w:rFonts w:cs="Georgia"/>
          <w:color w:val="000000"/>
        </w:rPr>
      </w:pPr>
      <w:r>
        <w:rPr>
          <w:rFonts w:cs="Georgia"/>
          <w:color w:val="000000"/>
        </w:rPr>
        <w:t>“With investor interest expected to increase, this is one area in which PE houses can show how they make a real and measurable difference.”</w:t>
      </w:r>
    </w:p>
    <w:p w:rsidR="006E255F" w:rsidRDefault="006E255F" w:rsidP="006E255F">
      <w:pPr>
        <w:tabs>
          <w:tab w:val="left" w:pos="6615"/>
        </w:tabs>
        <w:autoSpaceDE w:val="0"/>
        <w:autoSpaceDN w:val="0"/>
        <w:adjustRightInd w:val="0"/>
        <w:spacing w:line="240" w:lineRule="auto"/>
        <w:jc w:val="both"/>
        <w:rPr>
          <w:rFonts w:cs="Georgia"/>
          <w:color w:val="000000"/>
        </w:rPr>
      </w:pPr>
    </w:p>
    <w:p w:rsidR="00AA504E" w:rsidRDefault="00AA504E">
      <w:pPr>
        <w:spacing w:line="240" w:lineRule="auto"/>
        <w:rPr>
          <w:rFonts w:cs="Georgia"/>
          <w:color w:val="000000"/>
        </w:rPr>
      </w:pPr>
      <w:r>
        <w:rPr>
          <w:rFonts w:cs="Georgia"/>
          <w:color w:val="000000"/>
        </w:rPr>
        <w:br w:type="page"/>
      </w:r>
    </w:p>
    <w:p w:rsidR="006E255F" w:rsidRDefault="006E255F" w:rsidP="006E255F">
      <w:pPr>
        <w:tabs>
          <w:tab w:val="left" w:pos="6615"/>
        </w:tabs>
        <w:autoSpaceDE w:val="0"/>
        <w:autoSpaceDN w:val="0"/>
        <w:adjustRightInd w:val="0"/>
        <w:spacing w:line="240" w:lineRule="auto"/>
        <w:jc w:val="both"/>
        <w:rPr>
          <w:rFonts w:cs="Georgia"/>
          <w:color w:val="000000"/>
        </w:rPr>
      </w:pPr>
    </w:p>
    <w:p w:rsidR="006E255F" w:rsidRDefault="006E255F" w:rsidP="006E255F">
      <w:pPr>
        <w:tabs>
          <w:tab w:val="left" w:pos="6615"/>
        </w:tabs>
        <w:autoSpaceDE w:val="0"/>
        <w:autoSpaceDN w:val="0"/>
        <w:adjustRightInd w:val="0"/>
        <w:spacing w:line="240" w:lineRule="auto"/>
        <w:jc w:val="both"/>
        <w:rPr>
          <w:rFonts w:cs="Georgia"/>
          <w:b/>
          <w:bCs/>
          <w:color w:val="000000"/>
        </w:rPr>
      </w:pPr>
      <w:r>
        <w:rPr>
          <w:rFonts w:cs="Georgia"/>
          <w:b/>
          <w:bCs/>
          <w:color w:val="000000"/>
        </w:rPr>
        <w:t xml:space="preserve">Notes to Editor: </w:t>
      </w:r>
    </w:p>
    <w:p w:rsidR="006E255F" w:rsidRDefault="006E255F" w:rsidP="006E255F">
      <w:pPr>
        <w:autoSpaceDE w:val="0"/>
        <w:autoSpaceDN w:val="0"/>
        <w:adjustRightInd w:val="0"/>
        <w:spacing w:line="240" w:lineRule="auto"/>
        <w:rPr>
          <w:rFonts w:cs="Georgia"/>
          <w:b/>
          <w:bCs/>
          <w:color w:val="000000"/>
        </w:rPr>
      </w:pPr>
    </w:p>
    <w:p w:rsidR="006E255F" w:rsidRDefault="006E255F" w:rsidP="006E255F">
      <w:pPr>
        <w:autoSpaceDE w:val="0"/>
        <w:autoSpaceDN w:val="0"/>
        <w:adjustRightInd w:val="0"/>
        <w:spacing w:line="240" w:lineRule="auto"/>
        <w:rPr>
          <w:rFonts w:cs="Georgia"/>
          <w:b/>
          <w:bCs/>
          <w:color w:val="000000"/>
        </w:rPr>
      </w:pPr>
      <w:r>
        <w:rPr>
          <w:rFonts w:cs="Georgia"/>
          <w:b/>
          <w:bCs/>
          <w:color w:val="000000"/>
        </w:rPr>
        <w:t>About the Report</w:t>
      </w:r>
    </w:p>
    <w:p w:rsidR="006E255F" w:rsidRDefault="006E255F" w:rsidP="006E255F">
      <w:pPr>
        <w:autoSpaceDE w:val="0"/>
        <w:autoSpaceDN w:val="0"/>
        <w:adjustRightInd w:val="0"/>
        <w:spacing w:line="240" w:lineRule="auto"/>
        <w:rPr>
          <w:rFonts w:cs="Georgia"/>
          <w:color w:val="000000"/>
        </w:rPr>
      </w:pPr>
      <w:r>
        <w:rPr>
          <w:rFonts w:cs="Georgia"/>
          <w:color w:val="000000"/>
        </w:rPr>
        <w:t xml:space="preserve">PwC conducted the largest survey yet of attitudes to responsible investment within the PE sector, of existing practices in ESG issue management, and of plans and intentions for the future. We received responses from 103 PE houses to an on-line survey, conducted in May 2013 across 18 countries. Follow-up phone calls and meetings were held with selected respondents. The report summarises the findings of the survey, and sets out our thinking on how better ESG management can create value in </w:t>
      </w:r>
      <w:r w:rsidR="007718EA">
        <w:rPr>
          <w:rFonts w:cs="Georgia"/>
          <w:color w:val="000000"/>
        </w:rPr>
        <w:t>private equity.</w:t>
      </w:r>
    </w:p>
    <w:p w:rsidR="006E255F" w:rsidRDefault="006E255F" w:rsidP="006E255F">
      <w:pPr>
        <w:autoSpaceDE w:val="0"/>
        <w:autoSpaceDN w:val="0"/>
        <w:adjustRightInd w:val="0"/>
        <w:spacing w:line="240" w:lineRule="auto"/>
        <w:jc w:val="both"/>
        <w:rPr>
          <w:rFonts w:cs="Georgia"/>
          <w:color w:val="000000"/>
        </w:rPr>
      </w:pPr>
    </w:p>
    <w:p w:rsidR="006E255F" w:rsidRDefault="006E255F" w:rsidP="006E255F">
      <w:pPr>
        <w:autoSpaceDE w:val="0"/>
        <w:autoSpaceDN w:val="0"/>
        <w:adjustRightInd w:val="0"/>
        <w:spacing w:line="240" w:lineRule="auto"/>
        <w:jc w:val="both"/>
        <w:rPr>
          <w:rFonts w:cs="Georgia"/>
          <w:b/>
          <w:bCs/>
          <w:color w:val="000000"/>
        </w:rPr>
      </w:pPr>
      <w:r>
        <w:rPr>
          <w:rFonts w:cs="Georgia"/>
          <w:b/>
          <w:bCs/>
          <w:color w:val="000000"/>
        </w:rPr>
        <w:t>About PwC</w:t>
      </w:r>
    </w:p>
    <w:p w:rsidR="006E255F" w:rsidRDefault="006E255F" w:rsidP="006E255F">
      <w:pPr>
        <w:autoSpaceDE w:val="0"/>
        <w:autoSpaceDN w:val="0"/>
        <w:adjustRightInd w:val="0"/>
        <w:spacing w:line="240" w:lineRule="auto"/>
        <w:rPr>
          <w:rFonts w:cs="Georgia"/>
          <w:color w:val="000000"/>
        </w:rPr>
      </w:pPr>
      <w:r>
        <w:rPr>
          <w:rFonts w:cs="Georgia"/>
          <w:color w:val="000000"/>
        </w:rPr>
        <w:t>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w:t>
      </w:r>
    </w:p>
    <w:p w:rsidR="006E255F" w:rsidRDefault="006E255F" w:rsidP="006E255F">
      <w:pPr>
        <w:autoSpaceDE w:val="0"/>
        <w:autoSpaceDN w:val="0"/>
        <w:adjustRightInd w:val="0"/>
        <w:spacing w:line="240" w:lineRule="auto"/>
        <w:rPr>
          <w:rFonts w:cs="Georgia"/>
          <w:color w:val="000000"/>
        </w:rPr>
      </w:pPr>
    </w:p>
    <w:p w:rsidR="006E255F" w:rsidRDefault="006E255F" w:rsidP="006E255F">
      <w:pPr>
        <w:pStyle w:val="BodyText"/>
      </w:pPr>
      <w:proofErr w:type="gramStart"/>
      <w:r>
        <w:rPr>
          <w:rFonts w:cs="Georgia"/>
          <w:color w:val="000000"/>
        </w:rPr>
        <w:t>2013 PricewaterhouseCoopers.</w:t>
      </w:r>
      <w:proofErr w:type="gramEnd"/>
      <w:r>
        <w:rPr>
          <w:rFonts w:cs="Georgia"/>
          <w:color w:val="000000"/>
        </w:rPr>
        <w:t xml:space="preserve"> All rights reserved.</w:t>
      </w:r>
    </w:p>
    <w:p w:rsidR="004979E5" w:rsidRPr="00FD16D5" w:rsidRDefault="004979E5" w:rsidP="006E255F">
      <w:pPr>
        <w:autoSpaceDE w:val="0"/>
        <w:autoSpaceDN w:val="0"/>
        <w:adjustRightInd w:val="0"/>
        <w:jc w:val="center"/>
        <w:rPr>
          <w:szCs w:val="20"/>
        </w:rPr>
      </w:pPr>
    </w:p>
    <w:sectPr w:rsidR="004979E5" w:rsidRPr="00FD16D5">
      <w:headerReference w:type="even" r:id="rId10"/>
      <w:headerReference w:type="default" r:id="rId11"/>
      <w:footerReference w:type="even" r:id="rId12"/>
      <w:footerReference w:type="default" r:id="rId13"/>
      <w:headerReference w:type="first" r:id="rId14"/>
      <w:pgSz w:w="11907" w:h="16839" w:code="9"/>
      <w:pgMar w:top="2892" w:right="179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1C" w:rsidRDefault="00301D1C">
      <w:pPr>
        <w:spacing w:line="240" w:lineRule="auto"/>
      </w:pPr>
      <w:r>
        <w:separator/>
      </w:r>
    </w:p>
  </w:endnote>
  <w:endnote w:type="continuationSeparator" w:id="0">
    <w:p w:rsidR="00301D1C" w:rsidRDefault="0030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E5" w:rsidRDefault="001460EB">
    <w:pPr>
      <w:pStyle w:val="Footer"/>
    </w:pP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BF24E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E5" w:rsidRDefault="001460EB">
    <w:pPr>
      <w:pStyle w:val="Footer"/>
    </w:pPr>
    <w:r>
      <w:fldChar w:fldCharType="begin"/>
    </w:r>
    <w:r>
      <w:instrText xml:space="preserve"> PAGE  \* MERGEFORMAT </w:instrText>
    </w:r>
    <w:r>
      <w:fldChar w:fldCharType="separate"/>
    </w:r>
    <w:r w:rsidR="00F967C3">
      <w:rPr>
        <w:noProof/>
      </w:rPr>
      <w:t>2</w:t>
    </w:r>
    <w:r>
      <w:rPr>
        <w:noProof/>
      </w:rPr>
      <w:fldChar w:fldCharType="end"/>
    </w:r>
    <w:r>
      <w:t xml:space="preserve"> of </w:t>
    </w:r>
    <w:fldSimple w:instr=" NUMPAGES  \* MERGEFORMAT ">
      <w:r w:rsidR="00F967C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1C" w:rsidRDefault="00301D1C">
      <w:pPr>
        <w:spacing w:line="240" w:lineRule="auto"/>
      </w:pPr>
      <w:r>
        <w:separator/>
      </w:r>
    </w:p>
  </w:footnote>
  <w:footnote w:type="continuationSeparator" w:id="0">
    <w:p w:rsidR="00301D1C" w:rsidRDefault="00301D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E5" w:rsidRDefault="004979E5">
    <w:pPr>
      <w:pStyle w:val="Header"/>
    </w:pPr>
  </w:p>
  <w:p w:rsidR="004979E5" w:rsidRDefault="00497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E5" w:rsidRDefault="001460EB">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E5" w:rsidRDefault="001460EB">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8B6"/>
    <w:multiLevelType w:val="hybridMultilevel"/>
    <w:tmpl w:val="862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E271F9F"/>
    <w:multiLevelType w:val="hybridMultilevel"/>
    <w:tmpl w:val="BD6A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7">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5"/>
    <w:rsid w:val="00001642"/>
    <w:rsid w:val="000B42ED"/>
    <w:rsid w:val="000C481F"/>
    <w:rsid w:val="000D0FF6"/>
    <w:rsid w:val="001460EB"/>
    <w:rsid w:val="00154860"/>
    <w:rsid w:val="001570CB"/>
    <w:rsid w:val="001B3C4C"/>
    <w:rsid w:val="001D54BD"/>
    <w:rsid w:val="00200083"/>
    <w:rsid w:val="00301D1C"/>
    <w:rsid w:val="004979E5"/>
    <w:rsid w:val="004D7F0E"/>
    <w:rsid w:val="00572846"/>
    <w:rsid w:val="00632874"/>
    <w:rsid w:val="00693E02"/>
    <w:rsid w:val="006E255F"/>
    <w:rsid w:val="007718EA"/>
    <w:rsid w:val="00825596"/>
    <w:rsid w:val="0087059C"/>
    <w:rsid w:val="008E3581"/>
    <w:rsid w:val="009C72CD"/>
    <w:rsid w:val="00A721F1"/>
    <w:rsid w:val="00AA504E"/>
    <w:rsid w:val="00AA74FB"/>
    <w:rsid w:val="00AE46C3"/>
    <w:rsid w:val="00B11D3B"/>
    <w:rsid w:val="00B31B54"/>
    <w:rsid w:val="00BE44C0"/>
    <w:rsid w:val="00BF24E5"/>
    <w:rsid w:val="00BF3CEC"/>
    <w:rsid w:val="00C10A72"/>
    <w:rsid w:val="00C17E27"/>
    <w:rsid w:val="00CF17FC"/>
    <w:rsid w:val="00D317DC"/>
    <w:rsid w:val="00D662A2"/>
    <w:rsid w:val="00E11C4F"/>
    <w:rsid w:val="00E2571F"/>
    <w:rsid w:val="00EB15E0"/>
    <w:rsid w:val="00ED1B60"/>
    <w:rsid w:val="00F4712E"/>
    <w:rsid w:val="00F967C3"/>
    <w:rsid w:val="00FC47BE"/>
    <w:rsid w:val="00FC5FDD"/>
    <w:rsid w:val="00FD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27"/>
    <w:pPr>
      <w:spacing w:line="240" w:lineRule="atLeast"/>
    </w:pPr>
    <w:rPr>
      <w:rFonts w:ascii="Georgia" w:hAnsi="Georgia"/>
      <w:szCs w:val="22"/>
      <w:lang w:val="en-GB"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Pr>
      <w:color w:val="0000FF"/>
      <w:u w:val="single"/>
    </w:rPr>
  </w:style>
  <w:style w:type="paragraph" w:customStyle="1" w:styleId="CharCharCharChar">
    <w:name w:val="Char Char Char Char"/>
    <w:basedOn w:val="Normal"/>
    <w:pPr>
      <w:spacing w:after="160" w:line="240" w:lineRule="exact"/>
    </w:pPr>
    <w:rPr>
      <w:rFonts w:ascii="Tahoma" w:hAnsi="Tahoma" w:cs="Angsana New"/>
      <w:szCs w:val="20"/>
      <w:lang w:val="en-US"/>
    </w:rPr>
  </w:style>
  <w:style w:type="paragraph" w:customStyle="1" w:styleId="Heading">
    <w:name w:val="Heading"/>
    <w:basedOn w:val="Normal"/>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27"/>
    <w:pPr>
      <w:spacing w:line="240" w:lineRule="atLeast"/>
    </w:pPr>
    <w:rPr>
      <w:rFonts w:ascii="Georgia" w:hAnsi="Georgia"/>
      <w:szCs w:val="22"/>
      <w:lang w:val="en-GB"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Pr>
      <w:color w:val="0000FF"/>
      <w:u w:val="single"/>
    </w:rPr>
  </w:style>
  <w:style w:type="paragraph" w:customStyle="1" w:styleId="CharCharCharChar">
    <w:name w:val="Char Char Char Char"/>
    <w:basedOn w:val="Normal"/>
    <w:pPr>
      <w:spacing w:after="160" w:line="240" w:lineRule="exact"/>
    </w:pPr>
    <w:rPr>
      <w:rFonts w:ascii="Tahoma" w:hAnsi="Tahoma" w:cs="Angsana New"/>
      <w:szCs w:val="20"/>
      <w:lang w:val="en-US"/>
    </w:rPr>
  </w:style>
  <w:style w:type="paragraph" w:customStyle="1" w:styleId="Heading">
    <w:name w:val="Heading"/>
    <w:basedOn w:val="Normal"/>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lary.n.downes@uk.pw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1C2F-2D34-404C-BCF2-5D241A7D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3418</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3</cp:revision>
  <cp:lastPrinted>2013-09-30T14:54:00Z</cp:lastPrinted>
  <dcterms:created xsi:type="dcterms:W3CDTF">2013-09-30T14:50:00Z</dcterms:created>
  <dcterms:modified xsi:type="dcterms:W3CDTF">2013-09-30T15:30:00Z</dcterms:modified>
</cp:coreProperties>
</file>