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36" w:rsidRDefault="00D81336"/>
    <w:p w:rsidR="00D81336" w:rsidRDefault="00A77FF6">
      <w:pPr>
        <w:pStyle w:val="Title"/>
        <w:rPr>
          <w:rFonts w:ascii="Georgia" w:hAnsi="Georgia"/>
        </w:rPr>
      </w:pPr>
      <w:r>
        <w:rPr>
          <w:rFonts w:ascii="Georgia" w:hAnsi="Georgia"/>
        </w:rPr>
        <w:t>News release</w:t>
      </w:r>
    </w:p>
    <w:tbl>
      <w:tblPr>
        <w:tblW w:w="0" w:type="auto"/>
        <w:tblLayout w:type="fixed"/>
        <w:tblLook w:val="0000" w:firstRow="0" w:lastRow="0" w:firstColumn="0" w:lastColumn="0" w:noHBand="0" w:noVBand="0"/>
      </w:tblPr>
      <w:tblGrid>
        <w:gridCol w:w="2268"/>
        <w:gridCol w:w="4645"/>
      </w:tblGrid>
      <w:tr w:rsidR="00D81336">
        <w:tc>
          <w:tcPr>
            <w:tcW w:w="2268" w:type="dxa"/>
          </w:tcPr>
          <w:p w:rsidR="00D81336" w:rsidRDefault="00A77FF6">
            <w:pPr>
              <w:rPr>
                <w:i/>
              </w:rPr>
            </w:pPr>
            <w:r>
              <w:rPr>
                <w:i/>
              </w:rPr>
              <w:t>Date</w:t>
            </w:r>
          </w:p>
        </w:tc>
        <w:tc>
          <w:tcPr>
            <w:tcW w:w="4645" w:type="dxa"/>
          </w:tcPr>
          <w:p w:rsidR="00D81336" w:rsidRDefault="000E4EC2">
            <w:r>
              <w:t>26</w:t>
            </w:r>
            <w:r w:rsidR="00197BD0">
              <w:t xml:space="preserve"> September</w:t>
            </w:r>
            <w:r w:rsidR="00B951B0">
              <w:t xml:space="preserve"> 2013</w:t>
            </w:r>
          </w:p>
          <w:p w:rsidR="00D81336" w:rsidRDefault="00D81336"/>
        </w:tc>
      </w:tr>
      <w:tr w:rsidR="00D81336">
        <w:tc>
          <w:tcPr>
            <w:tcW w:w="2268" w:type="dxa"/>
          </w:tcPr>
          <w:p w:rsidR="00D81336" w:rsidRDefault="00A77FF6">
            <w:pPr>
              <w:rPr>
                <w:i/>
              </w:rPr>
            </w:pPr>
            <w:r>
              <w:rPr>
                <w:i/>
              </w:rPr>
              <w:t>Contact</w:t>
            </w:r>
          </w:p>
        </w:tc>
        <w:tc>
          <w:tcPr>
            <w:tcW w:w="4645" w:type="dxa"/>
          </w:tcPr>
          <w:p w:rsidR="00D81336" w:rsidRDefault="00297D87">
            <w:pPr>
              <w:tabs>
                <w:tab w:val="left" w:pos="1440"/>
              </w:tabs>
              <w:ind w:left="1440" w:hanging="1440"/>
              <w:rPr>
                <w:rFonts w:cs="Arial"/>
                <w:color w:val="000000"/>
                <w:lang w:val="fr-CH"/>
              </w:rPr>
            </w:pPr>
            <w:r>
              <w:rPr>
                <w:rFonts w:cs="Arial"/>
                <w:b/>
                <w:bCs/>
                <w:color w:val="000000"/>
                <w:lang w:val="fr-CH"/>
              </w:rPr>
              <w:t>Alayna Francis</w:t>
            </w:r>
          </w:p>
          <w:p w:rsidR="00D81336" w:rsidRDefault="00A77FF6">
            <w:pPr>
              <w:tabs>
                <w:tab w:val="left" w:pos="1440"/>
              </w:tabs>
              <w:ind w:left="1440" w:hanging="1440"/>
              <w:rPr>
                <w:rFonts w:cs="Arial"/>
                <w:color w:val="000000"/>
                <w:lang w:val="fr-CH"/>
              </w:rPr>
            </w:pPr>
            <w:r>
              <w:rPr>
                <w:rFonts w:cs="Arial"/>
                <w:color w:val="000000"/>
                <w:lang w:val="fr-CH"/>
              </w:rPr>
              <w:t xml:space="preserve">Tel: </w:t>
            </w:r>
            <w:r w:rsidR="00297D87">
              <w:rPr>
                <w:rFonts w:cs="Arial"/>
                <w:color w:val="000000"/>
                <w:lang w:val="fr-CH"/>
              </w:rPr>
              <w:t>+ 1 646-471-4039</w:t>
            </w:r>
          </w:p>
          <w:p w:rsidR="00D81336" w:rsidRDefault="001E7D34" w:rsidP="001E7D34">
            <w:pPr>
              <w:tabs>
                <w:tab w:val="left" w:pos="1440"/>
              </w:tabs>
              <w:ind w:left="1440" w:hanging="1440"/>
              <w:rPr>
                <w:rFonts w:cs="Arial"/>
                <w:color w:val="000000"/>
                <w:lang w:val="it-IT"/>
              </w:rPr>
            </w:pPr>
            <w:r>
              <w:rPr>
                <w:rFonts w:cs="Arial"/>
                <w:color w:val="000000"/>
                <w:lang w:val="it-IT"/>
              </w:rPr>
              <w:t>E</w:t>
            </w:r>
            <w:r w:rsidR="00A77FF6">
              <w:rPr>
                <w:rFonts w:cs="Arial"/>
                <w:color w:val="000000"/>
                <w:lang w:val="it-IT"/>
              </w:rPr>
              <w:t xml:space="preserve">-mail: </w:t>
            </w:r>
            <w:r w:rsidR="00297D87">
              <w:rPr>
                <w:rFonts w:cs="Arial"/>
                <w:color w:val="000000"/>
                <w:lang w:val="it-IT"/>
              </w:rPr>
              <w:t>alayna.francis@us.pwc.com</w:t>
            </w:r>
          </w:p>
        </w:tc>
      </w:tr>
      <w:tr w:rsidR="00D81336">
        <w:tc>
          <w:tcPr>
            <w:tcW w:w="2268" w:type="dxa"/>
          </w:tcPr>
          <w:p w:rsidR="00D81336" w:rsidRDefault="00D81336">
            <w:pPr>
              <w:rPr>
                <w:i/>
                <w:lang w:val="it-IT"/>
              </w:rPr>
            </w:pPr>
          </w:p>
          <w:p w:rsidR="00D81336" w:rsidRDefault="00A77FF6">
            <w:pPr>
              <w:rPr>
                <w:i/>
              </w:rPr>
            </w:pPr>
            <w:r>
              <w:rPr>
                <w:i/>
              </w:rPr>
              <w:t xml:space="preserve">Pages </w:t>
            </w:r>
          </w:p>
        </w:tc>
        <w:tc>
          <w:tcPr>
            <w:tcW w:w="4645" w:type="dxa"/>
          </w:tcPr>
          <w:p w:rsidR="00D81336" w:rsidRDefault="00D81336"/>
          <w:p w:rsidR="00D81336" w:rsidRDefault="00F8769E" w:rsidP="00F8769E">
            <w:r>
              <w:t>2</w:t>
            </w:r>
            <w:r w:rsidR="001E7D34">
              <w:t xml:space="preserve"> pages</w:t>
            </w:r>
          </w:p>
        </w:tc>
      </w:tr>
    </w:tbl>
    <w:p w:rsidR="00D81336" w:rsidRPr="00F17ADF" w:rsidRDefault="00D81336" w:rsidP="005217CB">
      <w:pPr>
        <w:pStyle w:val="Title"/>
        <w:spacing w:after="0"/>
        <w:rPr>
          <w:i w:val="0"/>
        </w:rPr>
      </w:pPr>
    </w:p>
    <w:p w:rsidR="001830B9" w:rsidRDefault="00086558" w:rsidP="00BF2528">
      <w:pPr>
        <w:jc w:val="center"/>
        <w:rPr>
          <w:b/>
          <w:sz w:val="28"/>
          <w:szCs w:val="28"/>
        </w:rPr>
      </w:pPr>
      <w:r>
        <w:rPr>
          <w:b/>
          <w:sz w:val="28"/>
          <w:szCs w:val="28"/>
        </w:rPr>
        <w:t>China</w:t>
      </w:r>
      <w:r w:rsidR="001D149F">
        <w:rPr>
          <w:b/>
          <w:sz w:val="28"/>
          <w:szCs w:val="28"/>
        </w:rPr>
        <w:t xml:space="preserve">’s </w:t>
      </w:r>
      <w:r>
        <w:rPr>
          <w:b/>
          <w:sz w:val="28"/>
          <w:szCs w:val="28"/>
        </w:rPr>
        <w:t xml:space="preserve">Semiconductor </w:t>
      </w:r>
      <w:r w:rsidR="00BA1270">
        <w:rPr>
          <w:b/>
          <w:sz w:val="28"/>
          <w:szCs w:val="28"/>
        </w:rPr>
        <w:t xml:space="preserve">Consumption </w:t>
      </w:r>
      <w:r w:rsidR="00723DB5">
        <w:rPr>
          <w:b/>
          <w:sz w:val="28"/>
          <w:szCs w:val="28"/>
        </w:rPr>
        <w:t>G</w:t>
      </w:r>
      <w:r w:rsidR="001D149F">
        <w:rPr>
          <w:b/>
          <w:sz w:val="28"/>
          <w:szCs w:val="28"/>
        </w:rPr>
        <w:t>rows</w:t>
      </w:r>
      <w:r w:rsidR="00723DB5">
        <w:rPr>
          <w:b/>
          <w:sz w:val="28"/>
          <w:szCs w:val="28"/>
        </w:rPr>
        <w:t xml:space="preserve"> </w:t>
      </w:r>
      <w:r w:rsidR="00CD36D3">
        <w:rPr>
          <w:b/>
          <w:sz w:val="28"/>
          <w:szCs w:val="28"/>
        </w:rPr>
        <w:t>to Historic Level</w:t>
      </w:r>
      <w:r w:rsidR="002A75DA">
        <w:rPr>
          <w:b/>
          <w:sz w:val="28"/>
          <w:szCs w:val="28"/>
        </w:rPr>
        <w:t xml:space="preserve"> </w:t>
      </w:r>
      <w:proofErr w:type="gramStart"/>
      <w:r w:rsidR="00890B96">
        <w:rPr>
          <w:b/>
          <w:sz w:val="28"/>
          <w:szCs w:val="28"/>
        </w:rPr>
        <w:t>Despite</w:t>
      </w:r>
      <w:proofErr w:type="gramEnd"/>
      <w:r w:rsidR="00744B47">
        <w:rPr>
          <w:b/>
          <w:sz w:val="28"/>
          <w:szCs w:val="28"/>
        </w:rPr>
        <w:t xml:space="preserve"> </w:t>
      </w:r>
      <w:r w:rsidR="00BA1270">
        <w:rPr>
          <w:b/>
          <w:sz w:val="28"/>
          <w:szCs w:val="28"/>
        </w:rPr>
        <w:t xml:space="preserve">Volatility in </w:t>
      </w:r>
      <w:r w:rsidR="00723DB5">
        <w:rPr>
          <w:b/>
          <w:sz w:val="28"/>
          <w:szCs w:val="28"/>
        </w:rPr>
        <w:t>Global Market</w:t>
      </w:r>
    </w:p>
    <w:p w:rsidR="001830B9" w:rsidRDefault="001830B9" w:rsidP="001830B9">
      <w:pPr>
        <w:jc w:val="center"/>
        <w:rPr>
          <w:b/>
          <w:sz w:val="28"/>
          <w:szCs w:val="28"/>
        </w:rPr>
      </w:pPr>
    </w:p>
    <w:p w:rsidR="00086558" w:rsidRDefault="00086558" w:rsidP="00086558">
      <w:pPr>
        <w:jc w:val="center"/>
        <w:rPr>
          <w:b/>
          <w:i/>
          <w:szCs w:val="20"/>
        </w:rPr>
      </w:pPr>
      <w:r>
        <w:rPr>
          <w:b/>
          <w:i/>
          <w:szCs w:val="20"/>
        </w:rPr>
        <w:t xml:space="preserve">China </w:t>
      </w:r>
      <w:r w:rsidR="00BA1270">
        <w:rPr>
          <w:b/>
          <w:i/>
          <w:szCs w:val="20"/>
        </w:rPr>
        <w:t xml:space="preserve">now accounts for </w:t>
      </w:r>
      <w:r w:rsidR="00A5070D">
        <w:rPr>
          <w:b/>
          <w:i/>
          <w:szCs w:val="20"/>
        </w:rPr>
        <w:t>m</w:t>
      </w:r>
      <w:r>
        <w:rPr>
          <w:b/>
          <w:i/>
          <w:szCs w:val="20"/>
        </w:rPr>
        <w:t xml:space="preserve">ore </w:t>
      </w:r>
      <w:r w:rsidR="00A5070D">
        <w:rPr>
          <w:b/>
          <w:i/>
          <w:szCs w:val="20"/>
        </w:rPr>
        <w:t>t</w:t>
      </w:r>
      <w:r>
        <w:rPr>
          <w:b/>
          <w:i/>
          <w:szCs w:val="20"/>
        </w:rPr>
        <w:t xml:space="preserve">han </w:t>
      </w:r>
      <w:r w:rsidR="00A5070D">
        <w:rPr>
          <w:b/>
          <w:i/>
          <w:szCs w:val="20"/>
        </w:rPr>
        <w:t>h</w:t>
      </w:r>
      <w:r>
        <w:rPr>
          <w:b/>
          <w:i/>
          <w:szCs w:val="20"/>
        </w:rPr>
        <w:t xml:space="preserve">alf of </w:t>
      </w:r>
      <w:r w:rsidR="00A5070D">
        <w:rPr>
          <w:b/>
          <w:i/>
          <w:szCs w:val="20"/>
        </w:rPr>
        <w:t>w</w:t>
      </w:r>
      <w:r>
        <w:rPr>
          <w:b/>
          <w:i/>
          <w:szCs w:val="20"/>
        </w:rPr>
        <w:t xml:space="preserve">orldwide </w:t>
      </w:r>
    </w:p>
    <w:p w:rsidR="001830B9" w:rsidRDefault="002D618B" w:rsidP="00086558">
      <w:pPr>
        <w:jc w:val="center"/>
        <w:rPr>
          <w:b/>
          <w:i/>
          <w:szCs w:val="20"/>
        </w:rPr>
      </w:pPr>
      <w:proofErr w:type="gramStart"/>
      <w:r>
        <w:rPr>
          <w:b/>
          <w:i/>
          <w:szCs w:val="20"/>
        </w:rPr>
        <w:t>s</w:t>
      </w:r>
      <w:r w:rsidR="006141C9">
        <w:rPr>
          <w:b/>
          <w:i/>
          <w:szCs w:val="20"/>
        </w:rPr>
        <w:t>emiconductor</w:t>
      </w:r>
      <w:proofErr w:type="gramEnd"/>
      <w:r w:rsidR="006141C9">
        <w:rPr>
          <w:b/>
          <w:i/>
          <w:szCs w:val="20"/>
        </w:rPr>
        <w:t xml:space="preserve"> </w:t>
      </w:r>
      <w:r w:rsidR="00BA1270">
        <w:rPr>
          <w:b/>
          <w:i/>
          <w:szCs w:val="20"/>
        </w:rPr>
        <w:t>consumption</w:t>
      </w:r>
      <w:r w:rsidR="00086558">
        <w:rPr>
          <w:b/>
          <w:i/>
          <w:szCs w:val="20"/>
        </w:rPr>
        <w:t xml:space="preserve">, </w:t>
      </w:r>
      <w:r w:rsidR="00F87BDE">
        <w:rPr>
          <w:b/>
          <w:i/>
          <w:szCs w:val="20"/>
        </w:rPr>
        <w:t xml:space="preserve">PwC </w:t>
      </w:r>
      <w:r w:rsidR="00A5070D">
        <w:rPr>
          <w:b/>
          <w:i/>
          <w:szCs w:val="20"/>
        </w:rPr>
        <w:t>r</w:t>
      </w:r>
      <w:r w:rsidR="00517847">
        <w:rPr>
          <w:b/>
          <w:i/>
          <w:szCs w:val="20"/>
        </w:rPr>
        <w:t xml:space="preserve">eport </w:t>
      </w:r>
      <w:r w:rsidR="002A75DA">
        <w:rPr>
          <w:b/>
          <w:i/>
          <w:szCs w:val="20"/>
        </w:rPr>
        <w:t>finds</w:t>
      </w:r>
      <w:r w:rsidR="00872C8C">
        <w:rPr>
          <w:b/>
          <w:i/>
          <w:szCs w:val="20"/>
        </w:rPr>
        <w:br/>
      </w:r>
    </w:p>
    <w:p w:rsidR="00BA1270" w:rsidRPr="00BA537A" w:rsidRDefault="00086558">
      <w:pPr>
        <w:pStyle w:val="ListParagraph"/>
        <w:spacing w:line="240" w:lineRule="auto"/>
        <w:ind w:left="0"/>
        <w:rPr>
          <w:rFonts w:cstheme="minorHAnsi"/>
          <w:szCs w:val="20"/>
        </w:rPr>
      </w:pPr>
      <w:r>
        <w:rPr>
          <w:rFonts w:cstheme="minorHAnsi"/>
          <w:szCs w:val="20"/>
        </w:rPr>
        <w:t xml:space="preserve">China’s semiconductor </w:t>
      </w:r>
      <w:r w:rsidR="002F2801">
        <w:rPr>
          <w:rFonts w:cstheme="minorHAnsi"/>
          <w:szCs w:val="20"/>
        </w:rPr>
        <w:t xml:space="preserve">consumption </w:t>
      </w:r>
      <w:r w:rsidR="002A75DA">
        <w:rPr>
          <w:rFonts w:cstheme="minorHAnsi"/>
          <w:szCs w:val="20"/>
        </w:rPr>
        <w:t xml:space="preserve">has </w:t>
      </w:r>
      <w:r w:rsidR="00BA1270">
        <w:rPr>
          <w:rFonts w:cstheme="minorHAnsi"/>
          <w:szCs w:val="20"/>
        </w:rPr>
        <w:t>grow</w:t>
      </w:r>
      <w:r w:rsidR="002A75DA">
        <w:rPr>
          <w:rFonts w:cstheme="minorHAnsi"/>
          <w:szCs w:val="20"/>
        </w:rPr>
        <w:t>n</w:t>
      </w:r>
      <w:r w:rsidR="00BA1270">
        <w:rPr>
          <w:rFonts w:cstheme="minorHAnsi"/>
          <w:szCs w:val="20"/>
        </w:rPr>
        <w:t xml:space="preserve"> </w:t>
      </w:r>
      <w:r w:rsidR="00723DB5">
        <w:rPr>
          <w:rFonts w:cstheme="minorHAnsi"/>
          <w:szCs w:val="20"/>
        </w:rPr>
        <w:t xml:space="preserve">to historic levels, </w:t>
      </w:r>
      <w:r w:rsidR="00BA1270">
        <w:rPr>
          <w:rFonts w:cstheme="minorHAnsi"/>
          <w:szCs w:val="20"/>
        </w:rPr>
        <w:t xml:space="preserve">and </w:t>
      </w:r>
      <w:r w:rsidR="002D618B">
        <w:rPr>
          <w:rFonts w:cstheme="minorHAnsi"/>
          <w:szCs w:val="20"/>
        </w:rPr>
        <w:t>now accounts for over</w:t>
      </w:r>
      <w:r w:rsidR="002A75DA">
        <w:rPr>
          <w:rFonts w:cstheme="minorHAnsi"/>
          <w:szCs w:val="20"/>
        </w:rPr>
        <w:t xml:space="preserve"> half</w:t>
      </w:r>
      <w:r w:rsidR="007D1A9B">
        <w:rPr>
          <w:rFonts w:cstheme="minorHAnsi"/>
          <w:szCs w:val="20"/>
        </w:rPr>
        <w:t xml:space="preserve"> </w:t>
      </w:r>
      <w:r w:rsidR="00BA1270">
        <w:rPr>
          <w:rFonts w:cstheme="minorHAnsi"/>
          <w:szCs w:val="20"/>
        </w:rPr>
        <w:t xml:space="preserve">of </w:t>
      </w:r>
      <w:r w:rsidR="002F2801">
        <w:rPr>
          <w:rFonts w:cstheme="minorHAnsi"/>
          <w:szCs w:val="20"/>
        </w:rPr>
        <w:t xml:space="preserve">the </w:t>
      </w:r>
      <w:r w:rsidR="00BA1270">
        <w:rPr>
          <w:rFonts w:cstheme="minorHAnsi"/>
          <w:szCs w:val="20"/>
        </w:rPr>
        <w:t xml:space="preserve">global semiconductor </w:t>
      </w:r>
      <w:r w:rsidR="002F2801">
        <w:rPr>
          <w:rFonts w:cstheme="minorHAnsi"/>
          <w:szCs w:val="20"/>
        </w:rPr>
        <w:t>market</w:t>
      </w:r>
      <w:r w:rsidR="00BA1270">
        <w:rPr>
          <w:rFonts w:cstheme="minorHAnsi"/>
          <w:szCs w:val="20"/>
        </w:rPr>
        <w:t xml:space="preserve">. </w:t>
      </w:r>
      <w:r w:rsidR="00BA537A">
        <w:rPr>
          <w:rFonts w:cs="Georgia"/>
          <w:color w:val="000000"/>
          <w:szCs w:val="20"/>
          <w:lang w:val="en-US" w:eastAsia="de-CH"/>
        </w:rPr>
        <w:t>The level of semiconductor consumption in China increased 8.7% in 2012 to account for 52.5% of global usage,</w:t>
      </w:r>
      <w:r w:rsidR="00BA537A">
        <w:rPr>
          <w:rFonts w:cstheme="minorHAnsi"/>
          <w:szCs w:val="20"/>
        </w:rPr>
        <w:t xml:space="preserve"> </w:t>
      </w:r>
      <w:r w:rsidR="00416BED">
        <w:rPr>
          <w:rFonts w:cstheme="minorHAnsi"/>
          <w:szCs w:val="20"/>
        </w:rPr>
        <w:t>according to PwC’s ‘</w:t>
      </w:r>
      <w:r w:rsidR="00416BED" w:rsidRPr="002D618B">
        <w:rPr>
          <w:rFonts w:cstheme="minorHAnsi"/>
          <w:i/>
          <w:szCs w:val="20"/>
        </w:rPr>
        <w:t>China’s Impact on the Semiconductor Industry</w:t>
      </w:r>
      <w:r w:rsidR="00CD36D3">
        <w:rPr>
          <w:rFonts w:cstheme="minorHAnsi"/>
          <w:i/>
          <w:szCs w:val="20"/>
        </w:rPr>
        <w:t xml:space="preserve"> – </w:t>
      </w:r>
      <w:r w:rsidR="00416BED" w:rsidRPr="002D618B">
        <w:rPr>
          <w:rFonts w:cstheme="minorHAnsi"/>
          <w:i/>
          <w:szCs w:val="20"/>
        </w:rPr>
        <w:t>2013 Update</w:t>
      </w:r>
      <w:r w:rsidR="008E4C2F">
        <w:rPr>
          <w:rFonts w:cstheme="minorHAnsi"/>
          <w:i/>
          <w:szCs w:val="20"/>
        </w:rPr>
        <w:t>.</w:t>
      </w:r>
      <w:r w:rsidR="00416BED">
        <w:rPr>
          <w:rFonts w:cstheme="minorHAnsi"/>
          <w:szCs w:val="20"/>
        </w:rPr>
        <w:t>’</w:t>
      </w:r>
      <w:r w:rsidR="00CD36D3">
        <w:rPr>
          <w:rFonts w:cs="ITCCharterCom-Italic"/>
          <w:iCs/>
          <w:szCs w:val="20"/>
          <w:lang w:val="en-US" w:eastAsia="de-CH"/>
        </w:rPr>
        <w:t xml:space="preserve"> </w:t>
      </w:r>
    </w:p>
    <w:p w:rsidR="00BA1270" w:rsidRDefault="00BA1270">
      <w:pPr>
        <w:pStyle w:val="ListParagraph"/>
        <w:spacing w:line="240" w:lineRule="auto"/>
        <w:ind w:left="0"/>
        <w:rPr>
          <w:rFonts w:cstheme="minorHAnsi"/>
          <w:szCs w:val="20"/>
        </w:rPr>
      </w:pPr>
    </w:p>
    <w:p w:rsidR="00903BD9" w:rsidRPr="00BF2528" w:rsidRDefault="00784010">
      <w:pPr>
        <w:pStyle w:val="ListParagraph"/>
        <w:spacing w:line="240" w:lineRule="auto"/>
        <w:ind w:left="0"/>
        <w:rPr>
          <w:rFonts w:cs="ITCCharterCom-Italic"/>
          <w:iCs/>
          <w:szCs w:val="20"/>
          <w:lang w:val="en-US" w:eastAsia="de-CH"/>
        </w:rPr>
      </w:pPr>
      <w:r>
        <w:rPr>
          <w:rFonts w:cstheme="minorHAnsi"/>
          <w:szCs w:val="20"/>
        </w:rPr>
        <w:t xml:space="preserve">The </w:t>
      </w:r>
      <w:r w:rsidR="00416BED">
        <w:rPr>
          <w:rFonts w:cstheme="minorHAnsi"/>
          <w:szCs w:val="20"/>
        </w:rPr>
        <w:t>growth in Chinese</w:t>
      </w:r>
      <w:r>
        <w:rPr>
          <w:rFonts w:cstheme="minorHAnsi"/>
          <w:szCs w:val="20"/>
        </w:rPr>
        <w:t xml:space="preserve"> semiconductor consumption</w:t>
      </w:r>
      <w:r w:rsidR="00416BED">
        <w:rPr>
          <w:rFonts w:cstheme="minorHAnsi"/>
          <w:szCs w:val="20"/>
        </w:rPr>
        <w:t xml:space="preserve"> is</w:t>
      </w:r>
      <w:r w:rsidR="002A75DA">
        <w:rPr>
          <w:rFonts w:cstheme="minorHAnsi"/>
          <w:szCs w:val="20"/>
        </w:rPr>
        <w:t xml:space="preserve"> a </w:t>
      </w:r>
      <w:r w:rsidR="00416BED">
        <w:rPr>
          <w:rFonts w:cstheme="minorHAnsi"/>
          <w:szCs w:val="20"/>
        </w:rPr>
        <w:t xml:space="preserve">remarkable </w:t>
      </w:r>
      <w:r w:rsidR="002A75DA">
        <w:rPr>
          <w:rFonts w:cstheme="minorHAnsi"/>
          <w:szCs w:val="20"/>
        </w:rPr>
        <w:t>contrast to</w:t>
      </w:r>
      <w:r w:rsidR="00416BED">
        <w:rPr>
          <w:rFonts w:cstheme="minorHAnsi"/>
          <w:szCs w:val="20"/>
        </w:rPr>
        <w:t xml:space="preserve"> the global market </w:t>
      </w:r>
      <w:r w:rsidR="002A75DA">
        <w:rPr>
          <w:rFonts w:cstheme="minorHAnsi"/>
          <w:szCs w:val="20"/>
        </w:rPr>
        <w:t xml:space="preserve">for semiconductors, which </w:t>
      </w:r>
      <w:r w:rsidR="00416BED">
        <w:rPr>
          <w:rFonts w:cstheme="minorHAnsi"/>
          <w:szCs w:val="20"/>
        </w:rPr>
        <w:t xml:space="preserve">experienced </w:t>
      </w:r>
      <w:r w:rsidR="006141C9">
        <w:rPr>
          <w:rFonts w:cstheme="minorHAnsi"/>
          <w:szCs w:val="20"/>
        </w:rPr>
        <w:t>an overall decline of 3%</w:t>
      </w:r>
      <w:r w:rsidR="002A75DA">
        <w:rPr>
          <w:rFonts w:cstheme="minorHAnsi"/>
          <w:szCs w:val="20"/>
        </w:rPr>
        <w:t xml:space="preserve"> in 2012</w:t>
      </w:r>
      <w:r w:rsidR="006141C9">
        <w:rPr>
          <w:rFonts w:cstheme="minorHAnsi"/>
          <w:szCs w:val="20"/>
        </w:rPr>
        <w:t>.</w:t>
      </w:r>
    </w:p>
    <w:p w:rsidR="006511C8" w:rsidRDefault="006511C8" w:rsidP="001C0E2E">
      <w:pPr>
        <w:pStyle w:val="ListParagraph"/>
        <w:spacing w:line="240" w:lineRule="auto"/>
        <w:ind w:left="0"/>
        <w:rPr>
          <w:rFonts w:cstheme="minorHAnsi"/>
          <w:szCs w:val="20"/>
        </w:rPr>
      </w:pPr>
    </w:p>
    <w:p w:rsidR="00416BED" w:rsidRDefault="00416BED" w:rsidP="001C0E2E">
      <w:pPr>
        <w:pStyle w:val="ListParagraph"/>
        <w:spacing w:line="240" w:lineRule="auto"/>
        <w:ind w:left="0"/>
        <w:rPr>
          <w:rFonts w:cstheme="minorHAnsi"/>
          <w:szCs w:val="20"/>
        </w:rPr>
      </w:pPr>
      <w:r>
        <w:rPr>
          <w:rFonts w:cstheme="minorHAnsi"/>
          <w:szCs w:val="20"/>
        </w:rPr>
        <w:t xml:space="preserve">Growth in </w:t>
      </w:r>
      <w:r w:rsidR="00EC3EC7">
        <w:rPr>
          <w:rFonts w:cstheme="minorHAnsi"/>
          <w:szCs w:val="20"/>
        </w:rPr>
        <w:t xml:space="preserve">China’s semiconductor </w:t>
      </w:r>
      <w:r>
        <w:rPr>
          <w:rFonts w:cstheme="minorHAnsi"/>
          <w:szCs w:val="20"/>
        </w:rPr>
        <w:t xml:space="preserve">consumption </w:t>
      </w:r>
      <w:r w:rsidR="00EC3EC7">
        <w:rPr>
          <w:rFonts w:cstheme="minorHAnsi"/>
          <w:szCs w:val="20"/>
        </w:rPr>
        <w:t xml:space="preserve">was attributed to the continuing transfer of worldwide electronic equipment production and </w:t>
      </w:r>
      <w:r w:rsidR="002F5306">
        <w:rPr>
          <w:rFonts w:cstheme="minorHAnsi"/>
          <w:szCs w:val="20"/>
        </w:rPr>
        <w:t>the above-average semiconductor content of that electronic production.</w:t>
      </w:r>
      <w:r w:rsidR="00375469" w:rsidRPr="00F8769E">
        <w:rPr>
          <w:rFonts w:cstheme="minorHAnsi"/>
          <w:szCs w:val="20"/>
        </w:rPr>
        <w:t xml:space="preserve">  </w:t>
      </w:r>
      <w:r w:rsidR="00EC3EC7">
        <w:rPr>
          <w:rFonts w:cstheme="minorHAnsi"/>
          <w:szCs w:val="20"/>
        </w:rPr>
        <w:t>China’s share of worldwide electronic equipment production increased by 2 percentage points to 34.2% in 2012 and is expected to increase to more than 40% by 2017.</w:t>
      </w:r>
    </w:p>
    <w:p w:rsidR="004F7F61" w:rsidRDefault="004F7F61" w:rsidP="001C0E2E">
      <w:pPr>
        <w:pStyle w:val="ListParagraph"/>
        <w:spacing w:line="240" w:lineRule="auto"/>
        <w:ind w:left="0"/>
        <w:rPr>
          <w:rFonts w:cstheme="minorHAnsi"/>
          <w:szCs w:val="20"/>
        </w:rPr>
      </w:pPr>
    </w:p>
    <w:p w:rsidR="004F7F61" w:rsidRPr="00F8769E" w:rsidRDefault="004F7F61" w:rsidP="004F7F61">
      <w:pPr>
        <w:spacing w:line="240" w:lineRule="auto"/>
        <w:rPr>
          <w:rFonts w:cstheme="minorHAnsi"/>
          <w:szCs w:val="20"/>
        </w:rPr>
      </w:pPr>
      <w:r w:rsidRPr="00F8769E">
        <w:rPr>
          <w:rFonts w:cstheme="minorHAnsi"/>
          <w:szCs w:val="20"/>
        </w:rPr>
        <w:t>“China</w:t>
      </w:r>
      <w:r>
        <w:rPr>
          <w:rFonts w:cstheme="minorHAnsi"/>
          <w:szCs w:val="20"/>
        </w:rPr>
        <w:t xml:space="preserve"> strengthened its domination of semiconductor consumption, mostly due to the growing footprints of smart phones and tablets, both of which are produced primarily in the country</w:t>
      </w:r>
      <w:r w:rsidRPr="00F8769E">
        <w:rPr>
          <w:rFonts w:cstheme="minorHAnsi"/>
          <w:szCs w:val="20"/>
        </w:rPr>
        <w:t>,</w:t>
      </w:r>
      <w:r>
        <w:rPr>
          <w:rFonts w:cstheme="minorHAnsi"/>
          <w:szCs w:val="20"/>
        </w:rPr>
        <w:t>”</w:t>
      </w:r>
      <w:r w:rsidRPr="00F8769E">
        <w:rPr>
          <w:rFonts w:cstheme="minorHAnsi"/>
          <w:szCs w:val="20"/>
        </w:rPr>
        <w:t xml:space="preserve"> said Raman </w:t>
      </w:r>
      <w:r>
        <w:rPr>
          <w:rFonts w:eastAsia="SimSun" w:cs="Arial"/>
          <w:bCs/>
          <w:color w:val="000000"/>
          <w:szCs w:val="20"/>
          <w:lang w:eastAsia="zh-CN"/>
        </w:rPr>
        <w:t xml:space="preserve">Chitkara, </w:t>
      </w:r>
      <w:r w:rsidR="00CD601D">
        <w:rPr>
          <w:rFonts w:eastAsia="SimSun" w:cs="Arial"/>
          <w:bCs/>
          <w:color w:val="000000"/>
          <w:szCs w:val="20"/>
          <w:lang w:eastAsia="zh-CN"/>
        </w:rPr>
        <w:t xml:space="preserve">PwC’s </w:t>
      </w:r>
      <w:r>
        <w:rPr>
          <w:rFonts w:eastAsia="SimSun" w:cs="Arial"/>
          <w:bCs/>
          <w:color w:val="000000"/>
          <w:szCs w:val="20"/>
          <w:lang w:eastAsia="zh-CN"/>
        </w:rPr>
        <w:t>G</w:t>
      </w:r>
      <w:r w:rsidRPr="00F8769E">
        <w:rPr>
          <w:rFonts w:eastAsia="SimSun" w:cs="Arial"/>
          <w:bCs/>
          <w:color w:val="000000"/>
          <w:szCs w:val="20"/>
          <w:lang w:eastAsia="zh-CN"/>
        </w:rPr>
        <w:t>loba</w:t>
      </w:r>
      <w:r>
        <w:rPr>
          <w:rFonts w:eastAsia="SimSun" w:cs="Arial"/>
          <w:bCs/>
          <w:color w:val="000000"/>
          <w:szCs w:val="20"/>
          <w:lang w:eastAsia="zh-CN"/>
        </w:rPr>
        <w:t>l Technology and Semiconductor L</w:t>
      </w:r>
      <w:r w:rsidRPr="00F8769E">
        <w:rPr>
          <w:rFonts w:eastAsia="SimSun" w:cs="Arial"/>
          <w:bCs/>
          <w:color w:val="000000"/>
          <w:szCs w:val="20"/>
          <w:lang w:eastAsia="zh-CN"/>
        </w:rPr>
        <w:t>eader</w:t>
      </w:r>
      <w:r w:rsidR="00C32AE9">
        <w:rPr>
          <w:rFonts w:eastAsia="SimSun" w:cs="Arial"/>
          <w:bCs/>
          <w:color w:val="000000"/>
          <w:szCs w:val="20"/>
          <w:lang w:eastAsia="zh-CN"/>
        </w:rPr>
        <w:t>.</w:t>
      </w:r>
      <w:r>
        <w:rPr>
          <w:rFonts w:eastAsia="SimSun" w:cs="Arial"/>
          <w:bCs/>
          <w:color w:val="000000"/>
          <w:szCs w:val="20"/>
          <w:lang w:eastAsia="zh-CN"/>
        </w:rPr>
        <w:t xml:space="preserve"> </w:t>
      </w:r>
      <w:r>
        <w:rPr>
          <w:rFonts w:cstheme="minorHAnsi"/>
          <w:szCs w:val="20"/>
        </w:rPr>
        <w:t xml:space="preserve">“China is expected to continue its domination of semiconductor consumption </w:t>
      </w:r>
      <w:r w:rsidR="00A05A18">
        <w:rPr>
          <w:rFonts w:cstheme="minorHAnsi"/>
          <w:szCs w:val="20"/>
        </w:rPr>
        <w:t>for</w:t>
      </w:r>
      <w:r>
        <w:rPr>
          <w:rFonts w:cstheme="minorHAnsi"/>
          <w:szCs w:val="20"/>
        </w:rPr>
        <w:t xml:space="preserve"> the foreseeable future with its market share possibly reaching 60% by 2017</w:t>
      </w:r>
      <w:r w:rsidRPr="00F8769E">
        <w:rPr>
          <w:rFonts w:cstheme="minorHAnsi"/>
          <w:szCs w:val="20"/>
        </w:rPr>
        <w:t>.”</w:t>
      </w:r>
    </w:p>
    <w:p w:rsidR="002F5306" w:rsidRDefault="004F7F61" w:rsidP="001C0E2E">
      <w:pPr>
        <w:pStyle w:val="ListParagraph"/>
        <w:spacing w:line="240" w:lineRule="auto"/>
        <w:ind w:left="0"/>
        <w:rPr>
          <w:rFonts w:cstheme="minorHAnsi"/>
          <w:szCs w:val="20"/>
        </w:rPr>
      </w:pPr>
      <w:r>
        <w:rPr>
          <w:rFonts w:cstheme="minorHAnsi"/>
          <w:szCs w:val="20"/>
        </w:rPr>
        <w:t xml:space="preserve"> </w:t>
      </w:r>
    </w:p>
    <w:p w:rsidR="006511C8" w:rsidRDefault="00EC3EC7" w:rsidP="001C0E2E">
      <w:pPr>
        <w:pStyle w:val="ListParagraph"/>
        <w:spacing w:line="240" w:lineRule="auto"/>
        <w:ind w:left="0"/>
        <w:rPr>
          <w:rFonts w:cstheme="minorHAnsi"/>
          <w:szCs w:val="20"/>
        </w:rPr>
      </w:pPr>
      <w:r>
        <w:rPr>
          <w:rFonts w:cstheme="minorHAnsi"/>
          <w:szCs w:val="20"/>
        </w:rPr>
        <w:t xml:space="preserve"> </w:t>
      </w:r>
      <w:r w:rsidR="0002582B" w:rsidRPr="00F8769E">
        <w:rPr>
          <w:rFonts w:cstheme="minorHAnsi"/>
          <w:szCs w:val="20"/>
        </w:rPr>
        <w:t>Other key findings</w:t>
      </w:r>
      <w:r w:rsidR="00416BED">
        <w:rPr>
          <w:rFonts w:cstheme="minorHAnsi"/>
          <w:szCs w:val="20"/>
        </w:rPr>
        <w:t xml:space="preserve"> of the PwC report</w:t>
      </w:r>
      <w:r w:rsidR="0002582B" w:rsidRPr="00F8769E">
        <w:rPr>
          <w:rFonts w:cstheme="minorHAnsi"/>
          <w:szCs w:val="20"/>
        </w:rPr>
        <w:t xml:space="preserve"> include:</w:t>
      </w:r>
    </w:p>
    <w:p w:rsidR="00A05A18" w:rsidRDefault="00A05A18" w:rsidP="001C0E2E">
      <w:pPr>
        <w:pStyle w:val="ListParagraph"/>
        <w:spacing w:line="240" w:lineRule="auto"/>
        <w:ind w:left="0"/>
        <w:rPr>
          <w:rFonts w:cstheme="minorHAnsi"/>
          <w:szCs w:val="20"/>
        </w:rPr>
      </w:pPr>
    </w:p>
    <w:p w:rsidR="00647ED6" w:rsidRPr="00647ED6" w:rsidRDefault="00647ED6" w:rsidP="00647ED6">
      <w:pPr>
        <w:pStyle w:val="ListParagraph"/>
        <w:numPr>
          <w:ilvl w:val="0"/>
          <w:numId w:val="21"/>
        </w:numPr>
        <w:spacing w:line="240" w:lineRule="auto"/>
        <w:rPr>
          <w:rFonts w:cstheme="minorHAnsi"/>
          <w:szCs w:val="20"/>
        </w:rPr>
      </w:pPr>
      <w:r w:rsidRPr="00647ED6">
        <w:rPr>
          <w:rFonts w:cstheme="minorHAnsi"/>
          <w:b/>
          <w:szCs w:val="20"/>
          <w:u w:val="single"/>
        </w:rPr>
        <w:t>Industry growth:</w:t>
      </w:r>
      <w:r w:rsidRPr="00647ED6">
        <w:rPr>
          <w:rFonts w:cstheme="minorHAnsi"/>
          <w:szCs w:val="20"/>
        </w:rPr>
        <w:t xml:space="preserve"> China’s semiconductor industry grew by 9.6% to reach US$56.3 billion. </w:t>
      </w:r>
    </w:p>
    <w:p w:rsidR="00EC3EC7" w:rsidRDefault="00EC3EC7" w:rsidP="00EC3EC7">
      <w:pPr>
        <w:pStyle w:val="ListParagraph"/>
        <w:numPr>
          <w:ilvl w:val="0"/>
          <w:numId w:val="20"/>
        </w:numPr>
        <w:spacing w:line="240" w:lineRule="auto"/>
        <w:rPr>
          <w:rFonts w:cstheme="minorHAnsi"/>
          <w:szCs w:val="20"/>
        </w:rPr>
      </w:pPr>
      <w:r w:rsidRPr="00EC3EC7">
        <w:rPr>
          <w:rFonts w:cstheme="minorHAnsi"/>
          <w:b/>
          <w:szCs w:val="20"/>
          <w:u w:val="single"/>
        </w:rPr>
        <w:t xml:space="preserve">Integrated </w:t>
      </w:r>
      <w:r w:rsidR="0096537B">
        <w:rPr>
          <w:rFonts w:cstheme="minorHAnsi"/>
          <w:b/>
          <w:szCs w:val="20"/>
          <w:u w:val="single"/>
        </w:rPr>
        <w:t>c</w:t>
      </w:r>
      <w:r w:rsidRPr="00EC3EC7">
        <w:rPr>
          <w:rFonts w:cstheme="minorHAnsi"/>
          <w:b/>
          <w:szCs w:val="20"/>
          <w:u w:val="single"/>
        </w:rPr>
        <w:t xml:space="preserve">ircuit (IC) </w:t>
      </w:r>
      <w:r w:rsidR="002F2801">
        <w:rPr>
          <w:rFonts w:cstheme="minorHAnsi"/>
          <w:b/>
          <w:szCs w:val="20"/>
          <w:u w:val="single"/>
        </w:rPr>
        <w:t>industry</w:t>
      </w:r>
      <w:r w:rsidR="002F2801" w:rsidRPr="00EC3EC7">
        <w:rPr>
          <w:rFonts w:cstheme="minorHAnsi"/>
          <w:b/>
          <w:szCs w:val="20"/>
          <w:u w:val="single"/>
        </w:rPr>
        <w:t xml:space="preserve"> </w:t>
      </w:r>
      <w:r w:rsidRPr="00EC3EC7">
        <w:rPr>
          <w:rFonts w:cstheme="minorHAnsi"/>
          <w:b/>
          <w:szCs w:val="20"/>
          <w:u w:val="single"/>
        </w:rPr>
        <w:t>holds major influence</w:t>
      </w:r>
      <w:r>
        <w:rPr>
          <w:rFonts w:cstheme="minorHAnsi"/>
          <w:szCs w:val="20"/>
        </w:rPr>
        <w:t xml:space="preserve">: </w:t>
      </w:r>
      <w:r w:rsidR="00780E1B">
        <w:rPr>
          <w:rFonts w:cstheme="minorHAnsi"/>
          <w:szCs w:val="20"/>
        </w:rPr>
        <w:t xml:space="preserve">The Chinese </w:t>
      </w:r>
      <w:r>
        <w:rPr>
          <w:rFonts w:cstheme="minorHAnsi"/>
          <w:szCs w:val="20"/>
        </w:rPr>
        <w:t xml:space="preserve">IC </w:t>
      </w:r>
      <w:r w:rsidR="002F2801">
        <w:rPr>
          <w:rFonts w:cstheme="minorHAnsi"/>
          <w:szCs w:val="20"/>
        </w:rPr>
        <w:t xml:space="preserve">industry </w:t>
      </w:r>
      <w:r>
        <w:rPr>
          <w:rFonts w:cstheme="minorHAnsi"/>
          <w:szCs w:val="20"/>
        </w:rPr>
        <w:t xml:space="preserve">(including IC design, IC wafer manufacturing and IC packaging and testing) was the main </w:t>
      </w:r>
      <w:r w:rsidR="00A5070D">
        <w:rPr>
          <w:rFonts w:cstheme="minorHAnsi"/>
          <w:szCs w:val="20"/>
        </w:rPr>
        <w:t>driver behind</w:t>
      </w:r>
      <w:r>
        <w:rPr>
          <w:rFonts w:cstheme="minorHAnsi"/>
          <w:szCs w:val="20"/>
        </w:rPr>
        <w:t xml:space="preserve"> China’s semiconductor growth in 2012. All three of these sectors reported double</w:t>
      </w:r>
      <w:r w:rsidR="0096537B">
        <w:rPr>
          <w:rFonts w:cstheme="minorHAnsi"/>
          <w:szCs w:val="20"/>
        </w:rPr>
        <w:t>-</w:t>
      </w:r>
      <w:r>
        <w:rPr>
          <w:rFonts w:cstheme="minorHAnsi"/>
          <w:szCs w:val="20"/>
        </w:rPr>
        <w:t xml:space="preserve">digit growth in 2012. </w:t>
      </w:r>
    </w:p>
    <w:p w:rsidR="002F5306" w:rsidRPr="00D31F41" w:rsidRDefault="00D31F41" w:rsidP="00EC3EC7">
      <w:pPr>
        <w:pStyle w:val="ListParagraph"/>
        <w:numPr>
          <w:ilvl w:val="0"/>
          <w:numId w:val="20"/>
        </w:numPr>
        <w:spacing w:line="240" w:lineRule="auto"/>
        <w:rPr>
          <w:rFonts w:cstheme="minorHAnsi"/>
          <w:szCs w:val="20"/>
        </w:rPr>
      </w:pPr>
      <w:r>
        <w:rPr>
          <w:rFonts w:cstheme="minorHAnsi"/>
          <w:b/>
          <w:szCs w:val="20"/>
          <w:u w:val="single"/>
        </w:rPr>
        <w:t xml:space="preserve">Design fastest growing: </w:t>
      </w:r>
      <w:r w:rsidR="002F5306" w:rsidRPr="00013854">
        <w:rPr>
          <w:rFonts w:cstheme="minorHAnsi"/>
          <w:szCs w:val="20"/>
        </w:rPr>
        <w:t>China’s IC design continues to be the fastest growing segment of China’s semiconductor industry, growing by 21% in 2012.</w:t>
      </w:r>
    </w:p>
    <w:p w:rsidR="001D149F" w:rsidRDefault="001D149F" w:rsidP="00EC3EC7">
      <w:pPr>
        <w:pStyle w:val="ListParagraph"/>
        <w:numPr>
          <w:ilvl w:val="0"/>
          <w:numId w:val="20"/>
        </w:numPr>
        <w:spacing w:line="240" w:lineRule="auto"/>
        <w:rPr>
          <w:rFonts w:cstheme="minorHAnsi"/>
          <w:szCs w:val="20"/>
        </w:rPr>
      </w:pPr>
      <w:r>
        <w:rPr>
          <w:rFonts w:cstheme="minorHAnsi"/>
          <w:b/>
          <w:szCs w:val="20"/>
          <w:u w:val="single"/>
        </w:rPr>
        <w:t xml:space="preserve">Semiconductor packaging, assembly and test (SPA&amp;T) capacity grew in China, </w:t>
      </w:r>
      <w:r w:rsidR="00890B96">
        <w:rPr>
          <w:rFonts w:cstheme="minorHAnsi"/>
          <w:b/>
          <w:szCs w:val="20"/>
          <w:u w:val="single"/>
        </w:rPr>
        <w:t xml:space="preserve">while it </w:t>
      </w:r>
      <w:r>
        <w:rPr>
          <w:rFonts w:cstheme="minorHAnsi"/>
          <w:b/>
          <w:szCs w:val="20"/>
          <w:u w:val="single"/>
        </w:rPr>
        <w:t>shrunk elsewhere</w:t>
      </w:r>
      <w:r w:rsidRPr="001D149F">
        <w:rPr>
          <w:rFonts w:cstheme="minorHAnsi"/>
          <w:szCs w:val="20"/>
        </w:rPr>
        <w:t>:</w:t>
      </w:r>
      <w:r>
        <w:rPr>
          <w:rFonts w:cstheme="minorHAnsi"/>
          <w:szCs w:val="20"/>
        </w:rPr>
        <w:t xml:space="preserve"> In 2012, China had a 5% increase in net manufacturing floor space</w:t>
      </w:r>
      <w:r w:rsidR="00CD36D3">
        <w:rPr>
          <w:rFonts w:cstheme="minorHAnsi"/>
          <w:szCs w:val="20"/>
        </w:rPr>
        <w:t>—</w:t>
      </w:r>
      <w:r>
        <w:rPr>
          <w:rFonts w:cstheme="minorHAnsi"/>
          <w:szCs w:val="20"/>
        </w:rPr>
        <w:t>a proxy for potential manufacturing capacity</w:t>
      </w:r>
      <w:r w:rsidR="00CD36D3">
        <w:rPr>
          <w:rFonts w:cstheme="minorHAnsi"/>
          <w:szCs w:val="20"/>
        </w:rPr>
        <w:t>—</w:t>
      </w:r>
      <w:r>
        <w:rPr>
          <w:rFonts w:cstheme="minorHAnsi"/>
          <w:szCs w:val="20"/>
        </w:rPr>
        <w:t xml:space="preserve">while the rest of the world’s manufacturing floor space fell by 8.9% during the same time period. </w:t>
      </w:r>
    </w:p>
    <w:p w:rsidR="00013854" w:rsidRDefault="00013854" w:rsidP="00013854">
      <w:pPr>
        <w:pStyle w:val="ListParagraph"/>
        <w:spacing w:line="240" w:lineRule="auto"/>
        <w:rPr>
          <w:rFonts w:cstheme="minorHAnsi"/>
          <w:szCs w:val="20"/>
        </w:rPr>
      </w:pPr>
    </w:p>
    <w:p w:rsidR="005217CB" w:rsidRDefault="005217CB">
      <w:pPr>
        <w:spacing w:line="240" w:lineRule="auto"/>
        <w:rPr>
          <w:rFonts w:cs="Arial"/>
          <w:b/>
          <w:szCs w:val="20"/>
        </w:rPr>
      </w:pPr>
      <w:r>
        <w:rPr>
          <w:rFonts w:cs="Arial"/>
          <w:b/>
          <w:szCs w:val="20"/>
        </w:rPr>
        <w:br w:type="page"/>
      </w:r>
    </w:p>
    <w:p w:rsidR="00DF630E" w:rsidRDefault="001D149F" w:rsidP="00DF630E">
      <w:pPr>
        <w:pStyle w:val="BodyText"/>
        <w:spacing w:after="0" w:line="240" w:lineRule="auto"/>
        <w:rPr>
          <w:rFonts w:cs="Arial"/>
          <w:b/>
          <w:szCs w:val="20"/>
        </w:rPr>
      </w:pPr>
      <w:bookmarkStart w:id="0" w:name="_GoBack"/>
      <w:bookmarkEnd w:id="0"/>
      <w:r>
        <w:rPr>
          <w:rFonts w:cs="Arial"/>
          <w:b/>
          <w:szCs w:val="20"/>
        </w:rPr>
        <w:lastRenderedPageBreak/>
        <w:t xml:space="preserve">Future </w:t>
      </w:r>
      <w:r w:rsidR="00A5070D">
        <w:rPr>
          <w:rFonts w:cs="Arial"/>
          <w:b/>
          <w:szCs w:val="20"/>
        </w:rPr>
        <w:t>market opportunities</w:t>
      </w:r>
    </w:p>
    <w:p w:rsidR="002E65D8" w:rsidRDefault="002E65D8" w:rsidP="000A22B7">
      <w:pPr>
        <w:pStyle w:val="ListParagraph"/>
        <w:spacing w:line="240" w:lineRule="auto"/>
        <w:ind w:left="0"/>
        <w:rPr>
          <w:szCs w:val="20"/>
        </w:rPr>
      </w:pPr>
      <w:r>
        <w:rPr>
          <w:szCs w:val="20"/>
        </w:rPr>
        <w:t xml:space="preserve">China’s semiconductor </w:t>
      </w:r>
      <w:r w:rsidR="003A2719">
        <w:rPr>
          <w:szCs w:val="20"/>
        </w:rPr>
        <w:t xml:space="preserve">consumption continues to outpace its semiconductor production with the resulting gap growing by </w:t>
      </w:r>
      <w:r w:rsidR="00CD36D3">
        <w:rPr>
          <w:szCs w:val="20"/>
        </w:rPr>
        <w:t>US</w:t>
      </w:r>
      <w:r w:rsidR="003A2719">
        <w:rPr>
          <w:szCs w:val="20"/>
        </w:rPr>
        <w:t>$6.7 billion</w:t>
      </w:r>
      <w:r w:rsidR="00D74751">
        <w:rPr>
          <w:szCs w:val="20"/>
        </w:rPr>
        <w:t xml:space="preserve"> to reach </w:t>
      </w:r>
      <w:r w:rsidR="00CD36D3">
        <w:rPr>
          <w:szCs w:val="20"/>
        </w:rPr>
        <w:t>US</w:t>
      </w:r>
      <w:r w:rsidR="00D74751">
        <w:rPr>
          <w:szCs w:val="20"/>
        </w:rPr>
        <w:t>$101</w:t>
      </w:r>
      <w:r w:rsidR="00630DD7">
        <w:rPr>
          <w:szCs w:val="20"/>
        </w:rPr>
        <w:t>.6</w:t>
      </w:r>
      <w:r w:rsidR="003A2719">
        <w:rPr>
          <w:szCs w:val="20"/>
        </w:rPr>
        <w:t xml:space="preserve"> billion in 2012.  </w:t>
      </w:r>
    </w:p>
    <w:p w:rsidR="002E65D8" w:rsidRDefault="002E65D8" w:rsidP="000A22B7">
      <w:pPr>
        <w:pStyle w:val="ListParagraph"/>
        <w:spacing w:line="240" w:lineRule="auto"/>
        <w:ind w:left="0"/>
        <w:rPr>
          <w:szCs w:val="20"/>
        </w:rPr>
      </w:pPr>
    </w:p>
    <w:p w:rsidR="00F8769E" w:rsidRPr="00647ED6" w:rsidRDefault="00982C91" w:rsidP="000A22B7">
      <w:pPr>
        <w:pStyle w:val="ListParagraph"/>
        <w:spacing w:line="240" w:lineRule="auto"/>
        <w:ind w:left="0"/>
        <w:rPr>
          <w:szCs w:val="20"/>
        </w:rPr>
      </w:pPr>
      <w:r w:rsidRPr="00647ED6">
        <w:rPr>
          <w:szCs w:val="20"/>
        </w:rPr>
        <w:t>This imbalance offer</w:t>
      </w:r>
      <w:r w:rsidR="003A2719" w:rsidRPr="00647ED6">
        <w:rPr>
          <w:szCs w:val="20"/>
        </w:rPr>
        <w:t>s</w:t>
      </w:r>
      <w:r w:rsidR="002E65D8" w:rsidRPr="00647ED6">
        <w:rPr>
          <w:szCs w:val="20"/>
        </w:rPr>
        <w:t xml:space="preserve"> a huge</w:t>
      </w:r>
      <w:r w:rsidR="00A05A18">
        <w:rPr>
          <w:szCs w:val="20"/>
        </w:rPr>
        <w:t>,</w:t>
      </w:r>
      <w:r w:rsidR="002E65D8" w:rsidRPr="00647ED6">
        <w:rPr>
          <w:szCs w:val="20"/>
        </w:rPr>
        <w:t xml:space="preserve"> </w:t>
      </w:r>
      <w:r w:rsidR="006141C9" w:rsidRPr="00647ED6">
        <w:rPr>
          <w:szCs w:val="20"/>
        </w:rPr>
        <w:t xml:space="preserve">unfilled market opportunity. It is </w:t>
      </w:r>
      <w:r w:rsidR="00D941F5" w:rsidRPr="00647ED6">
        <w:rPr>
          <w:szCs w:val="20"/>
        </w:rPr>
        <w:t>unclear</w:t>
      </w:r>
      <w:r w:rsidRPr="00647ED6">
        <w:rPr>
          <w:szCs w:val="20"/>
        </w:rPr>
        <w:t xml:space="preserve">, </w:t>
      </w:r>
      <w:r w:rsidR="002E65D8" w:rsidRPr="00647ED6">
        <w:rPr>
          <w:szCs w:val="20"/>
        </w:rPr>
        <w:t xml:space="preserve">however, if </w:t>
      </w:r>
      <w:r w:rsidR="003A2719" w:rsidRPr="00647ED6">
        <w:rPr>
          <w:szCs w:val="20"/>
        </w:rPr>
        <w:t xml:space="preserve">this gap will be filled as a result of expansion of Chinese manufacturing operations by </w:t>
      </w:r>
      <w:r w:rsidR="002E65D8" w:rsidRPr="00647ED6">
        <w:rPr>
          <w:szCs w:val="20"/>
        </w:rPr>
        <w:t xml:space="preserve">multinational semiconductor companies or </w:t>
      </w:r>
      <w:r w:rsidR="00175715" w:rsidRPr="00647ED6">
        <w:rPr>
          <w:szCs w:val="20"/>
        </w:rPr>
        <w:t xml:space="preserve">whether </w:t>
      </w:r>
      <w:r w:rsidR="002E65D8" w:rsidRPr="00647ED6">
        <w:rPr>
          <w:szCs w:val="20"/>
        </w:rPr>
        <w:t xml:space="preserve">Chinese </w:t>
      </w:r>
      <w:r w:rsidR="006141C9" w:rsidRPr="00647ED6">
        <w:rPr>
          <w:szCs w:val="20"/>
        </w:rPr>
        <w:t>companies will rise to meet this</w:t>
      </w:r>
      <w:r w:rsidR="002E65D8" w:rsidRPr="00647ED6">
        <w:rPr>
          <w:szCs w:val="20"/>
        </w:rPr>
        <w:t xml:space="preserve"> challenge. </w:t>
      </w:r>
    </w:p>
    <w:p w:rsidR="00890B96" w:rsidRPr="00647ED6" w:rsidRDefault="00890B96" w:rsidP="000A22B7">
      <w:pPr>
        <w:pStyle w:val="ListParagraph"/>
        <w:spacing w:line="240" w:lineRule="auto"/>
        <w:ind w:left="0"/>
        <w:rPr>
          <w:szCs w:val="20"/>
        </w:rPr>
      </w:pPr>
    </w:p>
    <w:p w:rsidR="001D149F" w:rsidRPr="00647ED6" w:rsidRDefault="00647ED6" w:rsidP="000A22B7">
      <w:pPr>
        <w:pStyle w:val="ListParagraph"/>
        <w:spacing w:line="240" w:lineRule="auto"/>
        <w:ind w:left="0"/>
        <w:rPr>
          <w:szCs w:val="20"/>
        </w:rPr>
      </w:pPr>
      <w:r w:rsidRPr="00647ED6">
        <w:rPr>
          <w:rFonts w:cs="Helv"/>
          <w:color w:val="000000"/>
          <w:szCs w:val="20"/>
          <w:lang w:val="en-US" w:eastAsia="de-CH"/>
        </w:rPr>
        <w:t>"Since the year 2000, China has continually strengthened its IC design capabilities</w:t>
      </w:r>
      <w:r>
        <w:rPr>
          <w:rFonts w:cs="Helv"/>
          <w:color w:val="000000"/>
          <w:szCs w:val="20"/>
          <w:lang w:val="en-US" w:eastAsia="de-CH"/>
        </w:rPr>
        <w:t>, which has resulted</w:t>
      </w:r>
      <w:r w:rsidRPr="00647ED6">
        <w:rPr>
          <w:rFonts w:cs="Helv"/>
          <w:color w:val="000000"/>
          <w:szCs w:val="20"/>
          <w:lang w:val="en-US" w:eastAsia="de-CH"/>
        </w:rPr>
        <w:t xml:space="preserve"> in it being the only segment in the country's semiconductor industry that achieves positive year-on-year revenue growth every year</w:t>
      </w:r>
      <w:r>
        <w:rPr>
          <w:rFonts w:cs="Helv"/>
          <w:color w:val="000000"/>
          <w:szCs w:val="20"/>
          <w:lang w:val="en-US" w:eastAsia="de-CH"/>
        </w:rPr>
        <w:t>. We expect this</w:t>
      </w:r>
      <w:r w:rsidRPr="00647ED6">
        <w:rPr>
          <w:rFonts w:cs="Helv"/>
          <w:color w:val="000000"/>
          <w:szCs w:val="20"/>
          <w:lang w:val="en-US" w:eastAsia="de-CH"/>
        </w:rPr>
        <w:t xml:space="preserve"> </w:t>
      </w:r>
      <w:r w:rsidR="006F0475">
        <w:rPr>
          <w:rFonts w:cs="Helv"/>
          <w:color w:val="000000"/>
          <w:szCs w:val="20"/>
          <w:lang w:val="en-US" w:eastAsia="de-CH"/>
        </w:rPr>
        <w:t xml:space="preserve">to </w:t>
      </w:r>
      <w:r w:rsidRPr="00647ED6">
        <w:rPr>
          <w:rFonts w:cs="Helv"/>
          <w:color w:val="000000"/>
          <w:szCs w:val="20"/>
          <w:lang w:val="en-US" w:eastAsia="de-CH"/>
        </w:rPr>
        <w:t>continue</w:t>
      </w:r>
      <w:r w:rsidR="006F0475">
        <w:rPr>
          <w:rFonts w:cs="Helv"/>
          <w:color w:val="000000"/>
          <w:szCs w:val="20"/>
          <w:lang w:val="en-US" w:eastAsia="de-CH"/>
        </w:rPr>
        <w:t>,</w:t>
      </w:r>
      <w:r w:rsidR="0056734B">
        <w:rPr>
          <w:rFonts w:cs="Helv"/>
          <w:color w:val="000000"/>
          <w:szCs w:val="20"/>
          <w:lang w:val="en-US" w:eastAsia="de-CH"/>
        </w:rPr>
        <w:t>”</w:t>
      </w:r>
      <w:r w:rsidRPr="00647ED6">
        <w:rPr>
          <w:rFonts w:cs="Helv"/>
          <w:color w:val="000000"/>
          <w:szCs w:val="20"/>
          <w:lang w:val="en-US" w:eastAsia="de-CH"/>
        </w:rPr>
        <w:t xml:space="preserve"> </w:t>
      </w:r>
      <w:r w:rsidR="006F0475">
        <w:rPr>
          <w:rFonts w:cs="Helv"/>
          <w:color w:val="000000"/>
          <w:szCs w:val="20"/>
          <w:lang w:val="en-US" w:eastAsia="de-CH"/>
        </w:rPr>
        <w:t>said</w:t>
      </w:r>
      <w:r w:rsidR="0056734B">
        <w:rPr>
          <w:rFonts w:cs="Helv"/>
          <w:color w:val="000000"/>
          <w:szCs w:val="20"/>
          <w:lang w:val="en-US" w:eastAsia="de-CH"/>
        </w:rPr>
        <w:t xml:space="preserve"> Jianbin </w:t>
      </w:r>
      <w:proofErr w:type="gramStart"/>
      <w:r w:rsidR="0056734B">
        <w:rPr>
          <w:rFonts w:cs="Helv"/>
          <w:color w:val="000000"/>
          <w:szCs w:val="20"/>
          <w:lang w:val="en-US" w:eastAsia="de-CH"/>
        </w:rPr>
        <w:t>Gao</w:t>
      </w:r>
      <w:proofErr w:type="gramEnd"/>
      <w:r w:rsidR="0056734B">
        <w:rPr>
          <w:rFonts w:cs="Helv"/>
          <w:color w:val="000000"/>
          <w:szCs w:val="20"/>
          <w:lang w:val="en-US" w:eastAsia="de-CH"/>
        </w:rPr>
        <w:t xml:space="preserve">, </w:t>
      </w:r>
      <w:r w:rsidR="00CD601D">
        <w:rPr>
          <w:rFonts w:cs="Helv"/>
          <w:color w:val="000000"/>
          <w:szCs w:val="20"/>
          <w:lang w:val="en-US" w:eastAsia="de-CH"/>
        </w:rPr>
        <w:t xml:space="preserve">PwC </w:t>
      </w:r>
      <w:r w:rsidR="0056734B">
        <w:rPr>
          <w:rFonts w:cs="Helv"/>
          <w:color w:val="000000"/>
          <w:szCs w:val="20"/>
          <w:lang w:val="en-US" w:eastAsia="de-CH"/>
        </w:rPr>
        <w:t>China</w:t>
      </w:r>
      <w:r w:rsidR="00C42960">
        <w:rPr>
          <w:rFonts w:cs="Helv"/>
          <w:color w:val="000000"/>
          <w:szCs w:val="20"/>
          <w:lang w:val="en-US" w:eastAsia="de-CH"/>
        </w:rPr>
        <w:t>’s</w:t>
      </w:r>
      <w:r w:rsidR="0056734B">
        <w:rPr>
          <w:rFonts w:cs="Helv"/>
          <w:color w:val="000000"/>
          <w:szCs w:val="20"/>
          <w:lang w:val="en-US" w:eastAsia="de-CH"/>
        </w:rPr>
        <w:t xml:space="preserve"> Technology Leader</w:t>
      </w:r>
      <w:r w:rsidR="00C32AE9">
        <w:rPr>
          <w:rFonts w:cs="Helv"/>
          <w:color w:val="000000"/>
          <w:szCs w:val="20"/>
          <w:lang w:val="en-US" w:eastAsia="de-CH"/>
        </w:rPr>
        <w:t>.</w:t>
      </w:r>
      <w:r w:rsidR="0056734B">
        <w:rPr>
          <w:rFonts w:cs="Helv"/>
          <w:color w:val="000000"/>
          <w:szCs w:val="20"/>
          <w:lang w:val="en-US" w:eastAsia="de-CH"/>
        </w:rPr>
        <w:t xml:space="preserve"> “</w:t>
      </w:r>
      <w:r w:rsidRPr="00647ED6">
        <w:rPr>
          <w:rFonts w:cs="Helv"/>
          <w:color w:val="000000"/>
          <w:szCs w:val="20"/>
          <w:lang w:val="en-US" w:eastAsia="de-CH"/>
        </w:rPr>
        <w:t xml:space="preserve">With these solid foundations we anticipate key Chinese players, supported by ambitious government incentive plans and venture capital investment, </w:t>
      </w:r>
      <w:r>
        <w:rPr>
          <w:rFonts w:cs="Helv"/>
          <w:color w:val="000000"/>
          <w:szCs w:val="20"/>
          <w:lang w:val="en-US" w:eastAsia="de-CH"/>
        </w:rPr>
        <w:t xml:space="preserve">to </w:t>
      </w:r>
      <w:r w:rsidRPr="00647ED6">
        <w:rPr>
          <w:rFonts w:cs="Helv"/>
          <w:color w:val="000000"/>
          <w:szCs w:val="20"/>
          <w:lang w:val="en-US" w:eastAsia="de-CH"/>
        </w:rPr>
        <w:t xml:space="preserve">emerge </w:t>
      </w:r>
      <w:r w:rsidR="00A05A18">
        <w:rPr>
          <w:rFonts w:cs="Helv"/>
          <w:color w:val="000000"/>
          <w:szCs w:val="20"/>
          <w:lang w:val="en-US" w:eastAsia="de-CH"/>
        </w:rPr>
        <w:t>and</w:t>
      </w:r>
      <w:r w:rsidRPr="00647ED6">
        <w:rPr>
          <w:rFonts w:cs="Helv"/>
          <w:color w:val="000000"/>
          <w:szCs w:val="20"/>
          <w:lang w:val="en-US" w:eastAsia="de-CH"/>
        </w:rPr>
        <w:t xml:space="preserve"> capitalise on untapped market potential."</w:t>
      </w:r>
    </w:p>
    <w:p w:rsidR="009B127D" w:rsidRPr="00B66346" w:rsidRDefault="009B127D" w:rsidP="000A22B7">
      <w:pPr>
        <w:pStyle w:val="ListParagraph"/>
        <w:spacing w:line="240" w:lineRule="auto"/>
        <w:ind w:left="0"/>
        <w:rPr>
          <w:szCs w:val="20"/>
        </w:rPr>
      </w:pPr>
    </w:p>
    <w:p w:rsidR="002A2656" w:rsidRPr="00B66346" w:rsidRDefault="00F157C3" w:rsidP="000A22B7">
      <w:pPr>
        <w:pStyle w:val="ListParagraph"/>
        <w:spacing w:line="240" w:lineRule="auto"/>
        <w:ind w:left="0"/>
        <w:rPr>
          <w:b/>
          <w:szCs w:val="20"/>
        </w:rPr>
      </w:pPr>
      <w:r w:rsidRPr="00B66346">
        <w:rPr>
          <w:b/>
          <w:szCs w:val="20"/>
        </w:rPr>
        <w:t>Notes to editors:</w:t>
      </w:r>
    </w:p>
    <w:p w:rsidR="009B127D" w:rsidRDefault="009B127D" w:rsidP="009B127D">
      <w:pPr>
        <w:pStyle w:val="ListParagraph"/>
        <w:spacing w:line="240" w:lineRule="auto"/>
        <w:ind w:left="0"/>
        <w:rPr>
          <w:szCs w:val="20"/>
        </w:rPr>
      </w:pPr>
      <w:r>
        <w:rPr>
          <w:szCs w:val="20"/>
        </w:rPr>
        <w:t xml:space="preserve">PwC’s 2013 Update on China’s Impact on the Semiconductor </w:t>
      </w:r>
      <w:r w:rsidRPr="00647ED6">
        <w:rPr>
          <w:szCs w:val="20"/>
        </w:rPr>
        <w:t>Industry</w:t>
      </w:r>
      <w:r w:rsidR="00647ED6" w:rsidRPr="00647ED6">
        <w:rPr>
          <w:szCs w:val="20"/>
        </w:rPr>
        <w:t xml:space="preserve"> (</w:t>
      </w:r>
      <w:r w:rsidR="00647ED6" w:rsidRPr="00647ED6">
        <w:rPr>
          <w:rFonts w:cs="Helv"/>
          <w:color w:val="000000"/>
          <w:szCs w:val="20"/>
          <w:lang w:val="en-US" w:eastAsia="de-CH"/>
        </w:rPr>
        <w:t>www.pwc.com/chinasemicon)</w:t>
      </w:r>
      <w:r>
        <w:rPr>
          <w:szCs w:val="20"/>
        </w:rPr>
        <w:t xml:space="preserve"> also elaborates on the growth of the IC design segment, </w:t>
      </w:r>
      <w:r w:rsidR="00CD36D3">
        <w:rPr>
          <w:szCs w:val="20"/>
        </w:rPr>
        <w:t xml:space="preserve">provides </w:t>
      </w:r>
      <w:r>
        <w:rPr>
          <w:szCs w:val="20"/>
        </w:rPr>
        <w:t xml:space="preserve">data about Chinese top semiconductor companies, perspective on semiconductor activity in Greater China, updates on semiconductor patents and IPOs </w:t>
      </w:r>
      <w:r w:rsidR="00CD36D3">
        <w:rPr>
          <w:szCs w:val="20"/>
        </w:rPr>
        <w:t xml:space="preserve">in </w:t>
      </w:r>
      <w:r>
        <w:rPr>
          <w:szCs w:val="20"/>
        </w:rPr>
        <w:t>the semiconductor industry among</w:t>
      </w:r>
      <w:r w:rsidR="0096537B">
        <w:rPr>
          <w:szCs w:val="20"/>
        </w:rPr>
        <w:t>st</w:t>
      </w:r>
      <w:r>
        <w:rPr>
          <w:szCs w:val="20"/>
        </w:rPr>
        <w:t xml:space="preserve"> other topics. </w:t>
      </w:r>
    </w:p>
    <w:p w:rsidR="009B127D" w:rsidRDefault="009B127D" w:rsidP="009B127D">
      <w:pPr>
        <w:pStyle w:val="ListParagraph"/>
        <w:spacing w:line="240" w:lineRule="auto"/>
        <w:ind w:left="0"/>
        <w:rPr>
          <w:szCs w:val="20"/>
        </w:rPr>
      </w:pPr>
    </w:p>
    <w:p w:rsidR="00F157C3" w:rsidRPr="00B66346" w:rsidRDefault="003A2719" w:rsidP="00F157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szCs w:val="20"/>
          <w:lang w:val="en-US" w:eastAsia="en-GB"/>
        </w:rPr>
      </w:pPr>
      <w:r>
        <w:rPr>
          <w:rFonts w:eastAsia="Arial Unicode MS" w:cs="Helv"/>
          <w:szCs w:val="20"/>
          <w:lang w:val="en-US" w:eastAsia="en-GB"/>
        </w:rPr>
        <w:t xml:space="preserve">For </w:t>
      </w:r>
      <w:r w:rsidR="006B05F7">
        <w:rPr>
          <w:rFonts w:eastAsia="Arial Unicode MS" w:cs="Helv"/>
          <w:szCs w:val="20"/>
          <w:lang w:val="en-US" w:eastAsia="en-GB"/>
        </w:rPr>
        <w:t xml:space="preserve">copies of the report or to schedule </w:t>
      </w:r>
      <w:r w:rsidR="00F157C3" w:rsidRPr="00B66346">
        <w:rPr>
          <w:rFonts w:eastAsia="Arial Unicode MS" w:cs="Helv"/>
          <w:szCs w:val="20"/>
          <w:lang w:val="en-US" w:eastAsia="en-GB"/>
        </w:rPr>
        <w:t>interviews</w:t>
      </w:r>
      <w:r w:rsidR="006141C9">
        <w:rPr>
          <w:rFonts w:eastAsia="Arial Unicode MS" w:cs="Helv"/>
          <w:szCs w:val="20"/>
          <w:lang w:val="en-US" w:eastAsia="en-GB"/>
        </w:rPr>
        <w:t>,</w:t>
      </w:r>
      <w:r>
        <w:rPr>
          <w:rFonts w:eastAsia="Arial Unicode MS" w:cs="Helv"/>
          <w:szCs w:val="20"/>
          <w:lang w:val="en-US" w:eastAsia="en-GB"/>
        </w:rPr>
        <w:t xml:space="preserve"> please contact</w:t>
      </w:r>
      <w:r w:rsidR="00F157C3" w:rsidRPr="00B66346">
        <w:rPr>
          <w:rFonts w:eastAsia="Arial Unicode MS" w:cs="Helv"/>
          <w:szCs w:val="20"/>
          <w:lang w:val="en-US" w:eastAsia="en-GB"/>
        </w:rPr>
        <w:t xml:space="preserve"> Alayna Francis at Alayna.Francis@us.pwc.com</w:t>
      </w:r>
      <w:r w:rsidR="008023B8" w:rsidRPr="00B66346">
        <w:rPr>
          <w:rFonts w:eastAsia="Arial Unicode MS" w:cs="Helv"/>
          <w:szCs w:val="20"/>
          <w:lang w:val="en-US" w:eastAsia="en-GB"/>
        </w:rPr>
        <w:t>.</w:t>
      </w:r>
    </w:p>
    <w:p w:rsidR="00F157C3" w:rsidRPr="00B66346" w:rsidRDefault="00F157C3" w:rsidP="000A22B7">
      <w:pPr>
        <w:pStyle w:val="ListParagraph"/>
        <w:spacing w:line="240" w:lineRule="auto"/>
        <w:ind w:left="0"/>
        <w:rPr>
          <w:b/>
          <w:szCs w:val="20"/>
        </w:rPr>
      </w:pPr>
    </w:p>
    <w:p w:rsidR="002A2656" w:rsidRPr="00F8769E" w:rsidRDefault="002A2656" w:rsidP="002A265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F8769E">
        <w:rPr>
          <w:rFonts w:cs="Helv"/>
          <w:bCs/>
          <w:color w:val="000000"/>
          <w:szCs w:val="20"/>
          <w:lang w:val="en-US"/>
        </w:rPr>
        <w:t xml:space="preserve">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2A2656" w:rsidRPr="00F8769E" w:rsidRDefault="002A2656" w:rsidP="002A265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p>
    <w:p w:rsidR="002A2656" w:rsidRPr="00F8769E" w:rsidRDefault="002A2656" w:rsidP="002A265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F8769E">
        <w:rPr>
          <w:rFonts w:cs="Helv"/>
          <w:bCs/>
          <w:color w:val="000000"/>
          <w:szCs w:val="20"/>
          <w:lang w:val="en-US"/>
        </w:rPr>
        <w:t>PwC refers to the PwC network and/or one or more of its member firms, each of which is a separate legal entity. Please see www.pwc.com/structure for further details.</w:t>
      </w:r>
    </w:p>
    <w:p w:rsidR="00D81336" w:rsidRDefault="00D81336">
      <w:pPr>
        <w:rPr>
          <w:rFonts w:cs="Arial"/>
          <w:bCs/>
          <w:szCs w:val="24"/>
        </w:rPr>
      </w:pPr>
    </w:p>
    <w:sectPr w:rsidR="00D81336" w:rsidSect="00D81336">
      <w:headerReference w:type="even" r:id="rId9"/>
      <w:headerReference w:type="default" r:id="rId10"/>
      <w:footerReference w:type="even" r:id="rId11"/>
      <w:footerReference w:type="default" r:id="rId12"/>
      <w:headerReference w:type="first" r:id="rId13"/>
      <w:pgSz w:w="11907" w:h="16839"/>
      <w:pgMar w:top="3137" w:right="850" w:bottom="1417"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37D" w:rsidRDefault="0098437D">
      <w:pPr>
        <w:spacing w:line="240" w:lineRule="auto"/>
      </w:pPr>
      <w:r>
        <w:separator/>
      </w:r>
    </w:p>
  </w:endnote>
  <w:endnote w:type="continuationSeparator" w:id="0">
    <w:p w:rsidR="0098437D" w:rsidRDefault="00984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ITCCharterCom-Italic">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327C12">
    <w:pPr>
      <w:pStyle w:val="Footer"/>
    </w:pPr>
    <w:r>
      <w:fldChar w:fldCharType="begin"/>
    </w:r>
    <w:r w:rsidR="00B612C3">
      <w:instrText xml:space="preserve"> PAGE  \* MERGEFORMAT </w:instrText>
    </w:r>
    <w:r>
      <w:fldChar w:fldCharType="separate"/>
    </w:r>
    <w:r w:rsidR="005217CB">
      <w:rPr>
        <w:noProof/>
      </w:rPr>
      <w:t>2</w:t>
    </w:r>
    <w:r>
      <w:rPr>
        <w:noProof/>
      </w:rPr>
      <w:fldChar w:fldCharType="end"/>
    </w:r>
    <w:r w:rsidR="00A77FF6">
      <w:t xml:space="preserve"> of </w:t>
    </w:r>
    <w:fldSimple w:instr=" NUMPAGES  \* MERGEFORMAT ">
      <w:r w:rsidR="005217CB">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327C12">
    <w:pPr>
      <w:pStyle w:val="Footer"/>
    </w:pPr>
    <w:r>
      <w:fldChar w:fldCharType="begin"/>
    </w:r>
    <w:r w:rsidR="00B612C3">
      <w:instrText xml:space="preserve"> PAGE  \* MERGEFORMAT </w:instrText>
    </w:r>
    <w:r>
      <w:fldChar w:fldCharType="separate"/>
    </w:r>
    <w:r w:rsidR="00872C8C">
      <w:rPr>
        <w:noProof/>
      </w:rPr>
      <w:t>3</w:t>
    </w:r>
    <w:r>
      <w:rPr>
        <w:noProof/>
      </w:rPr>
      <w:fldChar w:fldCharType="end"/>
    </w:r>
    <w:r w:rsidR="00A77FF6">
      <w:t xml:space="preserve"> of </w:t>
    </w:r>
    <w:fldSimple w:instr=" NUMPAGES  \* MERGEFORMAT ">
      <w:r w:rsidR="00267A0B">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37D" w:rsidRDefault="0098437D">
      <w:pPr>
        <w:spacing w:line="240" w:lineRule="auto"/>
      </w:pPr>
      <w:r>
        <w:separator/>
      </w:r>
    </w:p>
  </w:footnote>
  <w:footnote w:type="continuationSeparator" w:id="0">
    <w:p w:rsidR="0098437D" w:rsidRDefault="009843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nsid w:val="39BE7851"/>
    <w:multiLevelType w:val="hybridMultilevel"/>
    <w:tmpl w:val="757C73CC"/>
    <w:lvl w:ilvl="0" w:tplc="D7D0D394">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14905"/>
    <w:multiLevelType w:val="hybridMultilevel"/>
    <w:tmpl w:val="1ACE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B2F3D"/>
    <w:multiLevelType w:val="hybridMultilevel"/>
    <w:tmpl w:val="9AC0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7F6205"/>
    <w:multiLevelType w:val="hybridMultilevel"/>
    <w:tmpl w:val="7F98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7">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7AC11BE7"/>
    <w:multiLevelType w:val="hybridMultilevel"/>
    <w:tmpl w:val="51CA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A5E70"/>
    <w:multiLevelType w:val="hybridMultilevel"/>
    <w:tmpl w:val="65FC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0"/>
  </w:num>
  <w:num w:numId="15">
    <w:abstractNumId w:val="17"/>
  </w:num>
  <w:num w:numId="16">
    <w:abstractNumId w:val="12"/>
  </w:num>
  <w:num w:numId="17">
    <w:abstractNumId w:val="13"/>
  </w:num>
  <w:num w:numId="18">
    <w:abstractNumId w:val="14"/>
  </w:num>
  <w:num w:numId="19">
    <w:abstractNumId w:val="20"/>
  </w:num>
  <w:num w:numId="20">
    <w:abstractNumId w:val="15"/>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36"/>
    <w:rsid w:val="00013854"/>
    <w:rsid w:val="0002582B"/>
    <w:rsid w:val="00026A7D"/>
    <w:rsid w:val="00037846"/>
    <w:rsid w:val="00074030"/>
    <w:rsid w:val="00086558"/>
    <w:rsid w:val="000A22B7"/>
    <w:rsid w:val="000B379D"/>
    <w:rsid w:val="000E3C6C"/>
    <w:rsid w:val="000E4EC2"/>
    <w:rsid w:val="000E7387"/>
    <w:rsid w:val="0011521E"/>
    <w:rsid w:val="00131ADF"/>
    <w:rsid w:val="001379A5"/>
    <w:rsid w:val="0014007F"/>
    <w:rsid w:val="001424EE"/>
    <w:rsid w:val="00156F22"/>
    <w:rsid w:val="00175715"/>
    <w:rsid w:val="001830B9"/>
    <w:rsid w:val="00193D0E"/>
    <w:rsid w:val="00195A89"/>
    <w:rsid w:val="00197BD0"/>
    <w:rsid w:val="001A5D4B"/>
    <w:rsid w:val="001C0E2E"/>
    <w:rsid w:val="001D0E4F"/>
    <w:rsid w:val="001D149F"/>
    <w:rsid w:val="001E7D34"/>
    <w:rsid w:val="00212468"/>
    <w:rsid w:val="002272CA"/>
    <w:rsid w:val="00257AA2"/>
    <w:rsid w:val="00267A0B"/>
    <w:rsid w:val="00287371"/>
    <w:rsid w:val="002967F8"/>
    <w:rsid w:val="00297D87"/>
    <w:rsid w:val="002A2656"/>
    <w:rsid w:val="002A65E9"/>
    <w:rsid w:val="002A75DA"/>
    <w:rsid w:val="002B263A"/>
    <w:rsid w:val="002B3EA8"/>
    <w:rsid w:val="002C11AC"/>
    <w:rsid w:val="002D618B"/>
    <w:rsid w:val="002E22AF"/>
    <w:rsid w:val="002E2514"/>
    <w:rsid w:val="002E65D8"/>
    <w:rsid w:val="002F2801"/>
    <w:rsid w:val="002F5306"/>
    <w:rsid w:val="003017F6"/>
    <w:rsid w:val="00317C6B"/>
    <w:rsid w:val="00327C12"/>
    <w:rsid w:val="003347D3"/>
    <w:rsid w:val="0034474E"/>
    <w:rsid w:val="00375469"/>
    <w:rsid w:val="003A2719"/>
    <w:rsid w:val="00404570"/>
    <w:rsid w:val="00413EA2"/>
    <w:rsid w:val="00416BED"/>
    <w:rsid w:val="00426BE2"/>
    <w:rsid w:val="004405C3"/>
    <w:rsid w:val="00445E09"/>
    <w:rsid w:val="0049352F"/>
    <w:rsid w:val="004976AA"/>
    <w:rsid w:val="004A62AE"/>
    <w:rsid w:val="004F0E03"/>
    <w:rsid w:val="004F1F4A"/>
    <w:rsid w:val="004F7F61"/>
    <w:rsid w:val="00510B45"/>
    <w:rsid w:val="00517847"/>
    <w:rsid w:val="00520D75"/>
    <w:rsid w:val="005217CB"/>
    <w:rsid w:val="00521DAF"/>
    <w:rsid w:val="00552A83"/>
    <w:rsid w:val="005558FC"/>
    <w:rsid w:val="0056734B"/>
    <w:rsid w:val="00570333"/>
    <w:rsid w:val="00570F6F"/>
    <w:rsid w:val="005A08E6"/>
    <w:rsid w:val="005A5582"/>
    <w:rsid w:val="005C24A5"/>
    <w:rsid w:val="005D5978"/>
    <w:rsid w:val="005E2310"/>
    <w:rsid w:val="005F63C4"/>
    <w:rsid w:val="0060783A"/>
    <w:rsid w:val="006141C9"/>
    <w:rsid w:val="00630DD7"/>
    <w:rsid w:val="00630E6A"/>
    <w:rsid w:val="00647ED6"/>
    <w:rsid w:val="006511C8"/>
    <w:rsid w:val="006B05F7"/>
    <w:rsid w:val="006C6414"/>
    <w:rsid w:val="006E0E47"/>
    <w:rsid w:val="006E3150"/>
    <w:rsid w:val="006F0475"/>
    <w:rsid w:val="006F5B7A"/>
    <w:rsid w:val="00723DB5"/>
    <w:rsid w:val="007408AE"/>
    <w:rsid w:val="00744B47"/>
    <w:rsid w:val="00745DD1"/>
    <w:rsid w:val="00780E1B"/>
    <w:rsid w:val="00784010"/>
    <w:rsid w:val="00794404"/>
    <w:rsid w:val="007B4A07"/>
    <w:rsid w:val="007C0FBC"/>
    <w:rsid w:val="007D1A9B"/>
    <w:rsid w:val="007E38F1"/>
    <w:rsid w:val="008023B8"/>
    <w:rsid w:val="0080400E"/>
    <w:rsid w:val="00825DA4"/>
    <w:rsid w:val="008720F7"/>
    <w:rsid w:val="00872C8C"/>
    <w:rsid w:val="00890A99"/>
    <w:rsid w:val="00890B96"/>
    <w:rsid w:val="008C7161"/>
    <w:rsid w:val="008D1421"/>
    <w:rsid w:val="008E4C2F"/>
    <w:rsid w:val="008F7597"/>
    <w:rsid w:val="00903BD9"/>
    <w:rsid w:val="00925C10"/>
    <w:rsid w:val="00935124"/>
    <w:rsid w:val="0096537B"/>
    <w:rsid w:val="0097381B"/>
    <w:rsid w:val="00982C91"/>
    <w:rsid w:val="0098437D"/>
    <w:rsid w:val="009B127D"/>
    <w:rsid w:val="009C35FE"/>
    <w:rsid w:val="009E1B0A"/>
    <w:rsid w:val="009E4789"/>
    <w:rsid w:val="00A05A18"/>
    <w:rsid w:val="00A2744A"/>
    <w:rsid w:val="00A31DD9"/>
    <w:rsid w:val="00A4211F"/>
    <w:rsid w:val="00A5070D"/>
    <w:rsid w:val="00A5336E"/>
    <w:rsid w:val="00A77FF6"/>
    <w:rsid w:val="00A81580"/>
    <w:rsid w:val="00A857B1"/>
    <w:rsid w:val="00A9141B"/>
    <w:rsid w:val="00AF4D58"/>
    <w:rsid w:val="00B01CA5"/>
    <w:rsid w:val="00B42ADF"/>
    <w:rsid w:val="00B4516F"/>
    <w:rsid w:val="00B524EF"/>
    <w:rsid w:val="00B612C3"/>
    <w:rsid w:val="00B64E3A"/>
    <w:rsid w:val="00B65016"/>
    <w:rsid w:val="00B66346"/>
    <w:rsid w:val="00B70763"/>
    <w:rsid w:val="00B951B0"/>
    <w:rsid w:val="00BA1270"/>
    <w:rsid w:val="00BA537A"/>
    <w:rsid w:val="00BC1C9E"/>
    <w:rsid w:val="00BC2185"/>
    <w:rsid w:val="00BD3982"/>
    <w:rsid w:val="00BD6650"/>
    <w:rsid w:val="00BF2528"/>
    <w:rsid w:val="00C24989"/>
    <w:rsid w:val="00C32A9D"/>
    <w:rsid w:val="00C32AE9"/>
    <w:rsid w:val="00C42960"/>
    <w:rsid w:val="00C62208"/>
    <w:rsid w:val="00C66A35"/>
    <w:rsid w:val="00C8709F"/>
    <w:rsid w:val="00C9600C"/>
    <w:rsid w:val="00C975C8"/>
    <w:rsid w:val="00CD36D3"/>
    <w:rsid w:val="00CD601D"/>
    <w:rsid w:val="00CD7F30"/>
    <w:rsid w:val="00CE56D0"/>
    <w:rsid w:val="00D31F41"/>
    <w:rsid w:val="00D5220B"/>
    <w:rsid w:val="00D72413"/>
    <w:rsid w:val="00D74751"/>
    <w:rsid w:val="00D81336"/>
    <w:rsid w:val="00D85841"/>
    <w:rsid w:val="00D87C7C"/>
    <w:rsid w:val="00D941F5"/>
    <w:rsid w:val="00DA28F5"/>
    <w:rsid w:val="00DA612B"/>
    <w:rsid w:val="00DC18E1"/>
    <w:rsid w:val="00DE6C19"/>
    <w:rsid w:val="00DF630E"/>
    <w:rsid w:val="00DF77D0"/>
    <w:rsid w:val="00E51517"/>
    <w:rsid w:val="00E52632"/>
    <w:rsid w:val="00E52699"/>
    <w:rsid w:val="00E57E37"/>
    <w:rsid w:val="00E714A8"/>
    <w:rsid w:val="00EC0E8D"/>
    <w:rsid w:val="00EC3EC7"/>
    <w:rsid w:val="00ED05D7"/>
    <w:rsid w:val="00ED4A5B"/>
    <w:rsid w:val="00ED5039"/>
    <w:rsid w:val="00EF27F7"/>
    <w:rsid w:val="00EF4C64"/>
    <w:rsid w:val="00F13738"/>
    <w:rsid w:val="00F157C3"/>
    <w:rsid w:val="00F17ADF"/>
    <w:rsid w:val="00F70CC3"/>
    <w:rsid w:val="00F82D5E"/>
    <w:rsid w:val="00F8769E"/>
    <w:rsid w:val="00F87BDE"/>
    <w:rsid w:val="00F93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character" w:customStyle="1" w:styleId="A4">
    <w:name w:val="A4"/>
    <w:uiPriority w:val="99"/>
    <w:rsid w:val="00CD7F30"/>
    <w:rPr>
      <w:rFonts w:cs="ITC Charter Com"/>
      <w:b/>
      <w:bCs/>
      <w:i/>
      <w:iCs/>
      <w:color w:val="000000"/>
      <w:sz w:val="28"/>
      <w:szCs w:val="28"/>
    </w:rPr>
  </w:style>
  <w:style w:type="paragraph" w:customStyle="1" w:styleId="Pa0">
    <w:name w:val="Pa0"/>
    <w:basedOn w:val="Normal"/>
    <w:next w:val="Normal"/>
    <w:uiPriority w:val="99"/>
    <w:rsid w:val="00CD7F30"/>
    <w:pPr>
      <w:autoSpaceDE w:val="0"/>
      <w:autoSpaceDN w:val="0"/>
      <w:adjustRightInd w:val="0"/>
      <w:spacing w:line="201" w:lineRule="atLeast"/>
    </w:pPr>
    <w:rPr>
      <w:rFonts w:ascii="ITC Charter Com" w:eastAsiaTheme="minorHAnsi" w:hAnsi="ITC Charter Com" w:cstheme="minorBidi"/>
      <w:sz w:val="24"/>
      <w:szCs w:val="24"/>
      <w:lang w:val="en-US"/>
    </w:rPr>
  </w:style>
  <w:style w:type="character" w:styleId="CommentReference">
    <w:name w:val="annotation reference"/>
    <w:basedOn w:val="DefaultParagraphFont"/>
    <w:uiPriority w:val="99"/>
    <w:semiHidden/>
    <w:unhideWhenUsed/>
    <w:rsid w:val="008E4C2F"/>
    <w:rPr>
      <w:sz w:val="16"/>
      <w:szCs w:val="16"/>
    </w:rPr>
  </w:style>
  <w:style w:type="paragraph" w:styleId="CommentText">
    <w:name w:val="annotation text"/>
    <w:basedOn w:val="Normal"/>
    <w:link w:val="CommentTextChar"/>
    <w:uiPriority w:val="99"/>
    <w:semiHidden/>
    <w:unhideWhenUsed/>
    <w:rsid w:val="008E4C2F"/>
    <w:pPr>
      <w:spacing w:line="240" w:lineRule="auto"/>
    </w:pPr>
    <w:rPr>
      <w:szCs w:val="20"/>
    </w:rPr>
  </w:style>
  <w:style w:type="character" w:customStyle="1" w:styleId="CommentTextChar">
    <w:name w:val="Comment Text Char"/>
    <w:basedOn w:val="DefaultParagraphFont"/>
    <w:link w:val="CommentText"/>
    <w:uiPriority w:val="99"/>
    <w:semiHidden/>
    <w:rsid w:val="008E4C2F"/>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8E4C2F"/>
    <w:rPr>
      <w:b/>
      <w:bCs/>
    </w:rPr>
  </w:style>
  <w:style w:type="character" w:customStyle="1" w:styleId="CommentSubjectChar">
    <w:name w:val="Comment Subject Char"/>
    <w:basedOn w:val="CommentTextChar"/>
    <w:link w:val="CommentSubject"/>
    <w:uiPriority w:val="99"/>
    <w:semiHidden/>
    <w:rsid w:val="008E4C2F"/>
    <w:rPr>
      <w:rFonts w:ascii="Georgia" w:hAnsi="Georgia"/>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character" w:customStyle="1" w:styleId="A4">
    <w:name w:val="A4"/>
    <w:uiPriority w:val="99"/>
    <w:rsid w:val="00CD7F30"/>
    <w:rPr>
      <w:rFonts w:cs="ITC Charter Com"/>
      <w:b/>
      <w:bCs/>
      <w:i/>
      <w:iCs/>
      <w:color w:val="000000"/>
      <w:sz w:val="28"/>
      <w:szCs w:val="28"/>
    </w:rPr>
  </w:style>
  <w:style w:type="paragraph" w:customStyle="1" w:styleId="Pa0">
    <w:name w:val="Pa0"/>
    <w:basedOn w:val="Normal"/>
    <w:next w:val="Normal"/>
    <w:uiPriority w:val="99"/>
    <w:rsid w:val="00CD7F30"/>
    <w:pPr>
      <w:autoSpaceDE w:val="0"/>
      <w:autoSpaceDN w:val="0"/>
      <w:adjustRightInd w:val="0"/>
      <w:spacing w:line="201" w:lineRule="atLeast"/>
    </w:pPr>
    <w:rPr>
      <w:rFonts w:ascii="ITC Charter Com" w:eastAsiaTheme="minorHAnsi" w:hAnsi="ITC Charter Com" w:cstheme="minorBidi"/>
      <w:sz w:val="24"/>
      <w:szCs w:val="24"/>
      <w:lang w:val="en-US"/>
    </w:rPr>
  </w:style>
  <w:style w:type="character" w:styleId="CommentReference">
    <w:name w:val="annotation reference"/>
    <w:basedOn w:val="DefaultParagraphFont"/>
    <w:uiPriority w:val="99"/>
    <w:semiHidden/>
    <w:unhideWhenUsed/>
    <w:rsid w:val="008E4C2F"/>
    <w:rPr>
      <w:sz w:val="16"/>
      <w:szCs w:val="16"/>
    </w:rPr>
  </w:style>
  <w:style w:type="paragraph" w:styleId="CommentText">
    <w:name w:val="annotation text"/>
    <w:basedOn w:val="Normal"/>
    <w:link w:val="CommentTextChar"/>
    <w:uiPriority w:val="99"/>
    <w:semiHidden/>
    <w:unhideWhenUsed/>
    <w:rsid w:val="008E4C2F"/>
    <w:pPr>
      <w:spacing w:line="240" w:lineRule="auto"/>
    </w:pPr>
    <w:rPr>
      <w:szCs w:val="20"/>
    </w:rPr>
  </w:style>
  <w:style w:type="character" w:customStyle="1" w:styleId="CommentTextChar">
    <w:name w:val="Comment Text Char"/>
    <w:basedOn w:val="DefaultParagraphFont"/>
    <w:link w:val="CommentText"/>
    <w:uiPriority w:val="99"/>
    <w:semiHidden/>
    <w:rsid w:val="008E4C2F"/>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8E4C2F"/>
    <w:rPr>
      <w:b/>
      <w:bCs/>
    </w:rPr>
  </w:style>
  <w:style w:type="character" w:customStyle="1" w:styleId="CommentSubjectChar">
    <w:name w:val="Comment Subject Char"/>
    <w:basedOn w:val="CommentTextChar"/>
    <w:link w:val="CommentSubject"/>
    <w:uiPriority w:val="99"/>
    <w:semiHidden/>
    <w:rsid w:val="008E4C2F"/>
    <w:rPr>
      <w:rFonts w:ascii="Georgia" w:hAnsi="Georgia"/>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4415-DF3A-4768-B01F-465C8237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shelly</cp:lastModifiedBy>
  <cp:revision>2</cp:revision>
  <cp:lastPrinted>2013-09-16T17:14:00Z</cp:lastPrinted>
  <dcterms:created xsi:type="dcterms:W3CDTF">2013-09-25T16:21:00Z</dcterms:created>
  <dcterms:modified xsi:type="dcterms:W3CDTF">2013-09-25T16:21:00Z</dcterms:modified>
</cp:coreProperties>
</file>