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7" w:rsidRPr="008050B0" w:rsidRDefault="006B4024">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3675C4" w:rsidRPr="008050B0">
        <w:rPr>
          <w:i/>
        </w:rPr>
        <w:tab/>
      </w:r>
    </w:p>
    <w:p w:rsidR="00E57577" w:rsidRPr="008050B0" w:rsidRDefault="003675C4">
      <w:pPr>
        <w:pStyle w:val="Title"/>
        <w:rPr>
          <w:rFonts w:ascii="Georgia" w:hAnsi="Georgia"/>
          <w:sz w:val="22"/>
          <w:szCs w:val="22"/>
        </w:rPr>
      </w:pPr>
      <w:r w:rsidRPr="008050B0">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487"/>
      </w:tblGrid>
      <w:tr w:rsidR="00E57577" w:rsidRPr="008050B0" w:rsidTr="00740E89">
        <w:tc>
          <w:tcPr>
            <w:tcW w:w="2268" w:type="dxa"/>
            <w:shd w:val="clear" w:color="auto" w:fill="auto"/>
          </w:tcPr>
          <w:p w:rsidR="00E57577" w:rsidRPr="008050B0" w:rsidRDefault="003675C4">
            <w:pPr>
              <w:rPr>
                <w:i/>
                <w:sz w:val="22"/>
              </w:rPr>
            </w:pPr>
            <w:r w:rsidRPr="008050B0">
              <w:rPr>
                <w:i/>
                <w:sz w:val="22"/>
              </w:rPr>
              <w:t>Date</w:t>
            </w:r>
          </w:p>
        </w:tc>
        <w:tc>
          <w:tcPr>
            <w:tcW w:w="6487" w:type="dxa"/>
            <w:shd w:val="clear" w:color="auto" w:fill="auto"/>
          </w:tcPr>
          <w:p w:rsidR="00C878C9" w:rsidRPr="008E3495" w:rsidRDefault="00D7187F" w:rsidP="00C878C9">
            <w:pPr>
              <w:rPr>
                <w:b/>
                <w:color w:val="000000" w:themeColor="text1"/>
                <w:sz w:val="22"/>
              </w:rPr>
            </w:pPr>
            <w:r>
              <w:rPr>
                <w:b/>
                <w:color w:val="000000" w:themeColor="text1"/>
                <w:sz w:val="22"/>
              </w:rPr>
              <w:t xml:space="preserve">Embargoed: </w:t>
            </w:r>
            <w:r w:rsidR="00C042C4">
              <w:rPr>
                <w:b/>
                <w:color w:val="000000" w:themeColor="text1"/>
                <w:sz w:val="22"/>
              </w:rPr>
              <w:t>19</w:t>
            </w:r>
            <w:r w:rsidR="00552B20" w:rsidRPr="00552B20">
              <w:rPr>
                <w:b/>
                <w:color w:val="000000" w:themeColor="text1"/>
                <w:sz w:val="22"/>
                <w:vertAlign w:val="superscript"/>
              </w:rPr>
              <w:t>th</w:t>
            </w:r>
            <w:r w:rsidR="00552B20">
              <w:rPr>
                <w:b/>
                <w:color w:val="000000" w:themeColor="text1"/>
                <w:sz w:val="22"/>
              </w:rPr>
              <w:t xml:space="preserve"> September 2013 </w:t>
            </w:r>
          </w:p>
          <w:p w:rsidR="000316B6" w:rsidRPr="00CE7CD0" w:rsidRDefault="000316B6" w:rsidP="00C878C9">
            <w:pPr>
              <w:rPr>
                <w:b/>
                <w:sz w:val="22"/>
              </w:rPr>
            </w:pPr>
          </w:p>
        </w:tc>
      </w:tr>
      <w:tr w:rsidR="00E57577" w:rsidRPr="008050B0" w:rsidTr="00740E89">
        <w:tc>
          <w:tcPr>
            <w:tcW w:w="2268" w:type="dxa"/>
            <w:shd w:val="clear" w:color="auto" w:fill="auto"/>
          </w:tcPr>
          <w:p w:rsidR="00E57577" w:rsidRPr="008050B0" w:rsidRDefault="003675C4">
            <w:pPr>
              <w:rPr>
                <w:i/>
                <w:sz w:val="22"/>
              </w:rPr>
            </w:pPr>
            <w:r w:rsidRPr="008050B0">
              <w:rPr>
                <w:i/>
                <w:sz w:val="22"/>
              </w:rPr>
              <w:t>Contact</w:t>
            </w:r>
          </w:p>
        </w:tc>
        <w:tc>
          <w:tcPr>
            <w:tcW w:w="6487" w:type="dxa"/>
            <w:shd w:val="clear" w:color="auto" w:fill="auto"/>
          </w:tcPr>
          <w:p w:rsidR="00E57577" w:rsidRPr="008050B0" w:rsidRDefault="00740E89">
            <w:pPr>
              <w:tabs>
                <w:tab w:val="left" w:pos="1440"/>
              </w:tabs>
              <w:ind w:left="1440" w:hanging="1440"/>
              <w:rPr>
                <w:rFonts w:cs="Arial"/>
                <w:sz w:val="22"/>
                <w:lang w:val="it-IT"/>
              </w:rPr>
            </w:pPr>
            <w:r>
              <w:rPr>
                <w:rFonts w:cs="Arial"/>
                <w:bCs/>
                <w:sz w:val="22"/>
                <w:lang w:val="it-IT"/>
              </w:rPr>
              <w:t>Hilary Downes</w:t>
            </w:r>
            <w:r w:rsidR="00E87477">
              <w:rPr>
                <w:rFonts w:cs="Arial"/>
                <w:bCs/>
                <w:sz w:val="22"/>
                <w:lang w:val="it-IT"/>
              </w:rPr>
              <w:t xml:space="preserve">, </w:t>
            </w:r>
            <w:r w:rsidR="003675C4" w:rsidRPr="008050B0">
              <w:rPr>
                <w:rFonts w:cs="Arial"/>
                <w:bCs/>
                <w:sz w:val="22"/>
                <w:lang w:val="it-IT"/>
              </w:rPr>
              <w:t>media relations, PwC</w:t>
            </w:r>
          </w:p>
          <w:p w:rsidR="00CD601C" w:rsidRPr="00D7187F" w:rsidRDefault="008050B0" w:rsidP="00CD601C">
            <w:pPr>
              <w:pStyle w:val="BodyText"/>
              <w:spacing w:after="0" w:line="240" w:lineRule="auto"/>
              <w:rPr>
                <w:rFonts w:cs="Arial"/>
                <w:sz w:val="22"/>
                <w:lang w:val="it-IT"/>
              </w:rPr>
            </w:pPr>
            <w:r>
              <w:rPr>
                <w:rFonts w:cs="Arial"/>
                <w:sz w:val="22"/>
                <w:lang w:val="it-IT"/>
              </w:rPr>
              <w:t xml:space="preserve">Tel: </w:t>
            </w:r>
            <w:r w:rsidR="007932C1">
              <w:rPr>
                <w:rFonts w:cs="Arial"/>
                <w:sz w:val="22"/>
                <w:lang w:val="it-IT"/>
              </w:rPr>
              <w:t>+ 44 (</w:t>
            </w:r>
            <w:r w:rsidR="00E87477">
              <w:rPr>
                <w:rFonts w:cs="Arial"/>
                <w:sz w:val="22"/>
                <w:lang w:val="it-IT"/>
              </w:rPr>
              <w:t>0</w:t>
            </w:r>
            <w:r w:rsidR="007932C1">
              <w:rPr>
                <w:rFonts w:cs="Arial"/>
                <w:sz w:val="22"/>
                <w:lang w:val="it-IT"/>
              </w:rPr>
              <w:t xml:space="preserve">) </w:t>
            </w:r>
            <w:r w:rsidR="00E87477">
              <w:rPr>
                <w:rFonts w:cs="Arial"/>
                <w:sz w:val="22"/>
                <w:lang w:val="it-IT"/>
              </w:rPr>
              <w:t>20 721</w:t>
            </w:r>
            <w:r w:rsidR="00740E89">
              <w:rPr>
                <w:rFonts w:cs="Arial"/>
                <w:sz w:val="22"/>
                <w:lang w:val="it-IT"/>
              </w:rPr>
              <w:t>3</w:t>
            </w:r>
            <w:r w:rsidR="00E87477">
              <w:rPr>
                <w:rFonts w:cs="Arial"/>
                <w:sz w:val="22"/>
                <w:lang w:val="it-IT"/>
              </w:rPr>
              <w:t xml:space="preserve"> </w:t>
            </w:r>
            <w:r w:rsidR="00740E89">
              <w:rPr>
                <w:rFonts w:cs="Arial"/>
                <w:sz w:val="22"/>
                <w:lang w:val="it-IT"/>
              </w:rPr>
              <w:t>4706</w:t>
            </w:r>
            <w:r w:rsidR="00D7187F">
              <w:rPr>
                <w:rFonts w:cs="Arial"/>
                <w:sz w:val="22"/>
                <w:lang w:val="it-IT"/>
              </w:rPr>
              <w:t>, mobile:</w:t>
            </w:r>
            <w:r w:rsidR="00CD601C" w:rsidRPr="00CD601C">
              <w:rPr>
                <w:szCs w:val="20"/>
                <w:lang w:eastAsia="en-GB"/>
              </w:rPr>
              <w:t xml:space="preserve"> </w:t>
            </w:r>
            <w:r w:rsidR="007932C1">
              <w:rPr>
                <w:szCs w:val="20"/>
                <w:lang w:eastAsia="en-GB"/>
              </w:rPr>
              <w:t xml:space="preserve">+ 44 </w:t>
            </w:r>
            <w:r w:rsidR="00CD601C" w:rsidRPr="00CD601C">
              <w:rPr>
                <w:szCs w:val="20"/>
                <w:lang w:eastAsia="en-GB"/>
              </w:rPr>
              <w:t>(0)</w:t>
            </w:r>
            <w:r w:rsidR="00740E89">
              <w:rPr>
                <w:szCs w:val="20"/>
                <w:lang w:eastAsia="en-GB"/>
              </w:rPr>
              <w:t>7718</w:t>
            </w:r>
            <w:r w:rsidR="007932C1">
              <w:rPr>
                <w:szCs w:val="20"/>
                <w:lang w:eastAsia="en-GB"/>
              </w:rPr>
              <w:t xml:space="preserve"> </w:t>
            </w:r>
            <w:r w:rsidR="00740E89">
              <w:rPr>
                <w:szCs w:val="20"/>
                <w:lang w:eastAsia="en-GB"/>
              </w:rPr>
              <w:t>340113</w:t>
            </w:r>
          </w:p>
          <w:p w:rsidR="000316B6" w:rsidRPr="000316B6" w:rsidRDefault="00E87477" w:rsidP="000316B6">
            <w:pPr>
              <w:tabs>
                <w:tab w:val="left" w:pos="1440"/>
              </w:tabs>
              <w:ind w:left="1440" w:hanging="1440"/>
              <w:rPr>
                <w:rFonts w:cs="Arial"/>
                <w:sz w:val="22"/>
                <w:lang w:val="it-IT"/>
              </w:rPr>
            </w:pPr>
            <w:r w:rsidRPr="00E87477">
              <w:rPr>
                <w:rFonts w:cs="Arial"/>
                <w:sz w:val="22"/>
                <w:lang w:val="it-IT"/>
              </w:rPr>
              <w:t>Email:</w:t>
            </w:r>
            <w:r w:rsidR="009354AC">
              <w:rPr>
                <w:rFonts w:cs="Arial"/>
                <w:sz w:val="22"/>
                <w:lang w:val="it-IT"/>
              </w:rPr>
              <w:t xml:space="preserve"> </w:t>
            </w:r>
            <w:r w:rsidRPr="00E87477">
              <w:rPr>
                <w:rFonts w:cs="Arial"/>
                <w:sz w:val="22"/>
                <w:lang w:val="it-IT"/>
              </w:rPr>
              <w:t xml:space="preserve"> </w:t>
            </w:r>
            <w:r w:rsidR="00740E89">
              <w:rPr>
                <w:rFonts w:cs="Arial"/>
                <w:sz w:val="22"/>
                <w:lang w:val="it-IT"/>
              </w:rPr>
              <w:t>hilary.n.downes</w:t>
            </w:r>
            <w:r w:rsidRPr="00E87477">
              <w:rPr>
                <w:rFonts w:cs="Arial"/>
                <w:sz w:val="22"/>
                <w:lang w:val="it-IT"/>
              </w:rPr>
              <w:t>@uk.pwc.com</w:t>
            </w:r>
            <w:r w:rsidRPr="008050B0">
              <w:rPr>
                <w:rFonts w:cs="Arial"/>
                <w:sz w:val="22"/>
                <w:lang w:val="it-IT"/>
              </w:rPr>
              <w:t xml:space="preserve"> </w:t>
            </w:r>
          </w:p>
        </w:tc>
      </w:tr>
      <w:tr w:rsidR="00E57577" w:rsidRPr="008050B0" w:rsidTr="00740E89">
        <w:tc>
          <w:tcPr>
            <w:tcW w:w="2268" w:type="dxa"/>
            <w:shd w:val="clear" w:color="auto" w:fill="auto"/>
          </w:tcPr>
          <w:p w:rsidR="00E57577" w:rsidRPr="008050B0" w:rsidRDefault="003675C4">
            <w:pPr>
              <w:rPr>
                <w:i/>
                <w:sz w:val="22"/>
              </w:rPr>
            </w:pPr>
            <w:r w:rsidRPr="008050B0">
              <w:rPr>
                <w:i/>
                <w:sz w:val="22"/>
              </w:rPr>
              <w:t xml:space="preserve">Pages </w:t>
            </w:r>
          </w:p>
        </w:tc>
        <w:tc>
          <w:tcPr>
            <w:tcW w:w="6487" w:type="dxa"/>
            <w:shd w:val="clear" w:color="auto" w:fill="auto"/>
          </w:tcPr>
          <w:p w:rsidR="00E57577" w:rsidRPr="008050B0" w:rsidRDefault="00673B8E">
            <w:pPr>
              <w:rPr>
                <w:sz w:val="22"/>
              </w:rPr>
            </w:pPr>
            <w:r>
              <w:rPr>
                <w:sz w:val="22"/>
              </w:rPr>
              <w:t>3</w:t>
            </w:r>
          </w:p>
        </w:tc>
      </w:tr>
    </w:tbl>
    <w:p w:rsidR="008050B0" w:rsidRPr="000316B6" w:rsidRDefault="006B4024" w:rsidP="000316B6">
      <w:pPr>
        <w:rPr>
          <w:sz w:val="18"/>
          <w:szCs w:val="18"/>
        </w:rPr>
      </w:pPr>
      <w:r>
        <w:rPr>
          <w:noProof/>
          <w:sz w:val="22"/>
          <w:lang w:val="en-US"/>
        </w:rPr>
        <mc:AlternateContent>
          <mc:Choice Requires="wps">
            <w:drawing>
              <wp:anchor distT="0" distB="0" distL="114300" distR="114300" simplePos="0" relativeHeight="251658240" behindDoc="0" locked="0" layoutInCell="1" allowOverlap="1">
                <wp:simplePos x="0" y="0"/>
                <wp:positionH relativeFrom="page">
                  <wp:posOffset>1292860</wp:posOffset>
                </wp:positionH>
                <wp:positionV relativeFrom="page">
                  <wp:posOffset>3621405</wp:posOffset>
                </wp:positionV>
                <wp:extent cx="5779135" cy="0"/>
                <wp:effectExtent l="6985" t="11430" r="508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3675C4" w:rsidRPr="008050B0">
        <w:rPr>
          <w:rFonts w:cs="Arial"/>
          <w:b/>
          <w:i/>
          <w:iCs/>
          <w:sz w:val="22"/>
        </w:rPr>
        <w:br w:type="textWrapping" w:clear="all"/>
      </w:r>
    </w:p>
    <w:p w:rsidR="001124D2" w:rsidRPr="001124D2" w:rsidRDefault="008E3495" w:rsidP="00047C52">
      <w:pPr>
        <w:pStyle w:val="BodyText"/>
        <w:spacing w:after="0" w:line="276" w:lineRule="auto"/>
        <w:jc w:val="center"/>
        <w:rPr>
          <w:rFonts w:eastAsia="Times New Roman"/>
          <w:b/>
          <w:sz w:val="24"/>
          <w:szCs w:val="24"/>
        </w:rPr>
      </w:pPr>
      <w:r>
        <w:rPr>
          <w:rFonts w:eastAsia="Times New Roman"/>
          <w:b/>
          <w:sz w:val="24"/>
          <w:szCs w:val="24"/>
        </w:rPr>
        <w:t xml:space="preserve">PwC: </w:t>
      </w:r>
      <w:r w:rsidR="00D7187F">
        <w:rPr>
          <w:rFonts w:eastAsia="Times New Roman"/>
          <w:b/>
          <w:sz w:val="24"/>
          <w:szCs w:val="24"/>
        </w:rPr>
        <w:t>Insurance M&amp;A faces “quiet revolution”</w:t>
      </w:r>
    </w:p>
    <w:p w:rsidR="00047C52" w:rsidRDefault="00047C52" w:rsidP="00047C52">
      <w:pPr>
        <w:pStyle w:val="BodyText"/>
        <w:spacing w:after="0" w:line="276" w:lineRule="auto"/>
        <w:jc w:val="center"/>
        <w:rPr>
          <w:rFonts w:eastAsia="Times New Roman"/>
          <w:szCs w:val="20"/>
        </w:rPr>
      </w:pPr>
    </w:p>
    <w:p w:rsidR="00673B8E" w:rsidRPr="00673B8E" w:rsidRDefault="00673B8E" w:rsidP="00673B8E">
      <w:pPr>
        <w:jc w:val="center"/>
        <w:rPr>
          <w:i/>
          <w:szCs w:val="20"/>
        </w:rPr>
      </w:pPr>
      <w:r w:rsidRPr="00673B8E">
        <w:rPr>
          <w:i/>
          <w:szCs w:val="20"/>
        </w:rPr>
        <w:t>Smarter pricing could reduce insu</w:t>
      </w:r>
      <w:r w:rsidR="00CE7CD0">
        <w:rPr>
          <w:i/>
          <w:szCs w:val="20"/>
        </w:rPr>
        <w:t>rers’ combined ratios by 2-3%</w:t>
      </w:r>
      <w:bookmarkStart w:id="0" w:name="_GoBack"/>
      <w:bookmarkEnd w:id="0"/>
    </w:p>
    <w:p w:rsidR="00F12948" w:rsidRDefault="00F12948" w:rsidP="00047C52">
      <w:pPr>
        <w:pStyle w:val="BodyText"/>
        <w:spacing w:after="0" w:line="276" w:lineRule="auto"/>
        <w:jc w:val="center"/>
        <w:rPr>
          <w:rFonts w:eastAsia="Times New Roman"/>
          <w:i/>
          <w:szCs w:val="20"/>
        </w:rPr>
      </w:pPr>
    </w:p>
    <w:p w:rsidR="00F12948" w:rsidRPr="00047C52" w:rsidRDefault="00F12948" w:rsidP="00047C52">
      <w:pPr>
        <w:pStyle w:val="BodyText"/>
        <w:spacing w:after="0" w:line="276" w:lineRule="auto"/>
        <w:jc w:val="center"/>
        <w:rPr>
          <w:rFonts w:eastAsia="Times New Roman"/>
          <w:i/>
          <w:szCs w:val="20"/>
        </w:rPr>
      </w:pPr>
      <w:r w:rsidRPr="00F12948">
        <w:rPr>
          <w:rFonts w:eastAsia="Times New Roman"/>
          <w:i/>
          <w:szCs w:val="20"/>
        </w:rPr>
        <w:t>Latin America represents the last major untapped growth opportunity</w:t>
      </w:r>
      <w:r>
        <w:rPr>
          <w:rFonts w:eastAsia="Times New Roman"/>
          <w:i/>
          <w:szCs w:val="20"/>
        </w:rPr>
        <w:t xml:space="preserve"> in life insurance sector</w:t>
      </w:r>
    </w:p>
    <w:p w:rsidR="001124D2" w:rsidRPr="00115795" w:rsidRDefault="00D7187F" w:rsidP="00C13AE9">
      <w:pPr>
        <w:pStyle w:val="BodyText"/>
        <w:spacing w:after="0" w:line="276" w:lineRule="auto"/>
        <w:rPr>
          <w:rFonts w:eastAsia="Times New Roman"/>
          <w:szCs w:val="20"/>
        </w:rPr>
      </w:pPr>
      <w:r>
        <w:rPr>
          <w:rFonts w:eastAsia="Times New Roman"/>
          <w:szCs w:val="20"/>
        </w:rPr>
        <w:br/>
      </w:r>
      <w:r w:rsidRPr="00115795">
        <w:rPr>
          <w:rFonts w:eastAsia="Times New Roman"/>
          <w:szCs w:val="20"/>
        </w:rPr>
        <w:t>A new report from PwC has revealed</w:t>
      </w:r>
      <w:r w:rsidR="00C13AE9">
        <w:rPr>
          <w:rFonts w:eastAsia="Times New Roman"/>
          <w:szCs w:val="20"/>
        </w:rPr>
        <w:t xml:space="preserve"> the recovery in insurance M&amp;A finding that t</w:t>
      </w:r>
      <w:r w:rsidR="00C13AE9" w:rsidRPr="00C13AE9">
        <w:rPr>
          <w:rFonts w:eastAsia="Times New Roman"/>
          <w:szCs w:val="20"/>
        </w:rPr>
        <w:t xml:space="preserve">he strategic importance of M&amp;A to insurers across the globe </w:t>
      </w:r>
      <w:r w:rsidR="00C13AE9">
        <w:rPr>
          <w:rFonts w:eastAsia="Times New Roman"/>
          <w:szCs w:val="20"/>
        </w:rPr>
        <w:t>is set to</w:t>
      </w:r>
      <w:r w:rsidR="00C13AE9" w:rsidRPr="00C13AE9">
        <w:rPr>
          <w:rFonts w:eastAsia="Times New Roman"/>
          <w:szCs w:val="20"/>
        </w:rPr>
        <w:t xml:space="preserve"> increase. However the report says that transaction volumes won’t recover along the same lines as during the last decade. Instead, the next few years will see a quiet revolution in globa</w:t>
      </w:r>
      <w:r w:rsidR="00C13AE9">
        <w:rPr>
          <w:rFonts w:eastAsia="Times New Roman"/>
          <w:szCs w:val="20"/>
        </w:rPr>
        <w:t xml:space="preserve">l insurance M&amp;A. </w:t>
      </w:r>
      <w:r w:rsidR="00C13AE9" w:rsidRPr="00C13AE9">
        <w:rPr>
          <w:rFonts w:eastAsia="Times New Roman"/>
          <w:szCs w:val="20"/>
        </w:rPr>
        <w:t>In the short to medium term, low profitability will have a critical effect</w:t>
      </w:r>
      <w:r w:rsidR="00C13AE9">
        <w:rPr>
          <w:rFonts w:eastAsia="Times New Roman"/>
          <w:szCs w:val="20"/>
        </w:rPr>
        <w:t xml:space="preserve"> on insurance M&amp;A</w:t>
      </w:r>
      <w:r w:rsidR="00C13AE9" w:rsidRPr="00C13AE9">
        <w:rPr>
          <w:rFonts w:eastAsia="Times New Roman"/>
          <w:szCs w:val="20"/>
        </w:rPr>
        <w:t>. Weak profitability is closely linked to low investment yields, and is encouraging insurers in matur</w:t>
      </w:r>
      <w:r w:rsidR="00C13AE9">
        <w:rPr>
          <w:rFonts w:eastAsia="Times New Roman"/>
          <w:szCs w:val="20"/>
        </w:rPr>
        <w:t xml:space="preserve">e markets to seek domestic deals </w:t>
      </w:r>
      <w:r w:rsidR="00C13AE9" w:rsidRPr="00C13AE9">
        <w:rPr>
          <w:rFonts w:eastAsia="Times New Roman"/>
          <w:szCs w:val="20"/>
        </w:rPr>
        <w:t>and to plan international expansion.</w:t>
      </w:r>
      <w:r w:rsidR="001B1E8B">
        <w:rPr>
          <w:rFonts w:eastAsia="Times New Roman"/>
          <w:szCs w:val="20"/>
        </w:rPr>
        <w:t xml:space="preserve"> The report also finds that technology will continue to grow </w:t>
      </w:r>
      <w:r w:rsidR="00673B8E">
        <w:rPr>
          <w:rFonts w:eastAsia="Times New Roman"/>
          <w:szCs w:val="20"/>
        </w:rPr>
        <w:t>in influence in insurance deals;</w:t>
      </w:r>
      <w:r w:rsidR="001B1E8B">
        <w:rPr>
          <w:rFonts w:eastAsia="Times New Roman"/>
          <w:szCs w:val="20"/>
        </w:rPr>
        <w:t xml:space="preserve"> political risks, the economic climate and regulatory reform will all continue to shape the market</w:t>
      </w:r>
      <w:r w:rsidR="00673B8E">
        <w:rPr>
          <w:rFonts w:eastAsia="Times New Roman"/>
          <w:szCs w:val="20"/>
        </w:rPr>
        <w:t>;</w:t>
      </w:r>
      <w:r w:rsidR="001B1E8B">
        <w:rPr>
          <w:rFonts w:eastAsia="Times New Roman"/>
          <w:szCs w:val="20"/>
        </w:rPr>
        <w:t xml:space="preserve"> and Asian and Latin American targets top the wish lists for insurers with capital to spend.</w:t>
      </w:r>
    </w:p>
    <w:p w:rsidR="00115795" w:rsidRPr="00115795" w:rsidRDefault="00115795" w:rsidP="00C13AE9">
      <w:pPr>
        <w:pStyle w:val="BodyText"/>
        <w:spacing w:after="0" w:line="276" w:lineRule="auto"/>
        <w:rPr>
          <w:rFonts w:eastAsia="Times New Roman"/>
          <w:szCs w:val="20"/>
        </w:rPr>
      </w:pPr>
    </w:p>
    <w:p w:rsidR="00115795" w:rsidRPr="00115795" w:rsidRDefault="00115795" w:rsidP="00C13AE9">
      <w:pPr>
        <w:spacing w:line="276" w:lineRule="auto"/>
        <w:rPr>
          <w:szCs w:val="20"/>
        </w:rPr>
      </w:pPr>
      <w:r w:rsidRPr="00115795">
        <w:rPr>
          <w:szCs w:val="20"/>
        </w:rPr>
        <w:t>Nick Page, transaction services partner at PwC, said:</w:t>
      </w:r>
    </w:p>
    <w:p w:rsidR="00115795" w:rsidRPr="00115795" w:rsidRDefault="00115795" w:rsidP="00C13AE9">
      <w:pPr>
        <w:spacing w:line="276" w:lineRule="auto"/>
        <w:rPr>
          <w:szCs w:val="20"/>
        </w:rPr>
      </w:pPr>
    </w:p>
    <w:p w:rsidR="00115795" w:rsidRPr="00115795" w:rsidRDefault="00115795" w:rsidP="00C13AE9">
      <w:pPr>
        <w:spacing w:line="276" w:lineRule="auto"/>
        <w:ind w:left="284"/>
        <w:rPr>
          <w:szCs w:val="20"/>
        </w:rPr>
      </w:pPr>
      <w:r w:rsidRPr="00115795">
        <w:rPr>
          <w:szCs w:val="20"/>
        </w:rPr>
        <w:t>“The global insurance industry’s outlook is improving. The mature economies of Europe and North America are moving towards recovery, while the emerging markets of Asia and Latin America continue to grow. A pick-up in global premiums is forecast, but the industry should not expect a return to the old ways. Insurers are operating in a world where the goal of long-term growth seems to be getting further away. Instead insurers face a range of obstacles including persistently low investment yields, tightening regulation and overcapacity in many markets.</w:t>
      </w:r>
    </w:p>
    <w:p w:rsidR="00552B20" w:rsidRDefault="00552B20" w:rsidP="00552B20">
      <w:pPr>
        <w:rPr>
          <w:szCs w:val="20"/>
        </w:rPr>
      </w:pPr>
    </w:p>
    <w:p w:rsidR="00115795" w:rsidRDefault="00552B20" w:rsidP="00552B20">
      <w:pPr>
        <w:spacing w:line="276" w:lineRule="auto"/>
        <w:rPr>
          <w:szCs w:val="20"/>
        </w:rPr>
      </w:pPr>
      <w:r>
        <w:rPr>
          <w:szCs w:val="20"/>
        </w:rPr>
        <w:t xml:space="preserve">James Tye, </w:t>
      </w:r>
      <w:r w:rsidRPr="00115795">
        <w:rPr>
          <w:szCs w:val="20"/>
        </w:rPr>
        <w:t>transaction services partner at PwC, said:</w:t>
      </w:r>
    </w:p>
    <w:p w:rsidR="00552B20" w:rsidRPr="00115795" w:rsidRDefault="00552B20" w:rsidP="00552B20">
      <w:pPr>
        <w:rPr>
          <w:szCs w:val="20"/>
        </w:rPr>
      </w:pPr>
    </w:p>
    <w:p w:rsidR="00115795" w:rsidRPr="00115795" w:rsidRDefault="00115795" w:rsidP="00115795">
      <w:pPr>
        <w:ind w:left="284"/>
        <w:rPr>
          <w:szCs w:val="20"/>
        </w:rPr>
      </w:pPr>
      <w:r w:rsidRPr="00115795">
        <w:rPr>
          <w:szCs w:val="20"/>
        </w:rPr>
        <w:t xml:space="preserve">“As insurers adapt their business models to this new environment, the strategic importance of M&amp;A will only increase. However we do not expect transaction volumes to recover </w:t>
      </w:r>
      <w:r w:rsidR="00552B20">
        <w:rPr>
          <w:szCs w:val="20"/>
        </w:rPr>
        <w:t>to their pre-crisis levels</w:t>
      </w:r>
      <w:r w:rsidRPr="00115795">
        <w:rPr>
          <w:szCs w:val="20"/>
        </w:rPr>
        <w:t>. Instead, we predict the next few years will see a quiet revolution in global insurance M&amp;A.”</w:t>
      </w:r>
    </w:p>
    <w:p w:rsidR="00115795" w:rsidRPr="00115795" w:rsidRDefault="00115795" w:rsidP="00115795">
      <w:pPr>
        <w:rPr>
          <w:szCs w:val="20"/>
        </w:rPr>
      </w:pPr>
    </w:p>
    <w:p w:rsidR="00CE7CD0" w:rsidRDefault="00CE7CD0">
      <w:pPr>
        <w:spacing w:line="240" w:lineRule="auto"/>
        <w:rPr>
          <w:szCs w:val="20"/>
        </w:rPr>
      </w:pPr>
      <w:r>
        <w:rPr>
          <w:szCs w:val="20"/>
        </w:rPr>
        <w:br w:type="page"/>
      </w:r>
    </w:p>
    <w:p w:rsidR="00115795" w:rsidRPr="00115795" w:rsidRDefault="00115795" w:rsidP="00115795">
      <w:pPr>
        <w:rPr>
          <w:szCs w:val="20"/>
        </w:rPr>
      </w:pPr>
      <w:r w:rsidRPr="00115795">
        <w:rPr>
          <w:szCs w:val="20"/>
        </w:rPr>
        <w:lastRenderedPageBreak/>
        <w:t xml:space="preserve">Key findings from the report include: </w:t>
      </w:r>
    </w:p>
    <w:p w:rsidR="00115795" w:rsidRPr="00115795" w:rsidRDefault="00115795" w:rsidP="00115795">
      <w:pPr>
        <w:rPr>
          <w:szCs w:val="20"/>
        </w:rPr>
      </w:pPr>
    </w:p>
    <w:p w:rsidR="00115795" w:rsidRPr="00115795" w:rsidRDefault="00115795" w:rsidP="00115795">
      <w:pPr>
        <w:rPr>
          <w:b/>
          <w:i/>
          <w:szCs w:val="20"/>
        </w:rPr>
      </w:pPr>
      <w:r w:rsidRPr="00115795">
        <w:rPr>
          <w:b/>
          <w:i/>
          <w:szCs w:val="20"/>
        </w:rPr>
        <w:t>Technology grows in influence…</w:t>
      </w:r>
    </w:p>
    <w:p w:rsidR="00115795" w:rsidRPr="00115795" w:rsidRDefault="00115795" w:rsidP="00115795">
      <w:pPr>
        <w:pStyle w:val="ListParagraph"/>
        <w:numPr>
          <w:ilvl w:val="0"/>
          <w:numId w:val="34"/>
        </w:numPr>
        <w:spacing w:after="0" w:line="276" w:lineRule="auto"/>
        <w:ind w:left="567" w:hanging="283"/>
        <w:rPr>
          <w:rFonts w:ascii="Georgia" w:hAnsi="Georgia"/>
          <w:sz w:val="20"/>
          <w:szCs w:val="20"/>
        </w:rPr>
      </w:pPr>
      <w:r w:rsidRPr="00115795">
        <w:rPr>
          <w:rFonts w:ascii="Georgia" w:hAnsi="Georgia"/>
          <w:sz w:val="20"/>
          <w:szCs w:val="20"/>
        </w:rPr>
        <w:t xml:space="preserve">Technology will play an increasingly important role in insurance deal-making. </w:t>
      </w:r>
    </w:p>
    <w:p w:rsidR="00115795" w:rsidRPr="00115795" w:rsidRDefault="00115795" w:rsidP="00115795">
      <w:pPr>
        <w:pStyle w:val="ListParagraph"/>
        <w:numPr>
          <w:ilvl w:val="0"/>
          <w:numId w:val="34"/>
        </w:numPr>
        <w:spacing w:after="0" w:line="276" w:lineRule="auto"/>
        <w:ind w:left="567" w:hanging="283"/>
        <w:rPr>
          <w:rFonts w:ascii="Georgia" w:hAnsi="Georgia"/>
          <w:sz w:val="20"/>
          <w:szCs w:val="20"/>
        </w:rPr>
      </w:pPr>
      <w:r w:rsidRPr="00115795">
        <w:rPr>
          <w:rFonts w:ascii="Georgia" w:hAnsi="Georgia"/>
          <w:sz w:val="20"/>
          <w:szCs w:val="20"/>
        </w:rPr>
        <w:t xml:space="preserve">Insurers will acquire technological expertise, for example, in telematics, in part as a defensive strategy against disruptive new entrants. </w:t>
      </w:r>
    </w:p>
    <w:p w:rsidR="00115795" w:rsidRPr="00115795" w:rsidRDefault="00115795" w:rsidP="00115795">
      <w:pPr>
        <w:pStyle w:val="ListParagraph"/>
        <w:numPr>
          <w:ilvl w:val="0"/>
          <w:numId w:val="34"/>
        </w:numPr>
        <w:spacing w:after="0" w:line="276" w:lineRule="auto"/>
        <w:ind w:left="567" w:hanging="283"/>
        <w:rPr>
          <w:rFonts w:ascii="Georgia" w:hAnsi="Georgia"/>
          <w:sz w:val="20"/>
          <w:szCs w:val="20"/>
        </w:rPr>
      </w:pPr>
      <w:r w:rsidRPr="00115795">
        <w:rPr>
          <w:rFonts w:ascii="Georgia" w:hAnsi="Georgia"/>
          <w:sz w:val="20"/>
          <w:szCs w:val="20"/>
        </w:rPr>
        <w:t xml:space="preserve">Communication or social networking companies could also use M&amp;A to acquire an insurance vehicle and combine it with their high levels of customer insight and trust. </w:t>
      </w:r>
    </w:p>
    <w:p w:rsidR="00115795" w:rsidRPr="00115795" w:rsidRDefault="00115795" w:rsidP="00115795">
      <w:pPr>
        <w:rPr>
          <w:szCs w:val="20"/>
        </w:rPr>
      </w:pPr>
    </w:p>
    <w:p w:rsidR="00115795" w:rsidRPr="00115795" w:rsidRDefault="00F30B4A" w:rsidP="00115795">
      <w:pPr>
        <w:rPr>
          <w:b/>
          <w:i/>
          <w:szCs w:val="20"/>
        </w:rPr>
      </w:pPr>
      <w:r>
        <w:rPr>
          <w:b/>
          <w:i/>
          <w:szCs w:val="20"/>
        </w:rPr>
        <w:t>P</w:t>
      </w:r>
      <w:r w:rsidR="00115795" w:rsidRPr="00115795">
        <w:rPr>
          <w:b/>
          <w:i/>
          <w:szCs w:val="20"/>
        </w:rPr>
        <w:t>olitical risks for insurance M&amp;A include:</w:t>
      </w:r>
    </w:p>
    <w:p w:rsidR="00115795" w:rsidRPr="00115795" w:rsidRDefault="00115795" w:rsidP="00115795">
      <w:pPr>
        <w:pStyle w:val="ListParagraph"/>
        <w:numPr>
          <w:ilvl w:val="0"/>
          <w:numId w:val="33"/>
        </w:numPr>
        <w:spacing w:after="0" w:line="276" w:lineRule="auto"/>
        <w:ind w:left="567" w:hanging="283"/>
        <w:rPr>
          <w:rFonts w:ascii="Georgia" w:hAnsi="Georgia"/>
          <w:sz w:val="20"/>
          <w:szCs w:val="20"/>
        </w:rPr>
      </w:pPr>
      <w:r w:rsidRPr="00115795">
        <w:rPr>
          <w:rFonts w:ascii="Georgia" w:hAnsi="Georgia"/>
          <w:sz w:val="20"/>
          <w:szCs w:val="20"/>
        </w:rPr>
        <w:t>The sale or break up of nationalised insurers</w:t>
      </w:r>
    </w:p>
    <w:p w:rsidR="00115795" w:rsidRPr="00115795" w:rsidRDefault="00115795" w:rsidP="00115795">
      <w:pPr>
        <w:pStyle w:val="ListParagraph"/>
        <w:numPr>
          <w:ilvl w:val="0"/>
          <w:numId w:val="33"/>
        </w:numPr>
        <w:spacing w:after="0" w:line="276" w:lineRule="auto"/>
        <w:ind w:left="567" w:hanging="283"/>
        <w:rPr>
          <w:rFonts w:ascii="Georgia" w:hAnsi="Georgia"/>
          <w:sz w:val="20"/>
          <w:szCs w:val="20"/>
        </w:rPr>
      </w:pPr>
      <w:r w:rsidRPr="00115795">
        <w:rPr>
          <w:rFonts w:ascii="Georgia" w:hAnsi="Georgia"/>
          <w:sz w:val="20"/>
          <w:szCs w:val="20"/>
        </w:rPr>
        <w:t>Intervention in systemically important insurers</w:t>
      </w:r>
    </w:p>
    <w:p w:rsidR="00115795" w:rsidRPr="00115795" w:rsidRDefault="00115795" w:rsidP="00115795">
      <w:pPr>
        <w:pStyle w:val="ListParagraph"/>
        <w:numPr>
          <w:ilvl w:val="0"/>
          <w:numId w:val="33"/>
        </w:numPr>
        <w:spacing w:after="0" w:line="276" w:lineRule="auto"/>
        <w:ind w:left="567" w:hanging="283"/>
        <w:rPr>
          <w:rFonts w:ascii="Georgia" w:hAnsi="Georgia"/>
          <w:sz w:val="20"/>
          <w:szCs w:val="20"/>
        </w:rPr>
      </w:pPr>
      <w:r w:rsidRPr="00115795">
        <w:rPr>
          <w:rFonts w:ascii="Georgia" w:hAnsi="Georgia"/>
          <w:sz w:val="20"/>
          <w:szCs w:val="20"/>
        </w:rPr>
        <w:t>Restrictions on the sale of insurance assets or greater protectionism</w:t>
      </w:r>
    </w:p>
    <w:p w:rsidR="00115795" w:rsidRPr="00115795" w:rsidRDefault="00115795" w:rsidP="00115795">
      <w:pPr>
        <w:rPr>
          <w:szCs w:val="20"/>
        </w:rPr>
      </w:pPr>
    </w:p>
    <w:p w:rsidR="00115795" w:rsidRPr="00115795" w:rsidRDefault="00115795" w:rsidP="00115795">
      <w:pPr>
        <w:rPr>
          <w:b/>
          <w:i/>
          <w:szCs w:val="20"/>
        </w:rPr>
      </w:pPr>
      <w:r w:rsidRPr="00115795">
        <w:rPr>
          <w:b/>
          <w:i/>
          <w:szCs w:val="20"/>
        </w:rPr>
        <w:t>Economics and regulation continue to mould the market…</w:t>
      </w:r>
    </w:p>
    <w:p w:rsidR="00115795" w:rsidRPr="00115795" w:rsidRDefault="00115795" w:rsidP="00115795">
      <w:pPr>
        <w:pStyle w:val="ListParagraph"/>
        <w:numPr>
          <w:ilvl w:val="0"/>
          <w:numId w:val="35"/>
        </w:numPr>
        <w:spacing w:after="0" w:line="276" w:lineRule="auto"/>
        <w:ind w:left="567" w:hanging="283"/>
        <w:rPr>
          <w:rFonts w:ascii="Georgia" w:hAnsi="Georgia"/>
          <w:sz w:val="20"/>
          <w:szCs w:val="20"/>
        </w:rPr>
      </w:pPr>
      <w:r w:rsidRPr="00115795">
        <w:rPr>
          <w:rFonts w:ascii="Georgia" w:hAnsi="Georgia"/>
          <w:sz w:val="20"/>
          <w:szCs w:val="20"/>
        </w:rPr>
        <w:t xml:space="preserve">Economic </w:t>
      </w:r>
      <w:r w:rsidR="00673B8E">
        <w:rPr>
          <w:rFonts w:ascii="Georgia" w:hAnsi="Georgia"/>
          <w:sz w:val="20"/>
          <w:szCs w:val="20"/>
        </w:rPr>
        <w:t>concerns</w:t>
      </w:r>
      <w:r w:rsidRPr="00115795">
        <w:rPr>
          <w:rFonts w:ascii="Georgia" w:hAnsi="Georgia"/>
          <w:sz w:val="20"/>
          <w:szCs w:val="20"/>
        </w:rPr>
        <w:t xml:space="preserve"> include the shift of power away from developed economies, the threat of renewed uncertainty in Europe and the chance of market volatility creating deal opportunities. </w:t>
      </w:r>
    </w:p>
    <w:p w:rsidR="00115795" w:rsidRPr="00115795" w:rsidRDefault="00115795" w:rsidP="00115795">
      <w:pPr>
        <w:pStyle w:val="ListParagraph"/>
        <w:numPr>
          <w:ilvl w:val="0"/>
          <w:numId w:val="35"/>
        </w:numPr>
        <w:spacing w:after="0" w:line="276" w:lineRule="auto"/>
        <w:ind w:left="567" w:hanging="283"/>
        <w:rPr>
          <w:rFonts w:ascii="Georgia" w:hAnsi="Georgia"/>
          <w:sz w:val="20"/>
          <w:szCs w:val="20"/>
        </w:rPr>
      </w:pPr>
      <w:r w:rsidRPr="00115795">
        <w:rPr>
          <w:rFonts w:ascii="Georgia" w:hAnsi="Georgia"/>
          <w:sz w:val="20"/>
          <w:szCs w:val="20"/>
        </w:rPr>
        <w:t>Regulatory trends include gradual harmonisation – seen in the IAIS’ anticipated adoption of Solvency II – but also disruption, illustrated by changes to Solvency II or the identification of global systemically important insurers.</w:t>
      </w:r>
    </w:p>
    <w:p w:rsidR="00115795" w:rsidRPr="00115795" w:rsidRDefault="00115795" w:rsidP="00115795">
      <w:pPr>
        <w:rPr>
          <w:szCs w:val="20"/>
        </w:rPr>
      </w:pPr>
    </w:p>
    <w:p w:rsidR="00115795" w:rsidRPr="00115795" w:rsidRDefault="00115795" w:rsidP="00115795">
      <w:pPr>
        <w:rPr>
          <w:b/>
          <w:i/>
          <w:szCs w:val="20"/>
        </w:rPr>
      </w:pPr>
      <w:r w:rsidRPr="00115795">
        <w:rPr>
          <w:b/>
          <w:i/>
          <w:szCs w:val="20"/>
        </w:rPr>
        <w:t>Smarter pricing could reduce insurers’ combined ratios by 2-3%...</w:t>
      </w:r>
    </w:p>
    <w:p w:rsidR="00115795" w:rsidRPr="00115795" w:rsidRDefault="00115795" w:rsidP="00115795">
      <w:pPr>
        <w:pStyle w:val="ListParagraph"/>
        <w:numPr>
          <w:ilvl w:val="0"/>
          <w:numId w:val="35"/>
        </w:numPr>
        <w:spacing w:after="0" w:line="276" w:lineRule="auto"/>
        <w:rPr>
          <w:rFonts w:ascii="Georgia" w:hAnsi="Georgia"/>
          <w:sz w:val="20"/>
          <w:szCs w:val="20"/>
        </w:rPr>
      </w:pPr>
      <w:r w:rsidRPr="00115795">
        <w:rPr>
          <w:rFonts w:ascii="Georgia" w:hAnsi="Georgia"/>
          <w:sz w:val="20"/>
          <w:szCs w:val="20"/>
        </w:rPr>
        <w:t xml:space="preserve">General insurers that have already achieved economies of scale are increasingly turning to smarter pricing to improve their profitability. European insurers could slice 2-3% off their combined ratios by emulating pricing best practice from markets such as the USA or Australia. </w:t>
      </w:r>
    </w:p>
    <w:p w:rsidR="00115795" w:rsidRPr="00115795" w:rsidRDefault="00115795" w:rsidP="00115795">
      <w:pPr>
        <w:pStyle w:val="ListParagraph"/>
        <w:numPr>
          <w:ilvl w:val="0"/>
          <w:numId w:val="35"/>
        </w:numPr>
        <w:spacing w:after="0" w:line="276" w:lineRule="auto"/>
        <w:rPr>
          <w:rFonts w:ascii="Georgia" w:hAnsi="Georgia"/>
          <w:sz w:val="20"/>
          <w:szCs w:val="20"/>
        </w:rPr>
      </w:pPr>
      <w:r w:rsidRPr="00115795">
        <w:rPr>
          <w:rFonts w:ascii="Georgia" w:hAnsi="Georgia"/>
          <w:sz w:val="20"/>
          <w:szCs w:val="20"/>
        </w:rPr>
        <w:t>Over the next few years the ability to price individuals rather than groups of customers will become an increasingly important driver of M&amp;A.</w:t>
      </w:r>
    </w:p>
    <w:p w:rsidR="00115795" w:rsidRPr="00115795" w:rsidRDefault="00115795" w:rsidP="00115795">
      <w:pPr>
        <w:rPr>
          <w:szCs w:val="20"/>
        </w:rPr>
      </w:pPr>
    </w:p>
    <w:p w:rsidR="00115795" w:rsidRPr="00115795" w:rsidRDefault="00115795" w:rsidP="00115795">
      <w:pPr>
        <w:rPr>
          <w:b/>
          <w:i/>
          <w:szCs w:val="20"/>
        </w:rPr>
      </w:pPr>
      <w:r w:rsidRPr="00115795">
        <w:rPr>
          <w:b/>
          <w:i/>
          <w:szCs w:val="20"/>
        </w:rPr>
        <w:t>General Insurance</w:t>
      </w:r>
    </w:p>
    <w:p w:rsidR="00115795" w:rsidRPr="00115795" w:rsidRDefault="00115795" w:rsidP="00115795">
      <w:pPr>
        <w:pStyle w:val="ListParagraph"/>
        <w:numPr>
          <w:ilvl w:val="0"/>
          <w:numId w:val="36"/>
        </w:numPr>
        <w:spacing w:after="0" w:line="276" w:lineRule="auto"/>
        <w:ind w:left="567" w:hanging="283"/>
        <w:rPr>
          <w:rFonts w:ascii="Georgia" w:hAnsi="Georgia"/>
          <w:sz w:val="20"/>
          <w:szCs w:val="20"/>
        </w:rPr>
      </w:pPr>
      <w:r w:rsidRPr="00115795">
        <w:rPr>
          <w:rFonts w:ascii="Georgia" w:hAnsi="Georgia"/>
          <w:sz w:val="20"/>
          <w:szCs w:val="20"/>
        </w:rPr>
        <w:t xml:space="preserve">Premium growth in developed markets is slowly recovering from 2010’s low, but remains restricted by slow economic growth. </w:t>
      </w:r>
    </w:p>
    <w:p w:rsidR="00115795" w:rsidRPr="00115795" w:rsidRDefault="00115795" w:rsidP="00115795">
      <w:pPr>
        <w:pStyle w:val="ListParagraph"/>
        <w:numPr>
          <w:ilvl w:val="0"/>
          <w:numId w:val="36"/>
        </w:numPr>
        <w:spacing w:after="0" w:line="276" w:lineRule="auto"/>
        <w:ind w:left="567" w:hanging="283"/>
        <w:rPr>
          <w:rFonts w:ascii="Georgia" w:hAnsi="Georgia"/>
          <w:sz w:val="20"/>
          <w:szCs w:val="20"/>
        </w:rPr>
      </w:pPr>
      <w:r w:rsidRPr="00115795">
        <w:rPr>
          <w:rFonts w:ascii="Georgia" w:hAnsi="Georgia"/>
          <w:sz w:val="20"/>
          <w:szCs w:val="20"/>
        </w:rPr>
        <w:t xml:space="preserve">Aggressive competition, higher claims and weak investment yields are putting profitability under pressure. </w:t>
      </w:r>
    </w:p>
    <w:p w:rsidR="00115795" w:rsidRPr="00115795" w:rsidRDefault="00115795" w:rsidP="00115795">
      <w:pPr>
        <w:pStyle w:val="ListParagraph"/>
        <w:numPr>
          <w:ilvl w:val="0"/>
          <w:numId w:val="36"/>
        </w:numPr>
        <w:spacing w:after="0" w:line="276" w:lineRule="auto"/>
        <w:ind w:left="567" w:hanging="283"/>
        <w:rPr>
          <w:rFonts w:ascii="Georgia" w:hAnsi="Georgia"/>
          <w:sz w:val="20"/>
          <w:szCs w:val="20"/>
        </w:rPr>
      </w:pPr>
      <w:r w:rsidRPr="00115795">
        <w:rPr>
          <w:rFonts w:ascii="Georgia" w:hAnsi="Georgia"/>
          <w:sz w:val="20"/>
          <w:szCs w:val="20"/>
        </w:rPr>
        <w:t xml:space="preserve">Growth is much stronger in developing regions, but even here, many insurers’ combined ratios are climbing. </w:t>
      </w:r>
    </w:p>
    <w:p w:rsidR="00115795" w:rsidRPr="00115795" w:rsidRDefault="00115795" w:rsidP="00115795">
      <w:pPr>
        <w:pStyle w:val="ListParagraph"/>
        <w:numPr>
          <w:ilvl w:val="0"/>
          <w:numId w:val="36"/>
        </w:numPr>
        <w:spacing w:after="0" w:line="276" w:lineRule="auto"/>
        <w:ind w:left="567" w:hanging="283"/>
        <w:rPr>
          <w:rFonts w:ascii="Georgia" w:hAnsi="Georgia"/>
          <w:sz w:val="20"/>
          <w:szCs w:val="20"/>
        </w:rPr>
      </w:pPr>
      <w:r w:rsidRPr="00115795">
        <w:rPr>
          <w:rFonts w:ascii="Georgia" w:hAnsi="Georgia"/>
          <w:sz w:val="20"/>
          <w:szCs w:val="20"/>
        </w:rPr>
        <w:t xml:space="preserve">The search for greater scale remains a crucial strategic response to these challenges, and the drive for domestic consolidation will continue to shape global insurance M&amp;A. </w:t>
      </w:r>
    </w:p>
    <w:p w:rsidR="00115795" w:rsidRPr="00115795" w:rsidRDefault="00115795" w:rsidP="00115795">
      <w:pPr>
        <w:rPr>
          <w:szCs w:val="20"/>
        </w:rPr>
      </w:pPr>
    </w:p>
    <w:p w:rsidR="00115795" w:rsidRPr="00673B8E" w:rsidRDefault="00115795" w:rsidP="00673B8E">
      <w:pPr>
        <w:rPr>
          <w:b/>
          <w:i/>
          <w:szCs w:val="20"/>
        </w:rPr>
      </w:pPr>
      <w:r w:rsidRPr="00673B8E">
        <w:rPr>
          <w:b/>
          <w:i/>
          <w:szCs w:val="20"/>
        </w:rPr>
        <w:t>Asian and Latin American firms top of insurers’ acquisition wish list…</w:t>
      </w:r>
    </w:p>
    <w:p w:rsidR="00673B8E" w:rsidRPr="00673B8E" w:rsidRDefault="00115795" w:rsidP="00673B8E">
      <w:pPr>
        <w:pStyle w:val="ListParagraph"/>
        <w:numPr>
          <w:ilvl w:val="0"/>
          <w:numId w:val="37"/>
        </w:numPr>
        <w:spacing w:after="0"/>
        <w:ind w:left="567" w:hanging="283"/>
        <w:rPr>
          <w:rFonts w:ascii="Georgia" w:hAnsi="Georgia"/>
          <w:sz w:val="20"/>
          <w:szCs w:val="20"/>
        </w:rPr>
      </w:pPr>
      <w:r w:rsidRPr="00673B8E">
        <w:rPr>
          <w:rFonts w:ascii="Georgia" w:hAnsi="Georgia"/>
          <w:sz w:val="20"/>
          <w:szCs w:val="20"/>
        </w:rPr>
        <w:t xml:space="preserve">Insurers with capital to spare will continue to </w:t>
      </w:r>
      <w:r w:rsidR="001B1E8B" w:rsidRPr="00673B8E">
        <w:rPr>
          <w:rFonts w:ascii="Georgia" w:hAnsi="Georgia"/>
          <w:sz w:val="20"/>
          <w:szCs w:val="20"/>
        </w:rPr>
        <w:t>target Asia and Latin America and g</w:t>
      </w:r>
      <w:r w:rsidRPr="00673B8E">
        <w:rPr>
          <w:rFonts w:ascii="Georgia" w:hAnsi="Georgia"/>
          <w:sz w:val="20"/>
          <w:szCs w:val="20"/>
        </w:rPr>
        <w:t xml:space="preserve">eneral insurers that can afford to do so will continue use M&amp;A to acquire new customers. </w:t>
      </w:r>
    </w:p>
    <w:p w:rsidR="00115795" w:rsidRPr="00673B8E" w:rsidRDefault="00673B8E" w:rsidP="00673B8E">
      <w:pPr>
        <w:pStyle w:val="ListParagraph"/>
        <w:numPr>
          <w:ilvl w:val="0"/>
          <w:numId w:val="37"/>
        </w:numPr>
        <w:spacing w:after="0"/>
        <w:ind w:left="567" w:hanging="283"/>
        <w:rPr>
          <w:rFonts w:ascii="Georgia" w:hAnsi="Georgia"/>
          <w:sz w:val="20"/>
          <w:szCs w:val="20"/>
        </w:rPr>
      </w:pPr>
      <w:r w:rsidRPr="00673B8E">
        <w:rPr>
          <w:rFonts w:ascii="Georgia" w:hAnsi="Georgia"/>
          <w:sz w:val="20"/>
          <w:szCs w:val="20"/>
        </w:rPr>
        <w:t>Better</w:t>
      </w:r>
      <w:r w:rsidR="00115795" w:rsidRPr="00673B8E">
        <w:rPr>
          <w:rFonts w:ascii="Georgia" w:hAnsi="Georgia"/>
          <w:sz w:val="20"/>
          <w:szCs w:val="20"/>
        </w:rPr>
        <w:t xml:space="preserve"> capitalised firms in Europe and North America will continue to follow established routes into emerging markets in Asia-Pacific or Latin America. In some cases, they will take advantage of their peers’ withdrawals from the same markets. </w:t>
      </w:r>
    </w:p>
    <w:p w:rsidR="001B1E8B" w:rsidRPr="00673B8E" w:rsidRDefault="001B1E8B" w:rsidP="00673B8E">
      <w:pPr>
        <w:rPr>
          <w:szCs w:val="20"/>
        </w:rPr>
      </w:pPr>
    </w:p>
    <w:p w:rsidR="00CE7CD0" w:rsidRDefault="00CE7CD0">
      <w:pPr>
        <w:spacing w:line="240" w:lineRule="auto"/>
        <w:rPr>
          <w:b/>
          <w:i/>
          <w:szCs w:val="20"/>
        </w:rPr>
      </w:pPr>
      <w:r>
        <w:rPr>
          <w:b/>
          <w:i/>
          <w:szCs w:val="20"/>
        </w:rPr>
        <w:br w:type="page"/>
      </w:r>
    </w:p>
    <w:p w:rsidR="00115795" w:rsidRPr="00673B8E" w:rsidRDefault="00115795" w:rsidP="00673B8E">
      <w:pPr>
        <w:rPr>
          <w:b/>
          <w:i/>
          <w:szCs w:val="20"/>
        </w:rPr>
      </w:pPr>
      <w:r w:rsidRPr="00673B8E">
        <w:rPr>
          <w:b/>
          <w:i/>
          <w:szCs w:val="20"/>
        </w:rPr>
        <w:lastRenderedPageBreak/>
        <w:t>Life Insurance</w:t>
      </w:r>
    </w:p>
    <w:p w:rsidR="00115795" w:rsidRPr="00115795" w:rsidRDefault="00115795" w:rsidP="00115795">
      <w:pPr>
        <w:pStyle w:val="ListParagraph"/>
        <w:numPr>
          <w:ilvl w:val="0"/>
          <w:numId w:val="32"/>
        </w:numPr>
        <w:spacing w:after="0" w:line="276" w:lineRule="auto"/>
        <w:ind w:left="567" w:hanging="283"/>
        <w:rPr>
          <w:rFonts w:ascii="Georgia" w:hAnsi="Georgia"/>
          <w:sz w:val="20"/>
          <w:szCs w:val="20"/>
        </w:rPr>
      </w:pPr>
      <w:r w:rsidRPr="00115795">
        <w:rPr>
          <w:rFonts w:ascii="Georgia" w:hAnsi="Georgia"/>
          <w:sz w:val="20"/>
          <w:szCs w:val="20"/>
        </w:rPr>
        <w:t>Premiums in many mature markets are expected to return to modest growth from 2013, but low yields are squeezing profitability.</w:t>
      </w:r>
    </w:p>
    <w:p w:rsidR="00115795" w:rsidRPr="00115795" w:rsidRDefault="00115795" w:rsidP="00115795">
      <w:pPr>
        <w:pStyle w:val="ListParagraph"/>
        <w:numPr>
          <w:ilvl w:val="0"/>
          <w:numId w:val="32"/>
        </w:numPr>
        <w:spacing w:after="0" w:line="276" w:lineRule="auto"/>
        <w:ind w:left="567" w:hanging="283"/>
        <w:rPr>
          <w:rFonts w:ascii="Georgia" w:hAnsi="Georgia"/>
          <w:sz w:val="20"/>
          <w:szCs w:val="20"/>
        </w:rPr>
      </w:pPr>
      <w:r w:rsidRPr="00115795">
        <w:rPr>
          <w:rFonts w:ascii="Georgia" w:hAnsi="Georgia"/>
          <w:sz w:val="20"/>
          <w:szCs w:val="20"/>
        </w:rPr>
        <w:t>Capital is also under pressure from progressively tougher solvency requirements.</w:t>
      </w:r>
    </w:p>
    <w:p w:rsidR="00115795" w:rsidRPr="00115795" w:rsidRDefault="00115795" w:rsidP="00115795">
      <w:pPr>
        <w:pStyle w:val="ListParagraph"/>
        <w:numPr>
          <w:ilvl w:val="0"/>
          <w:numId w:val="32"/>
        </w:numPr>
        <w:spacing w:after="0" w:line="276" w:lineRule="auto"/>
        <w:ind w:left="567" w:hanging="283"/>
        <w:rPr>
          <w:rFonts w:ascii="Georgia" w:hAnsi="Georgia"/>
          <w:sz w:val="20"/>
          <w:szCs w:val="20"/>
        </w:rPr>
      </w:pPr>
      <w:r w:rsidRPr="00115795">
        <w:rPr>
          <w:rFonts w:ascii="Georgia" w:hAnsi="Georgia"/>
          <w:sz w:val="20"/>
          <w:szCs w:val="20"/>
        </w:rPr>
        <w:t>But, the picture in emerging markets is much more positive. Premium growth remains strong, and should improve further in Asia-Pacific following a period of regulatory upheaval in China and India.</w:t>
      </w:r>
    </w:p>
    <w:p w:rsidR="00115795" w:rsidRPr="00115795" w:rsidRDefault="00115795" w:rsidP="00115795">
      <w:pPr>
        <w:rPr>
          <w:szCs w:val="20"/>
        </w:rPr>
      </w:pPr>
    </w:p>
    <w:p w:rsidR="00115795" w:rsidRPr="00115795" w:rsidRDefault="00115795" w:rsidP="00115795">
      <w:pPr>
        <w:rPr>
          <w:szCs w:val="20"/>
        </w:rPr>
      </w:pPr>
      <w:r w:rsidRPr="00115795">
        <w:rPr>
          <w:szCs w:val="20"/>
        </w:rPr>
        <w:t>Global insurance M&amp;A will continue to generate a steady flow of midmarket transactions, punctuated by the occasional large-cap deal. Over time, M&amp;A will see insurers sort themselves into three groups: Large international insurers with deep technical and financial resources; local and regional firms with distribution-led strategies; and niche players specialising in particular products or customers.</w:t>
      </w:r>
    </w:p>
    <w:p w:rsidR="00115795" w:rsidRPr="00115795" w:rsidRDefault="00115795" w:rsidP="00115795">
      <w:pPr>
        <w:rPr>
          <w:szCs w:val="20"/>
        </w:rPr>
      </w:pPr>
    </w:p>
    <w:p w:rsidR="001124D2" w:rsidRPr="00115795" w:rsidRDefault="001124D2" w:rsidP="001124D2">
      <w:pPr>
        <w:pStyle w:val="BodyText"/>
        <w:spacing w:after="0"/>
        <w:rPr>
          <w:szCs w:val="20"/>
        </w:rPr>
      </w:pPr>
    </w:p>
    <w:p w:rsidR="00E57577" w:rsidRPr="008050B0" w:rsidRDefault="00E57577">
      <w:pPr>
        <w:tabs>
          <w:tab w:val="left" w:pos="2043"/>
        </w:tabs>
        <w:autoSpaceDE w:val="0"/>
        <w:autoSpaceDN w:val="0"/>
        <w:adjustRightInd w:val="0"/>
        <w:spacing w:line="240" w:lineRule="auto"/>
        <w:rPr>
          <w:b/>
          <w:sz w:val="22"/>
          <w:lang w:val="en-US"/>
        </w:rPr>
      </w:pPr>
    </w:p>
    <w:p w:rsidR="00E57577" w:rsidRPr="008050B0" w:rsidRDefault="00E57577">
      <w:pPr>
        <w:tabs>
          <w:tab w:val="left" w:pos="2043"/>
        </w:tabs>
        <w:autoSpaceDE w:val="0"/>
        <w:autoSpaceDN w:val="0"/>
        <w:adjustRightInd w:val="0"/>
        <w:spacing w:line="240" w:lineRule="auto"/>
        <w:rPr>
          <w:b/>
          <w:sz w:val="22"/>
          <w:lang w:val="en-US"/>
        </w:rPr>
      </w:pPr>
    </w:p>
    <w:p w:rsidR="00D84101" w:rsidRPr="00500A8E" w:rsidRDefault="00D84101" w:rsidP="00D84101">
      <w:pPr>
        <w:pStyle w:val="BodyText"/>
        <w:spacing w:after="0"/>
        <w:rPr>
          <w:b/>
        </w:rPr>
      </w:pPr>
      <w:r w:rsidRPr="00500A8E">
        <w:rPr>
          <w:b/>
        </w:rPr>
        <w:t>About PwC</w:t>
      </w:r>
    </w:p>
    <w:p w:rsidR="00D84101" w:rsidRDefault="00D84101" w:rsidP="00D84101">
      <w:pPr>
        <w:pStyle w:val="BodyText"/>
        <w:spacing w:after="0"/>
      </w:pPr>
      <w: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D84101" w:rsidRDefault="00D84101" w:rsidP="00D84101">
      <w:pPr>
        <w:pStyle w:val="BodyText"/>
        <w:spacing w:after="0"/>
      </w:pPr>
    </w:p>
    <w:p w:rsidR="00D84101" w:rsidRDefault="00D84101" w:rsidP="00D84101">
      <w:pPr>
        <w:pStyle w:val="BodyText"/>
        <w:spacing w:after="0"/>
      </w:pPr>
      <w:r>
        <w:t>© 2013 PwC. All rights reserved</w:t>
      </w:r>
    </w:p>
    <w:p w:rsidR="00D84101" w:rsidRDefault="00D84101" w:rsidP="00D84101">
      <w:pPr>
        <w:pStyle w:val="BodyText"/>
        <w:spacing w:after="0"/>
      </w:pPr>
    </w:p>
    <w:p w:rsidR="00D84101" w:rsidRDefault="00D84101" w:rsidP="00D84101">
      <w:pPr>
        <w:pStyle w:val="BodyText"/>
        <w:spacing w:after="0"/>
      </w:pPr>
      <w:r>
        <w:t>PwC refers to the PwC network and/or one or more of its member firms, each of which is a separate legal entity. Please see www.pwc.com/structure for further details.</w:t>
      </w:r>
    </w:p>
    <w:p w:rsidR="00E57577" w:rsidRPr="008050B0" w:rsidRDefault="00E57577">
      <w:pPr>
        <w:spacing w:line="240" w:lineRule="auto"/>
        <w:rPr>
          <w:rFonts w:cs="Arial"/>
          <w:bCs/>
          <w:sz w:val="22"/>
        </w:rPr>
      </w:pPr>
    </w:p>
    <w:sectPr w:rsidR="00E57577" w:rsidRPr="008050B0" w:rsidSect="00E57577">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49" w:rsidRDefault="001D1249">
      <w:pPr>
        <w:spacing w:line="240" w:lineRule="auto"/>
      </w:pPr>
      <w:r>
        <w:separator/>
      </w:r>
    </w:p>
  </w:endnote>
  <w:endnote w:type="continuationSeparator" w:id="0">
    <w:p w:rsidR="001D1249" w:rsidRDefault="001D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D8079D">
    <w:pPr>
      <w:pStyle w:val="Footer"/>
    </w:pPr>
    <w:r>
      <w:fldChar w:fldCharType="begin"/>
    </w:r>
    <w:r>
      <w:instrText xml:space="preserve"> PAGE  \* MERGEFORMAT </w:instrText>
    </w:r>
    <w:r>
      <w:fldChar w:fldCharType="separate"/>
    </w:r>
    <w:r w:rsidR="00CE7CD0">
      <w:rPr>
        <w:noProof/>
      </w:rPr>
      <w:t>2</w:t>
    </w:r>
    <w:r>
      <w:rPr>
        <w:noProof/>
      </w:rPr>
      <w:fldChar w:fldCharType="end"/>
    </w:r>
    <w:r w:rsidR="003675C4">
      <w:t xml:space="preserve"> of </w:t>
    </w:r>
    <w:r w:rsidR="001D1249">
      <w:fldChar w:fldCharType="begin"/>
    </w:r>
    <w:r w:rsidR="001D1249">
      <w:instrText xml:space="preserve"> NUMPAGES  \* MERGEFORMAT </w:instrText>
    </w:r>
    <w:r w:rsidR="001D1249">
      <w:fldChar w:fldCharType="separate"/>
    </w:r>
    <w:r w:rsidR="00CE7CD0">
      <w:rPr>
        <w:noProof/>
      </w:rPr>
      <w:t>3</w:t>
    </w:r>
    <w:r w:rsidR="001D12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D8079D">
    <w:pPr>
      <w:pStyle w:val="Footer"/>
    </w:pPr>
    <w:r>
      <w:fldChar w:fldCharType="begin"/>
    </w:r>
    <w:r>
      <w:instrText xml:space="preserve"> PAGE  \* MERGEFORMAT </w:instrText>
    </w:r>
    <w:r>
      <w:fldChar w:fldCharType="separate"/>
    </w:r>
    <w:r w:rsidR="00CE7CD0">
      <w:rPr>
        <w:noProof/>
      </w:rPr>
      <w:t>3</w:t>
    </w:r>
    <w:r>
      <w:rPr>
        <w:noProof/>
      </w:rPr>
      <w:fldChar w:fldCharType="end"/>
    </w:r>
    <w:r w:rsidR="003675C4">
      <w:t xml:space="preserve"> of </w:t>
    </w:r>
    <w:r w:rsidR="001D1249">
      <w:fldChar w:fldCharType="begin"/>
    </w:r>
    <w:r w:rsidR="001D1249">
      <w:instrText xml:space="preserve"> NUMPAGES  \* MERGEFORMAT </w:instrText>
    </w:r>
    <w:r w:rsidR="001D1249">
      <w:fldChar w:fldCharType="separate"/>
    </w:r>
    <w:r w:rsidR="00CE7CD0">
      <w:rPr>
        <w:noProof/>
      </w:rPr>
      <w:t>3</w:t>
    </w:r>
    <w:r w:rsidR="001D124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Address"/>
    </w:pPr>
    <w:bookmarkStart w:id="1" w:name="FirstPageFooter"/>
    <w:bookmarkEnd w:id="1"/>
    <w:r>
      <w:t>PricewaterhouseCoopers LLP, 1 Embankment Place. London, WC2N 6RH</w:t>
    </w:r>
  </w:p>
  <w:p w:rsidR="00E57577" w:rsidRDefault="003675C4">
    <w:pPr>
      <w:pStyle w:val="Address"/>
    </w:pPr>
    <w:r>
      <w:t>T: +44 (0)207 213 1768, www.ukmediacentre.pwc.com</w:t>
    </w:r>
  </w:p>
  <w:p w:rsidR="00E57577" w:rsidRDefault="00E5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49" w:rsidRDefault="001D1249">
      <w:pPr>
        <w:spacing w:line="240" w:lineRule="auto"/>
      </w:pPr>
      <w:r>
        <w:separator/>
      </w:r>
    </w:p>
  </w:footnote>
  <w:footnote w:type="continuationSeparator" w:id="0">
    <w:p w:rsidR="001D1249" w:rsidRDefault="001D12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921BAA"/>
    <w:multiLevelType w:val="hybridMultilevel"/>
    <w:tmpl w:val="E78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E5A50"/>
    <w:multiLevelType w:val="hybridMultilevel"/>
    <w:tmpl w:val="A5B8FD4E"/>
    <w:lvl w:ilvl="0" w:tplc="B1FA45DE">
      <w:start w:val="1"/>
      <w:numFmt w:val="decimal"/>
      <w:lvlText w:val="%1."/>
      <w:lvlJc w:val="left"/>
      <w:pPr>
        <w:ind w:left="1080" w:hanging="360"/>
      </w:pPr>
      <w:rPr>
        <w:rFonts w:ascii="Georgia" w:hAnsi="Georg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E43B3F"/>
    <w:multiLevelType w:val="hybridMultilevel"/>
    <w:tmpl w:val="4E4A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606D70"/>
    <w:multiLevelType w:val="hybridMultilevel"/>
    <w:tmpl w:val="7A1E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25F83"/>
    <w:multiLevelType w:val="hybridMultilevel"/>
    <w:tmpl w:val="F5F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2A7A81"/>
    <w:multiLevelType w:val="hybridMultilevel"/>
    <w:tmpl w:val="D82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8D83D42"/>
    <w:multiLevelType w:val="hybridMultilevel"/>
    <w:tmpl w:val="AC2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B9576C"/>
    <w:multiLevelType w:val="hybridMultilevel"/>
    <w:tmpl w:val="1172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0102A"/>
    <w:multiLevelType w:val="hybridMultilevel"/>
    <w:tmpl w:val="8FB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6809FB"/>
    <w:multiLevelType w:val="hybridMultilevel"/>
    <w:tmpl w:val="5DB8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F6228D"/>
    <w:multiLevelType w:val="hybridMultilevel"/>
    <w:tmpl w:val="45D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1943DA"/>
    <w:multiLevelType w:val="hybridMultilevel"/>
    <w:tmpl w:val="A3B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2">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D3871"/>
    <w:multiLevelType w:val="hybridMultilevel"/>
    <w:tmpl w:val="EA0E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16"/>
  </w:num>
  <w:num w:numId="4">
    <w:abstractNumId w:val="35"/>
  </w:num>
  <w:num w:numId="5">
    <w:abstractNumId w:val="35"/>
    <w:lvlOverride w:ilvl="0">
      <w:startOverride w:val="1"/>
    </w:lvlOverride>
  </w:num>
  <w:num w:numId="6">
    <w:abstractNumId w:val="7"/>
  </w:num>
  <w:num w:numId="7">
    <w:abstractNumId w:val="22"/>
  </w:num>
  <w:num w:numId="8">
    <w:abstractNumId w:val="23"/>
  </w:num>
  <w:num w:numId="9">
    <w:abstractNumId w:val="20"/>
  </w:num>
  <w:num w:numId="10">
    <w:abstractNumId w:val="1"/>
  </w:num>
  <w:num w:numId="11">
    <w:abstractNumId w:val="5"/>
  </w:num>
  <w:num w:numId="12">
    <w:abstractNumId w:val="17"/>
  </w:num>
  <w:num w:numId="13">
    <w:abstractNumId w:val="12"/>
  </w:num>
  <w:num w:numId="14">
    <w:abstractNumId w:val="31"/>
  </w:num>
  <w:num w:numId="15">
    <w:abstractNumId w:val="28"/>
  </w:num>
  <w:num w:numId="16">
    <w:abstractNumId w:val="0"/>
    <w:lvlOverride w:ilvl="0">
      <w:lvl w:ilvl="0">
        <w:numFmt w:val="bullet"/>
        <w:lvlText w:val="•"/>
        <w:legacy w:legacy="1" w:legacySpace="0" w:legacyIndent="0"/>
        <w:lvlJc w:val="left"/>
        <w:rPr>
          <w:rFonts w:ascii="Helv" w:hAnsi="Helv" w:hint="default"/>
        </w:rPr>
      </w:lvl>
    </w:lvlOverride>
  </w:num>
  <w:num w:numId="17">
    <w:abstractNumId w:val="32"/>
  </w:num>
  <w:num w:numId="18">
    <w:abstractNumId w:val="30"/>
  </w:num>
  <w:num w:numId="19">
    <w:abstractNumId w:val="25"/>
  </w:num>
  <w:num w:numId="20">
    <w:abstractNumId w:val="19"/>
  </w:num>
  <w:num w:numId="21">
    <w:abstractNumId w:val="33"/>
  </w:num>
  <w:num w:numId="22">
    <w:abstractNumId w:val="29"/>
  </w:num>
  <w:num w:numId="23">
    <w:abstractNumId w:val="24"/>
  </w:num>
  <w:num w:numId="24">
    <w:abstractNumId w:val="13"/>
  </w:num>
  <w:num w:numId="25">
    <w:abstractNumId w:val="3"/>
  </w:num>
  <w:num w:numId="26">
    <w:abstractNumId w:val="14"/>
  </w:num>
  <w:num w:numId="27">
    <w:abstractNumId w:val="21"/>
  </w:num>
  <w:num w:numId="28">
    <w:abstractNumId w:val="34"/>
  </w:num>
  <w:num w:numId="29">
    <w:abstractNumId w:val="15"/>
  </w:num>
  <w:num w:numId="30">
    <w:abstractNumId w:val="9"/>
  </w:num>
  <w:num w:numId="31">
    <w:abstractNumId w:val="4"/>
  </w:num>
  <w:num w:numId="32">
    <w:abstractNumId w:val="27"/>
  </w:num>
  <w:num w:numId="33">
    <w:abstractNumId w:val="2"/>
  </w:num>
  <w:num w:numId="34">
    <w:abstractNumId w:val="11"/>
  </w:num>
  <w:num w:numId="35">
    <w:abstractNumId w:val="18"/>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7"/>
    <w:rsid w:val="00005735"/>
    <w:rsid w:val="000316B6"/>
    <w:rsid w:val="00047C52"/>
    <w:rsid w:val="000E6801"/>
    <w:rsid w:val="00102A91"/>
    <w:rsid w:val="001124D2"/>
    <w:rsid w:val="00115795"/>
    <w:rsid w:val="00171450"/>
    <w:rsid w:val="001A66CE"/>
    <w:rsid w:val="001B1E8B"/>
    <w:rsid w:val="001B68C5"/>
    <w:rsid w:val="001D1249"/>
    <w:rsid w:val="001F37F7"/>
    <w:rsid w:val="00205749"/>
    <w:rsid w:val="002908B7"/>
    <w:rsid w:val="002A74A4"/>
    <w:rsid w:val="003116AB"/>
    <w:rsid w:val="0032129A"/>
    <w:rsid w:val="003330AB"/>
    <w:rsid w:val="0034003F"/>
    <w:rsid w:val="003638F2"/>
    <w:rsid w:val="003675C4"/>
    <w:rsid w:val="00395ED7"/>
    <w:rsid w:val="003B35FE"/>
    <w:rsid w:val="003B3803"/>
    <w:rsid w:val="003B4C1A"/>
    <w:rsid w:val="00534A07"/>
    <w:rsid w:val="00552B20"/>
    <w:rsid w:val="00583732"/>
    <w:rsid w:val="00591557"/>
    <w:rsid w:val="006329F8"/>
    <w:rsid w:val="00673B8E"/>
    <w:rsid w:val="00674C96"/>
    <w:rsid w:val="006852A1"/>
    <w:rsid w:val="006B2364"/>
    <w:rsid w:val="006B4024"/>
    <w:rsid w:val="006E2848"/>
    <w:rsid w:val="007322F3"/>
    <w:rsid w:val="00740E89"/>
    <w:rsid w:val="00742C99"/>
    <w:rsid w:val="00747FD0"/>
    <w:rsid w:val="00765244"/>
    <w:rsid w:val="00767DAE"/>
    <w:rsid w:val="0077602D"/>
    <w:rsid w:val="007932C1"/>
    <w:rsid w:val="007B7FAA"/>
    <w:rsid w:val="007D49B5"/>
    <w:rsid w:val="008050B0"/>
    <w:rsid w:val="00851032"/>
    <w:rsid w:val="008667B0"/>
    <w:rsid w:val="0088477C"/>
    <w:rsid w:val="008C42F2"/>
    <w:rsid w:val="008E3495"/>
    <w:rsid w:val="00925AA4"/>
    <w:rsid w:val="009354AC"/>
    <w:rsid w:val="00A43268"/>
    <w:rsid w:val="00A71327"/>
    <w:rsid w:val="00A822EB"/>
    <w:rsid w:val="00AF2B72"/>
    <w:rsid w:val="00B23BCE"/>
    <w:rsid w:val="00B55E03"/>
    <w:rsid w:val="00B82BAA"/>
    <w:rsid w:val="00BF0AE3"/>
    <w:rsid w:val="00BF3481"/>
    <w:rsid w:val="00C03720"/>
    <w:rsid w:val="00C042C4"/>
    <w:rsid w:val="00C13AE9"/>
    <w:rsid w:val="00C878C9"/>
    <w:rsid w:val="00C96E18"/>
    <w:rsid w:val="00CC6AF9"/>
    <w:rsid w:val="00CD601C"/>
    <w:rsid w:val="00CE7CD0"/>
    <w:rsid w:val="00D7187F"/>
    <w:rsid w:val="00D8079D"/>
    <w:rsid w:val="00D84101"/>
    <w:rsid w:val="00DD27B2"/>
    <w:rsid w:val="00DE79EF"/>
    <w:rsid w:val="00E0299F"/>
    <w:rsid w:val="00E16352"/>
    <w:rsid w:val="00E30D24"/>
    <w:rsid w:val="00E53AB9"/>
    <w:rsid w:val="00E57577"/>
    <w:rsid w:val="00E87477"/>
    <w:rsid w:val="00F12948"/>
    <w:rsid w:val="00F30B4A"/>
    <w:rsid w:val="00F47CC3"/>
    <w:rsid w:val="00F8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7673-7A87-4AC2-BCD1-BBE426B0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6256</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2013-08-22T11:26:00Z</cp:lastPrinted>
  <dcterms:created xsi:type="dcterms:W3CDTF">2013-09-18T19:24:00Z</dcterms:created>
  <dcterms:modified xsi:type="dcterms:W3CDTF">2013-09-18T19:25:00Z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-105885332</vt:i4>
  </property>
</Properties>
</file>