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05" w:rsidRDefault="004A3A16">
      <w:pPr>
        <w:tabs>
          <w:tab w:val="center" w:pos="4536"/>
        </w:tabs>
      </w:pPr>
      <w:r>
        <w:rPr>
          <w:noProof/>
          <w:lang w:val="en-US"/>
        </w:rPr>
        <mc:AlternateContent>
          <mc:Choice Requires="wps">
            <w:drawing>
              <wp:anchor distT="0" distB="0" distL="114300" distR="114300" simplePos="0" relativeHeight="251656192"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8"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r w:rsidR="005A3A4F">
        <w:tab/>
      </w:r>
    </w:p>
    <w:p w:rsidR="00882F05" w:rsidRDefault="005A3A4F">
      <w:pPr>
        <w:pStyle w:val="Title"/>
        <w:rPr>
          <w:rFonts w:ascii="Georgia" w:hAnsi="Georgia"/>
        </w:rPr>
      </w:pPr>
      <w:r>
        <w:rPr>
          <w:rFonts w:ascii="Georgia" w:hAnsi="Georgia"/>
        </w:rPr>
        <w:t>News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4645"/>
      </w:tblGrid>
      <w:tr w:rsidR="00882F05">
        <w:tc>
          <w:tcPr>
            <w:tcW w:w="2268" w:type="dxa"/>
          </w:tcPr>
          <w:p w:rsidR="00882F05" w:rsidRDefault="005A3A4F">
            <w:pPr>
              <w:rPr>
                <w:i/>
              </w:rPr>
            </w:pPr>
            <w:r>
              <w:rPr>
                <w:i/>
              </w:rPr>
              <w:t>Date</w:t>
            </w:r>
          </w:p>
        </w:tc>
        <w:tc>
          <w:tcPr>
            <w:tcW w:w="4645" w:type="dxa"/>
          </w:tcPr>
          <w:p w:rsidR="00882F05" w:rsidRDefault="00E22101" w:rsidP="004A3A16">
            <w:r>
              <w:rPr>
                <w:color w:val="000000" w:themeColor="text1"/>
              </w:rPr>
              <w:t xml:space="preserve">Embargoed until </w:t>
            </w:r>
            <w:r w:rsidR="001A5D39">
              <w:rPr>
                <w:color w:val="000000" w:themeColor="text1"/>
              </w:rPr>
              <w:t>5</w:t>
            </w:r>
            <w:r w:rsidR="004A3A16">
              <w:rPr>
                <w:color w:val="000000" w:themeColor="text1"/>
              </w:rPr>
              <w:t xml:space="preserve"> September</w:t>
            </w:r>
            <w:r w:rsidR="0001692F">
              <w:rPr>
                <w:color w:val="000000" w:themeColor="text1"/>
              </w:rPr>
              <w:t xml:space="preserve"> </w:t>
            </w:r>
            <w:r w:rsidR="005A3A4F">
              <w:rPr>
                <w:color w:val="000000" w:themeColor="text1"/>
              </w:rPr>
              <w:t>201</w:t>
            </w:r>
            <w:r w:rsidR="00EF38C5">
              <w:rPr>
                <w:color w:val="000000" w:themeColor="text1"/>
              </w:rPr>
              <w:t>3</w:t>
            </w:r>
          </w:p>
        </w:tc>
      </w:tr>
      <w:tr w:rsidR="00882F05">
        <w:tc>
          <w:tcPr>
            <w:tcW w:w="2268" w:type="dxa"/>
          </w:tcPr>
          <w:p w:rsidR="00882F05" w:rsidRDefault="00882F05">
            <w:pPr>
              <w:rPr>
                <w:i/>
              </w:rPr>
            </w:pPr>
          </w:p>
          <w:p w:rsidR="00882F05" w:rsidRDefault="005A3A4F">
            <w:pPr>
              <w:rPr>
                <w:i/>
              </w:rPr>
            </w:pPr>
            <w:r>
              <w:rPr>
                <w:i/>
              </w:rPr>
              <w:t>Contact</w:t>
            </w:r>
          </w:p>
        </w:tc>
        <w:tc>
          <w:tcPr>
            <w:tcW w:w="4645" w:type="dxa"/>
          </w:tcPr>
          <w:p w:rsidR="00882F05" w:rsidRDefault="00882F05">
            <w:pPr>
              <w:tabs>
                <w:tab w:val="left" w:pos="1440"/>
              </w:tabs>
              <w:ind w:left="1440" w:hanging="1440"/>
              <w:rPr>
                <w:rFonts w:cs="Arial"/>
                <w:bCs/>
                <w:color w:val="000000"/>
                <w:lang w:val="it-IT"/>
              </w:rPr>
            </w:pPr>
          </w:p>
          <w:p w:rsidR="00882F05" w:rsidRDefault="005A3A4F">
            <w:pPr>
              <w:tabs>
                <w:tab w:val="left" w:pos="1440"/>
              </w:tabs>
              <w:ind w:left="1440" w:hanging="1440"/>
              <w:rPr>
                <w:rFonts w:cs="Arial"/>
                <w:color w:val="000000"/>
                <w:lang w:val="it-IT"/>
              </w:rPr>
            </w:pPr>
            <w:r>
              <w:rPr>
                <w:rFonts w:cs="Arial"/>
                <w:bCs/>
                <w:color w:val="000000"/>
                <w:lang w:val="it-IT"/>
              </w:rPr>
              <w:t>Gill Carson, Media Relations, PwC</w:t>
            </w:r>
          </w:p>
          <w:p w:rsidR="00882F05" w:rsidRDefault="005A3A4F">
            <w:pPr>
              <w:tabs>
                <w:tab w:val="left" w:pos="1440"/>
              </w:tabs>
              <w:ind w:left="1440" w:hanging="1440"/>
              <w:rPr>
                <w:rFonts w:cs="Arial"/>
                <w:color w:val="000000"/>
                <w:lang w:val="it-IT"/>
              </w:rPr>
            </w:pPr>
            <w:r>
              <w:rPr>
                <w:rFonts w:cs="Arial"/>
                <w:color w:val="000000"/>
                <w:lang w:val="it-IT"/>
              </w:rPr>
              <w:t xml:space="preserve">Tel: 020 7212 1391 </w:t>
            </w:r>
          </w:p>
          <w:p w:rsidR="00882F05" w:rsidRDefault="005A3A4F">
            <w:pPr>
              <w:tabs>
                <w:tab w:val="left" w:pos="1440"/>
              </w:tabs>
              <w:ind w:left="1440" w:hanging="1440"/>
              <w:rPr>
                <w:rFonts w:cs="Arial"/>
                <w:color w:val="000000"/>
                <w:lang w:val="it-IT"/>
              </w:rPr>
            </w:pPr>
            <w:r>
              <w:rPr>
                <w:rFonts w:cs="Arial"/>
                <w:color w:val="000000"/>
                <w:lang w:val="it-IT"/>
              </w:rPr>
              <w:t xml:space="preserve">e-mail: </w:t>
            </w:r>
            <w:hyperlink r:id="rId9" w:history="1">
              <w:r>
                <w:rPr>
                  <w:rStyle w:val="Hyperlink"/>
                  <w:rFonts w:cs="Arial"/>
                  <w:lang w:val="it-IT"/>
                </w:rPr>
                <w:t>gill.carson@uk.pwc.com</w:t>
              </w:r>
            </w:hyperlink>
          </w:p>
          <w:p w:rsidR="00882F05" w:rsidRDefault="00882F05">
            <w:pPr>
              <w:pStyle w:val="Header"/>
              <w:tabs>
                <w:tab w:val="left" w:pos="1440"/>
              </w:tabs>
              <w:ind w:left="1440" w:hanging="1440"/>
              <w:rPr>
                <w:lang w:val="de-DE"/>
              </w:rPr>
            </w:pPr>
          </w:p>
        </w:tc>
      </w:tr>
      <w:tr w:rsidR="00882F05">
        <w:tc>
          <w:tcPr>
            <w:tcW w:w="2268" w:type="dxa"/>
          </w:tcPr>
          <w:p w:rsidR="00882F05" w:rsidRDefault="005A3A4F">
            <w:pPr>
              <w:rPr>
                <w:i/>
              </w:rPr>
            </w:pPr>
            <w:r>
              <w:rPr>
                <w:i/>
              </w:rPr>
              <w:t xml:space="preserve">Pages </w:t>
            </w:r>
          </w:p>
        </w:tc>
        <w:tc>
          <w:tcPr>
            <w:tcW w:w="4645" w:type="dxa"/>
          </w:tcPr>
          <w:p w:rsidR="00882F05" w:rsidRDefault="00523D97">
            <w:r>
              <w:t>2</w:t>
            </w:r>
          </w:p>
        </w:tc>
      </w:tr>
    </w:tbl>
    <w:p w:rsidR="00882F05" w:rsidRDefault="005A3A4F">
      <w:pPr>
        <w:jc w:val="center"/>
        <w:rPr>
          <w:rFonts w:cs="Arial"/>
          <w:b/>
          <w:i/>
          <w:iCs/>
        </w:rPr>
      </w:pPr>
      <w:r>
        <w:rPr>
          <w:rFonts w:cs="Arial"/>
          <w:b/>
          <w:i/>
          <w:iCs/>
        </w:rPr>
        <w:br w:type="textWrapping" w:clear="all"/>
      </w:r>
    </w:p>
    <w:p w:rsidR="00882F05" w:rsidRDefault="004A3A16">
      <w:pPr>
        <w:pStyle w:val="Heading"/>
        <w:jc w:val="center"/>
        <w:rPr>
          <w:rFonts w:ascii="Georgia" w:hAnsi="Georgia"/>
          <w:sz w:val="20"/>
        </w:rPr>
      </w:pPr>
      <w:r>
        <w:rPr>
          <w:noProof/>
          <w:lang w:val="en-US"/>
        </w:rPr>
        <mc:AlternateContent>
          <mc:Choice Requires="wps">
            <w:drawing>
              <wp:anchor distT="0" distB="0" distL="114300" distR="114300" simplePos="0" relativeHeight="251657216" behindDoc="0" locked="0" layoutInCell="1" allowOverlap="1">
                <wp:simplePos x="0" y="0"/>
                <wp:positionH relativeFrom="page">
                  <wp:posOffset>1194435</wp:posOffset>
                </wp:positionH>
                <wp:positionV relativeFrom="page">
                  <wp:posOffset>3736975</wp:posOffset>
                </wp:positionV>
                <wp:extent cx="5779135" cy="0"/>
                <wp:effectExtent l="13335" t="12700" r="8255"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05pt,294.25pt" to="549.1pt,2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" strokecolor="#e36c0a">
                <w10:wrap anchorx="page" anchory="page"/>
              </v:line>
            </w:pict>
          </mc:Fallback>
        </mc:AlternateContent>
      </w:r>
    </w:p>
    <w:p w:rsidR="00882F05" w:rsidRDefault="00882F05" w:rsidP="00A1132A">
      <w:pPr>
        <w:rPr>
          <w:rFonts w:cs="Helv"/>
          <w:b/>
          <w:color w:val="000000"/>
          <w:sz w:val="22"/>
          <w:lang w:eastAsia="en-GB"/>
        </w:rPr>
      </w:pPr>
    </w:p>
    <w:p w:rsidR="004A3A16" w:rsidRPr="004A3A16" w:rsidRDefault="004A3A16" w:rsidP="004A3A16">
      <w:pPr>
        <w:pStyle w:val="Heading3"/>
        <w:spacing w:before="20" w:after="20" w:line="240" w:lineRule="auto"/>
        <w:contextualSpacing/>
        <w:jc w:val="center"/>
        <w:rPr>
          <w:rFonts w:ascii="Georgia" w:hAnsi="Georgia"/>
          <w:b w:val="0"/>
          <w:color w:val="auto"/>
          <w:sz w:val="22"/>
          <w:lang w:val="en-CA"/>
        </w:rPr>
      </w:pPr>
      <w:bookmarkStart w:id="0" w:name="_GoBack"/>
      <w:bookmarkEnd w:id="0"/>
      <w:r w:rsidRPr="004A3A16">
        <w:rPr>
          <w:rFonts w:ascii="Georgia" w:hAnsi="Georgia"/>
          <w:color w:val="auto"/>
          <w:sz w:val="22"/>
          <w:lang w:val="en-CA"/>
        </w:rPr>
        <w:t>Miners switch M&amp;A roles &amp; decrease traditional takeovers so far in 2013</w:t>
      </w:r>
    </w:p>
    <w:p w:rsidR="004A3A16" w:rsidRPr="00EB1B24" w:rsidRDefault="004A3A16" w:rsidP="004A3A16">
      <w:pPr>
        <w:pStyle w:val="BodyText"/>
        <w:spacing w:after="0" w:line="240" w:lineRule="auto"/>
        <w:contextualSpacing/>
        <w:rPr>
          <w:lang w:val="en-CA"/>
        </w:rPr>
      </w:pPr>
    </w:p>
    <w:p w:rsidR="004A3A16" w:rsidRPr="004A3A16" w:rsidRDefault="004A3A16" w:rsidP="004A3A16">
      <w:pPr>
        <w:pStyle w:val="BodyText"/>
        <w:spacing w:after="0" w:line="240" w:lineRule="auto"/>
        <w:contextualSpacing/>
        <w:rPr>
          <w:lang w:val="en-CA"/>
        </w:rPr>
      </w:pPr>
      <w:r>
        <w:rPr>
          <w:noProof/>
          <w:lang w:val="en-US"/>
        </w:rPr>
        <mc:AlternateContent>
          <mc:Choice Requires="wps">
            <w:drawing>
              <wp:anchor distT="4294967294" distB="4294967294" distL="114300" distR="114300" simplePos="0" relativeHeight="251661312" behindDoc="0" locked="0" layoutInCell="0" allowOverlap="1">
                <wp:simplePos x="0" y="0"/>
                <wp:positionH relativeFrom="column">
                  <wp:posOffset>952500</wp:posOffset>
                </wp:positionH>
                <wp:positionV relativeFrom="paragraph">
                  <wp:posOffset>33654</wp:posOffset>
                </wp:positionV>
                <wp:extent cx="27432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2.65pt" to="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p2SA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" o:allowincell="f" stroked="f"/>
            </w:pict>
          </mc:Fallback>
        </mc:AlternateContent>
      </w:r>
      <w:r>
        <w:rPr>
          <w:noProof/>
          <w:lang w:val="en-US"/>
        </w:rPr>
        <mc:AlternateContent>
          <mc:Choice Requires="wps">
            <w:drawing>
              <wp:anchor distT="4294967294" distB="4294967294" distL="114300" distR="114300" simplePos="0" relativeHeight="251662336" behindDoc="0" locked="0" layoutInCell="0" allowOverlap="1">
                <wp:simplePos x="0" y="0"/>
                <wp:positionH relativeFrom="column">
                  <wp:posOffset>17145</wp:posOffset>
                </wp:positionH>
                <wp:positionV relativeFrom="paragraph">
                  <wp:posOffset>13334</wp:posOffset>
                </wp:positionV>
                <wp:extent cx="64008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05pt" to="505.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" o:allowincell="f" stroked="f"/>
            </w:pict>
          </mc:Fallback>
        </mc:AlternateContent>
      </w:r>
      <w:r w:rsidRPr="004A3A16">
        <w:rPr>
          <w:lang w:val="en-CA"/>
        </w:rPr>
        <w:t>A loss of confidence due</w:t>
      </w:r>
      <w:r w:rsidRPr="004A3A16">
        <w:rPr>
          <w:b/>
          <w:lang w:val="en-CA"/>
        </w:rPr>
        <w:t xml:space="preserve"> </w:t>
      </w:r>
      <w:r w:rsidRPr="004A3A16">
        <w:rPr>
          <w:lang w:val="en-CA"/>
        </w:rPr>
        <w:t>to</w:t>
      </w:r>
      <w:r w:rsidRPr="004A3A16">
        <w:rPr>
          <w:b/>
          <w:lang w:val="en-CA"/>
        </w:rPr>
        <w:t xml:space="preserve"> </w:t>
      </w:r>
      <w:r w:rsidRPr="004A3A16">
        <w:rPr>
          <w:lang w:val="en-CA"/>
        </w:rPr>
        <w:t xml:space="preserve">write-downs, market uncertainty, and falling commodity and equity prices across the mining sector dampened M&amp;A activity in the first half of 2013 with deal volume dropping 31% from the same period in 2012, and deal values down 74% </w:t>
      </w:r>
      <w:r w:rsidR="00CB259A">
        <w:rPr>
          <w:lang w:val="en-CA"/>
        </w:rPr>
        <w:t xml:space="preserve">from January - </w:t>
      </w:r>
      <w:r w:rsidRPr="004A3A16">
        <w:rPr>
          <w:lang w:val="en-CA"/>
        </w:rPr>
        <w:t xml:space="preserve">June 2013, according to </w:t>
      </w:r>
      <w:hyperlink r:id="rId10" w:history="1">
        <w:r w:rsidRPr="00CB259A">
          <w:rPr>
            <w:rStyle w:val="Hyperlink"/>
            <w:color w:val="auto"/>
            <w:u w:val="none"/>
            <w:lang w:val="en-CA"/>
          </w:rPr>
          <w:t xml:space="preserve">PwC’s </w:t>
        </w:r>
        <w:r w:rsidR="00CB259A">
          <w:rPr>
            <w:rStyle w:val="Hyperlink"/>
            <w:color w:val="auto"/>
            <w:u w:val="none"/>
            <w:lang w:val="en-CA"/>
          </w:rPr>
          <w:t>new mining deals r</w:t>
        </w:r>
        <w:r w:rsidRPr="00CB259A">
          <w:rPr>
            <w:rStyle w:val="Hyperlink"/>
            <w:color w:val="auto"/>
            <w:u w:val="none"/>
            <w:lang w:val="en-CA"/>
          </w:rPr>
          <w:t>eport</w:t>
        </w:r>
      </w:hyperlink>
      <w:r w:rsidRPr="004A3A16">
        <w:rPr>
          <w:lang w:val="en-CA"/>
        </w:rPr>
        <w:t xml:space="preserve">.  </w:t>
      </w:r>
    </w:p>
    <w:p w:rsidR="007015B6" w:rsidRDefault="007015B6" w:rsidP="004A3A16">
      <w:pPr>
        <w:pStyle w:val="BodyText"/>
        <w:spacing w:line="240" w:lineRule="auto"/>
        <w:contextualSpacing/>
        <w:rPr>
          <w:lang w:val="en-CA"/>
        </w:rPr>
      </w:pPr>
    </w:p>
    <w:p w:rsidR="00F5555E" w:rsidRDefault="00F5555E" w:rsidP="00F5555E">
      <w:pPr>
        <w:pStyle w:val="BodyText"/>
        <w:spacing w:line="240" w:lineRule="auto"/>
        <w:contextualSpacing/>
        <w:rPr>
          <w:lang w:val="en-CA"/>
        </w:rPr>
      </w:pPr>
      <w:r w:rsidRPr="004A3A16">
        <w:rPr>
          <w:lang w:val="en-CA"/>
        </w:rPr>
        <w:t>A</w:t>
      </w:r>
      <w:r>
        <w:rPr>
          <w:lang w:val="en-CA"/>
        </w:rPr>
        <w:t xml:space="preserve">lso, the report finds that </w:t>
      </w:r>
      <w:r w:rsidRPr="004A3A16">
        <w:rPr>
          <w:lang w:val="en-CA"/>
        </w:rPr>
        <w:t>the mining industry’s major public companies have taken on different M&amp;A roles in recent months – switching from buyers to sellers. Rio Tinto plc’s unloading its 80% stake in the Northparkes copper mine in Australia to a Chinese buyer and the pursuit of selling its 59% interest in Iron Ore Company of Canada is an example</w:t>
      </w:r>
      <w:r>
        <w:rPr>
          <w:lang w:val="en-CA"/>
        </w:rPr>
        <w:t xml:space="preserve"> of this</w:t>
      </w:r>
      <w:r w:rsidRPr="00CB259A">
        <w:rPr>
          <w:lang w:val="en-CA"/>
        </w:rPr>
        <w:t xml:space="preserve">. </w:t>
      </w:r>
    </w:p>
    <w:p w:rsidR="00F5555E" w:rsidRDefault="00F5555E" w:rsidP="004A3A16">
      <w:pPr>
        <w:pStyle w:val="BodyText"/>
        <w:spacing w:line="240" w:lineRule="auto"/>
        <w:contextualSpacing/>
        <w:rPr>
          <w:lang w:val="en-CA"/>
        </w:rPr>
      </w:pPr>
    </w:p>
    <w:p w:rsidR="000739DA" w:rsidRDefault="00F10142" w:rsidP="0018309E">
      <w:pPr>
        <w:pStyle w:val="BodyText"/>
        <w:spacing w:line="240" w:lineRule="auto"/>
        <w:contextualSpacing/>
        <w:rPr>
          <w:lang w:val="en-CA"/>
        </w:rPr>
      </w:pPr>
      <w:hyperlink r:id="rId11" w:history="1">
        <w:r w:rsidR="007015B6">
          <w:rPr>
            <w:rStyle w:val="Hyperlink"/>
            <w:color w:val="auto"/>
            <w:u w:val="none"/>
            <w:lang w:val="en-CA"/>
          </w:rPr>
          <w:t>John Gravelle, g</w:t>
        </w:r>
        <w:r w:rsidR="007015B6" w:rsidRPr="00CB259A">
          <w:rPr>
            <w:rStyle w:val="Hyperlink"/>
            <w:color w:val="auto"/>
            <w:u w:val="none"/>
            <w:lang w:val="en-CA"/>
          </w:rPr>
          <w:t xml:space="preserve">lobal </w:t>
        </w:r>
        <w:r w:rsidR="007015B6">
          <w:rPr>
            <w:rStyle w:val="Hyperlink"/>
            <w:color w:val="auto"/>
            <w:u w:val="none"/>
            <w:lang w:val="en-CA"/>
          </w:rPr>
          <w:t>m</w:t>
        </w:r>
        <w:r w:rsidR="007015B6" w:rsidRPr="00CB259A">
          <w:rPr>
            <w:rStyle w:val="Hyperlink"/>
            <w:color w:val="auto"/>
            <w:u w:val="none"/>
            <w:lang w:val="en-CA"/>
          </w:rPr>
          <w:t xml:space="preserve">ining </w:t>
        </w:r>
        <w:r w:rsidR="007015B6">
          <w:rPr>
            <w:rStyle w:val="Hyperlink"/>
            <w:color w:val="auto"/>
            <w:u w:val="none"/>
            <w:lang w:val="en-CA"/>
          </w:rPr>
          <w:t>l</w:t>
        </w:r>
        <w:r w:rsidR="007015B6" w:rsidRPr="00CB259A">
          <w:rPr>
            <w:rStyle w:val="Hyperlink"/>
            <w:color w:val="auto"/>
            <w:u w:val="none"/>
            <w:lang w:val="en-CA"/>
          </w:rPr>
          <w:t>eader, PwC</w:t>
        </w:r>
      </w:hyperlink>
      <w:r w:rsidR="00F5555E">
        <w:rPr>
          <w:lang w:val="en-CA"/>
        </w:rPr>
        <w:t>, said:</w:t>
      </w:r>
    </w:p>
    <w:p w:rsidR="000739DA" w:rsidRDefault="007015B6" w:rsidP="000739DA">
      <w:pPr>
        <w:autoSpaceDE w:val="0"/>
        <w:autoSpaceDN w:val="0"/>
        <w:adjustRightInd w:val="0"/>
        <w:spacing w:line="276" w:lineRule="auto"/>
        <w:ind w:left="284"/>
        <w:rPr>
          <w:lang w:val="en-CA"/>
        </w:rPr>
      </w:pPr>
      <w:r>
        <w:rPr>
          <w:rFonts w:asciiTheme="majorHAnsi" w:hAnsiTheme="majorHAnsi"/>
          <w:lang w:val="en-CA"/>
        </w:rPr>
        <w:t>“</w:t>
      </w:r>
      <w:r w:rsidRPr="0018309E">
        <w:rPr>
          <w:lang w:val="en-CA"/>
        </w:rPr>
        <w:t>Traditional takeovers of entire companies are taking a back seat to joint ventures and spinoffs</w:t>
      </w:r>
      <w:r w:rsidR="004A3A16" w:rsidRPr="0018309E">
        <w:rPr>
          <w:lang w:val="en-CA"/>
        </w:rPr>
        <w:t>. Expect more of these non-traditional and creative deals to round out M&amp;A activity during the second</w:t>
      </w:r>
      <w:r w:rsidR="001A04C5">
        <w:rPr>
          <w:lang w:val="en-CA"/>
        </w:rPr>
        <w:t xml:space="preserve"> half of 2013.</w:t>
      </w:r>
      <w:r w:rsidR="004A3A16" w:rsidRPr="004A3A16">
        <w:rPr>
          <w:lang w:val="en-CA"/>
        </w:rPr>
        <w:t xml:space="preserve"> </w:t>
      </w:r>
    </w:p>
    <w:p w:rsidR="000739DA" w:rsidRDefault="000739DA" w:rsidP="000739DA">
      <w:pPr>
        <w:autoSpaceDE w:val="0"/>
        <w:autoSpaceDN w:val="0"/>
        <w:adjustRightInd w:val="0"/>
        <w:spacing w:line="276" w:lineRule="auto"/>
        <w:ind w:left="284"/>
        <w:rPr>
          <w:lang w:val="en-CA"/>
        </w:rPr>
      </w:pPr>
    </w:p>
    <w:p w:rsidR="004A3A16" w:rsidRPr="000739DA" w:rsidRDefault="004A3A16" w:rsidP="000739DA">
      <w:pPr>
        <w:autoSpaceDE w:val="0"/>
        <w:autoSpaceDN w:val="0"/>
        <w:adjustRightInd w:val="0"/>
        <w:spacing w:line="276" w:lineRule="auto"/>
        <w:ind w:left="284"/>
        <w:rPr>
          <w:rFonts w:cs="Georgia"/>
          <w:color w:val="000000"/>
          <w:szCs w:val="20"/>
          <w:lang w:eastAsia="en-GB"/>
        </w:rPr>
      </w:pPr>
      <w:r w:rsidRPr="004A3A16">
        <w:rPr>
          <w:lang w:val="en-CA"/>
        </w:rPr>
        <w:t xml:space="preserve">“Mining CEOs are taking a fresh look at what assets are core and plan to raise proceeds to reduce debt, improve shareholder returns and fund capital expenditures. They will need to concentrate on the projects they have and operate them with a focus on the bottom line.” </w:t>
      </w:r>
    </w:p>
    <w:p w:rsidR="004A3A16" w:rsidRPr="004A3A16" w:rsidRDefault="004A3A16" w:rsidP="004A3A16">
      <w:pPr>
        <w:pStyle w:val="BodyText"/>
        <w:spacing w:line="240" w:lineRule="auto"/>
        <w:contextualSpacing/>
        <w:rPr>
          <w:b/>
          <w:lang w:val="en-CA"/>
        </w:rPr>
      </w:pPr>
    </w:p>
    <w:p w:rsidR="007015B6" w:rsidRPr="004A3A16" w:rsidRDefault="007015B6" w:rsidP="007015B6">
      <w:pPr>
        <w:pStyle w:val="BodyText"/>
        <w:spacing w:line="240" w:lineRule="auto"/>
        <w:contextualSpacing/>
        <w:rPr>
          <w:b/>
          <w:lang w:val="en-CA"/>
        </w:rPr>
      </w:pPr>
      <w:r w:rsidRPr="004A3A16">
        <w:rPr>
          <w:b/>
          <w:lang w:val="en-CA"/>
        </w:rPr>
        <w:t>Gold and copper remain attractive for M&amp;</w:t>
      </w:r>
      <w:proofErr w:type="gramStart"/>
      <w:r w:rsidRPr="004A3A16">
        <w:rPr>
          <w:b/>
          <w:lang w:val="en-CA"/>
        </w:rPr>
        <w:t>As</w:t>
      </w:r>
      <w:proofErr w:type="gramEnd"/>
    </w:p>
    <w:p w:rsidR="007015B6" w:rsidRDefault="007015B6" w:rsidP="007015B6">
      <w:pPr>
        <w:pStyle w:val="BodyText"/>
        <w:spacing w:line="240" w:lineRule="auto"/>
        <w:contextualSpacing/>
        <w:rPr>
          <w:rFonts w:cs="Arial"/>
        </w:rPr>
      </w:pPr>
      <w:r w:rsidRPr="004A3A16">
        <w:rPr>
          <w:lang w:val="en-CA"/>
        </w:rPr>
        <w:t xml:space="preserve">In 2012 and 2013, gold and copper accounted for nearly half of the transactions in the sector by both value and volume. </w:t>
      </w:r>
      <w:r w:rsidRPr="004A3A16">
        <w:rPr>
          <w:rFonts w:cs="Arial"/>
        </w:rPr>
        <w:t>For the first half of 2013, gold was the leader by value, representing 36% of transactions from January to June - compared with 26% for the first half of 2012. Copper accounted for 12% of deals by value, down from 23% a year earlier.</w:t>
      </w:r>
    </w:p>
    <w:p w:rsidR="00F5555E" w:rsidRDefault="00F5555E" w:rsidP="007015B6">
      <w:pPr>
        <w:pStyle w:val="BodyText"/>
        <w:spacing w:line="240" w:lineRule="auto"/>
        <w:contextualSpacing/>
        <w:rPr>
          <w:rFonts w:cs="Arial"/>
        </w:rPr>
      </w:pPr>
    </w:p>
    <w:p w:rsidR="000739DA" w:rsidRDefault="00F10142" w:rsidP="000739DA">
      <w:pPr>
        <w:pStyle w:val="BodyText"/>
        <w:spacing w:line="240" w:lineRule="auto"/>
        <w:contextualSpacing/>
        <w:rPr>
          <w:lang w:val="en-CA"/>
        </w:rPr>
      </w:pPr>
      <w:hyperlink r:id="rId12" w:history="1">
        <w:r w:rsidR="00F5555E">
          <w:rPr>
            <w:rStyle w:val="Hyperlink"/>
            <w:color w:val="auto"/>
            <w:u w:val="none"/>
            <w:lang w:val="en-CA"/>
          </w:rPr>
          <w:t>John Gravelle, g</w:t>
        </w:r>
        <w:r w:rsidR="00F5555E" w:rsidRPr="00CB259A">
          <w:rPr>
            <w:rStyle w:val="Hyperlink"/>
            <w:color w:val="auto"/>
            <w:u w:val="none"/>
            <w:lang w:val="en-CA"/>
          </w:rPr>
          <w:t xml:space="preserve">lobal </w:t>
        </w:r>
        <w:r w:rsidR="00F5555E">
          <w:rPr>
            <w:rStyle w:val="Hyperlink"/>
            <w:color w:val="auto"/>
            <w:u w:val="none"/>
            <w:lang w:val="en-CA"/>
          </w:rPr>
          <w:t>m</w:t>
        </w:r>
        <w:r w:rsidR="00F5555E" w:rsidRPr="00CB259A">
          <w:rPr>
            <w:rStyle w:val="Hyperlink"/>
            <w:color w:val="auto"/>
            <w:u w:val="none"/>
            <w:lang w:val="en-CA"/>
          </w:rPr>
          <w:t xml:space="preserve">ining </w:t>
        </w:r>
        <w:r w:rsidR="00F5555E">
          <w:rPr>
            <w:rStyle w:val="Hyperlink"/>
            <w:color w:val="auto"/>
            <w:u w:val="none"/>
            <w:lang w:val="en-CA"/>
          </w:rPr>
          <w:t>l</w:t>
        </w:r>
        <w:r w:rsidR="00F5555E" w:rsidRPr="00CB259A">
          <w:rPr>
            <w:rStyle w:val="Hyperlink"/>
            <w:color w:val="auto"/>
            <w:u w:val="none"/>
            <w:lang w:val="en-CA"/>
          </w:rPr>
          <w:t>eader, PwC</w:t>
        </w:r>
      </w:hyperlink>
      <w:r w:rsidR="00F5555E">
        <w:rPr>
          <w:lang w:val="en-CA"/>
        </w:rPr>
        <w:t>, said:</w:t>
      </w:r>
      <w:r w:rsidR="000739DA" w:rsidRPr="0001692F">
        <w:rPr>
          <w:lang w:val="en-CA"/>
        </w:rPr>
        <w:t xml:space="preserve"> </w:t>
      </w:r>
    </w:p>
    <w:p w:rsidR="00F5555E" w:rsidRPr="000739DA" w:rsidRDefault="00F5555E" w:rsidP="000739DA">
      <w:pPr>
        <w:autoSpaceDE w:val="0"/>
        <w:autoSpaceDN w:val="0"/>
        <w:adjustRightInd w:val="0"/>
        <w:spacing w:line="276" w:lineRule="auto"/>
        <w:ind w:left="284"/>
        <w:rPr>
          <w:rFonts w:cs="Georgia"/>
          <w:color w:val="000000"/>
          <w:szCs w:val="20"/>
          <w:lang w:eastAsia="en-GB"/>
        </w:rPr>
      </w:pPr>
      <w:r w:rsidRPr="004A3A16">
        <w:rPr>
          <w:lang w:val="en-CA"/>
        </w:rPr>
        <w:t>“Gold and copper continue to be the most active buyers and sellers in the first half of 2013 – a trend expected to continue as depressed prices create opportunities for tho</w:t>
      </w:r>
      <w:r>
        <w:rPr>
          <w:lang w:val="en-CA"/>
        </w:rPr>
        <w:t>se who can afford to buy</w:t>
      </w:r>
      <w:r w:rsidRPr="004A3A16">
        <w:rPr>
          <w:lang w:val="en-CA"/>
        </w:rPr>
        <w:t>.</w:t>
      </w:r>
      <w:r>
        <w:rPr>
          <w:lang w:val="en-CA"/>
        </w:rPr>
        <w:t>”</w:t>
      </w:r>
      <w:r w:rsidRPr="004A3A16">
        <w:rPr>
          <w:lang w:val="en-CA"/>
        </w:rPr>
        <w:t xml:space="preserve"> </w:t>
      </w:r>
    </w:p>
    <w:p w:rsidR="00F5555E" w:rsidRDefault="00F5555E" w:rsidP="004A3A16">
      <w:pPr>
        <w:pStyle w:val="BodyText"/>
        <w:spacing w:line="240" w:lineRule="auto"/>
        <w:contextualSpacing/>
        <w:rPr>
          <w:lang w:val="en-CA"/>
        </w:rPr>
      </w:pPr>
    </w:p>
    <w:p w:rsidR="00A1132A" w:rsidRDefault="00A1132A">
      <w:pPr>
        <w:spacing w:line="240" w:lineRule="auto"/>
        <w:rPr>
          <w:b/>
          <w:lang w:val="en-CA"/>
        </w:rPr>
      </w:pPr>
      <w:r>
        <w:rPr>
          <w:b/>
          <w:lang w:val="en-CA"/>
        </w:rPr>
        <w:br w:type="page"/>
      </w:r>
    </w:p>
    <w:p w:rsidR="004A3A16" w:rsidRPr="004A3A16" w:rsidRDefault="004A3A16" w:rsidP="004A3A16">
      <w:pPr>
        <w:pStyle w:val="BodyText"/>
        <w:spacing w:line="240" w:lineRule="auto"/>
        <w:contextualSpacing/>
        <w:rPr>
          <w:b/>
          <w:lang w:val="en-CA"/>
        </w:rPr>
      </w:pPr>
      <w:r w:rsidRPr="004A3A16">
        <w:rPr>
          <w:b/>
          <w:lang w:val="en-CA"/>
        </w:rPr>
        <w:lastRenderedPageBreak/>
        <w:t xml:space="preserve">Change in mining real estate </w:t>
      </w:r>
    </w:p>
    <w:p w:rsidR="004A3A16" w:rsidRPr="004A3A16" w:rsidRDefault="004A3A16" w:rsidP="004A3A16">
      <w:pPr>
        <w:pStyle w:val="BodyText"/>
        <w:spacing w:line="240" w:lineRule="auto"/>
        <w:contextualSpacing/>
        <w:rPr>
          <w:lang w:val="en-CA"/>
        </w:rPr>
      </w:pPr>
      <w:r w:rsidRPr="004A3A16">
        <w:rPr>
          <w:lang w:val="en-CA"/>
        </w:rPr>
        <w:t xml:space="preserve">According to the report, Russia and Kazakhstan surprisingly took the top two spots </w:t>
      </w:r>
      <w:r w:rsidR="00A04F9E">
        <w:rPr>
          <w:lang w:val="en-CA"/>
        </w:rPr>
        <w:t xml:space="preserve">from Canada and China </w:t>
      </w:r>
      <w:r w:rsidRPr="004A3A16">
        <w:rPr>
          <w:lang w:val="en-CA"/>
        </w:rPr>
        <w:t xml:space="preserve">for most active M&amp;A by geography in the first half of 2013. Russia accounted for just over a quarter of deals, followed by Kazakhstan at 19%, and the U.S. with 11%. </w:t>
      </w:r>
    </w:p>
    <w:p w:rsidR="004A3A16" w:rsidRPr="004A3A16" w:rsidRDefault="004A3A16" w:rsidP="004A3A16">
      <w:pPr>
        <w:pStyle w:val="BodyText"/>
        <w:spacing w:line="240" w:lineRule="auto"/>
        <w:contextualSpacing/>
        <w:rPr>
          <w:lang w:val="en-CA"/>
        </w:rPr>
      </w:pPr>
    </w:p>
    <w:p w:rsidR="004A3A16" w:rsidRPr="004A3A16" w:rsidRDefault="004A3A16" w:rsidP="004A3A16">
      <w:pPr>
        <w:pStyle w:val="BodyText"/>
        <w:spacing w:line="240" w:lineRule="auto"/>
        <w:contextualSpacing/>
        <w:rPr>
          <w:b/>
        </w:rPr>
      </w:pPr>
      <w:r w:rsidRPr="004A3A16">
        <w:rPr>
          <w:b/>
        </w:rPr>
        <w:t xml:space="preserve">What else will 2013 bring? </w:t>
      </w:r>
    </w:p>
    <w:p w:rsidR="004A3A16" w:rsidRPr="004A3A16" w:rsidRDefault="006F15AE" w:rsidP="004A3A16">
      <w:pPr>
        <w:pStyle w:val="BodyText"/>
        <w:spacing w:after="0" w:line="240" w:lineRule="auto"/>
        <w:contextualSpacing/>
      </w:pPr>
      <w:r>
        <w:t xml:space="preserve">Considerations </w:t>
      </w:r>
      <w:r w:rsidR="001B22B0">
        <w:t xml:space="preserve">for the </w:t>
      </w:r>
      <w:r w:rsidR="004A3A16" w:rsidRPr="004A3A16">
        <w:t xml:space="preserve">mining industry for the remainder of </w:t>
      </w:r>
      <w:r w:rsidR="001B22B0">
        <w:t xml:space="preserve">the year </w:t>
      </w:r>
      <w:r w:rsidR="004A3A16" w:rsidRPr="004A3A16">
        <w:t>include:</w:t>
      </w:r>
    </w:p>
    <w:p w:rsidR="004A3A16" w:rsidRPr="004A3A16" w:rsidRDefault="004A3A16" w:rsidP="004A3A16">
      <w:pPr>
        <w:pStyle w:val="BodyText"/>
        <w:spacing w:after="0" w:line="240" w:lineRule="auto"/>
        <w:contextualSpacing/>
      </w:pPr>
    </w:p>
    <w:p w:rsidR="004A3A16" w:rsidRPr="004A3A16" w:rsidRDefault="004A3A16" w:rsidP="004A3A16">
      <w:pPr>
        <w:pStyle w:val="BodyText"/>
        <w:numPr>
          <w:ilvl w:val="0"/>
          <w:numId w:val="30"/>
        </w:numPr>
        <w:spacing w:after="0" w:line="240" w:lineRule="auto"/>
        <w:contextualSpacing/>
        <w:rPr>
          <w:i/>
        </w:rPr>
      </w:pPr>
      <w:r w:rsidRPr="004A3A16">
        <w:rPr>
          <w:i/>
        </w:rPr>
        <w:t xml:space="preserve">Juniors’ survival plan – </w:t>
      </w:r>
      <w:r w:rsidRPr="004A3A16">
        <w:t xml:space="preserve">Junior mining companies will continue to face difficulty raising money in the current environment, which is expected to result in some takeovers this year and into 2014. A sale to a larger player may be the only way for juniors to generate some shareholder value or even avoid financial collapse.  </w:t>
      </w:r>
    </w:p>
    <w:p w:rsidR="004A3A16" w:rsidRPr="004A3A16" w:rsidRDefault="004A3A16" w:rsidP="004A3A16">
      <w:pPr>
        <w:pStyle w:val="BodyText"/>
        <w:spacing w:after="0" w:line="240" w:lineRule="auto"/>
        <w:contextualSpacing/>
        <w:rPr>
          <w:i/>
        </w:rPr>
      </w:pPr>
    </w:p>
    <w:p w:rsidR="004A3A16" w:rsidRPr="004A3A16" w:rsidRDefault="004A3A16" w:rsidP="004A3A16">
      <w:pPr>
        <w:pStyle w:val="BodyText"/>
        <w:numPr>
          <w:ilvl w:val="0"/>
          <w:numId w:val="30"/>
        </w:numPr>
        <w:spacing w:after="0" w:line="240" w:lineRule="auto"/>
        <w:contextualSpacing/>
        <w:rPr>
          <w:i/>
        </w:rPr>
      </w:pPr>
      <w:r w:rsidRPr="004A3A16">
        <w:rPr>
          <w:i/>
        </w:rPr>
        <w:t xml:space="preserve">Chinese demand – </w:t>
      </w:r>
      <w:r w:rsidRPr="004A3A16">
        <w:t xml:space="preserve">While economic growth may not be in double digits, growth </w:t>
      </w:r>
      <w:r w:rsidR="0018309E">
        <w:t xml:space="preserve">is </w:t>
      </w:r>
      <w:r w:rsidRPr="004A3A16">
        <w:t xml:space="preserve">still strong – ensuring a stable demand for a number of resources, including copper, coal and iron ore. </w:t>
      </w:r>
    </w:p>
    <w:p w:rsidR="004A3A16" w:rsidRPr="004A3A16" w:rsidRDefault="004A3A16" w:rsidP="004A3A16">
      <w:pPr>
        <w:pStyle w:val="BodyText"/>
        <w:spacing w:after="0" w:line="240" w:lineRule="auto"/>
        <w:contextualSpacing/>
        <w:rPr>
          <w:i/>
        </w:rPr>
      </w:pPr>
      <w:r w:rsidRPr="004A3A16">
        <w:t xml:space="preserve"> </w:t>
      </w:r>
    </w:p>
    <w:p w:rsidR="004A3A16" w:rsidRPr="001B22B0" w:rsidRDefault="004A3A16" w:rsidP="004A3A16">
      <w:pPr>
        <w:pStyle w:val="BodyText"/>
        <w:numPr>
          <w:ilvl w:val="0"/>
          <w:numId w:val="30"/>
        </w:numPr>
        <w:spacing w:after="0" w:line="240" w:lineRule="auto"/>
        <w:contextualSpacing/>
        <w:rPr>
          <w:rFonts w:cs="Arial"/>
          <w:b/>
        </w:rPr>
      </w:pPr>
      <w:r w:rsidRPr="001B22B0">
        <w:rPr>
          <w:i/>
        </w:rPr>
        <w:t xml:space="preserve">Making room for uranium and potash – </w:t>
      </w:r>
      <w:r w:rsidRPr="004A3A16">
        <w:t>As uranium prices eventually recover and demand from countries like Japan, China and India rise, more companies anticipate increasing production through acquisitions. Potash is another sector that could see an increase in M&amp;A activity</w:t>
      </w:r>
      <w:r w:rsidR="006F15AE">
        <w:t>.</w:t>
      </w:r>
    </w:p>
    <w:p w:rsidR="001B22B0" w:rsidRPr="001B22B0" w:rsidRDefault="001B22B0" w:rsidP="001B22B0">
      <w:pPr>
        <w:pStyle w:val="BodyText"/>
        <w:spacing w:after="0" w:line="240" w:lineRule="auto"/>
        <w:contextualSpacing/>
        <w:rPr>
          <w:rFonts w:cs="Arial"/>
          <w:b/>
        </w:rPr>
      </w:pPr>
    </w:p>
    <w:p w:rsidR="000739DA" w:rsidRDefault="00F10142" w:rsidP="000739DA">
      <w:pPr>
        <w:pStyle w:val="BodyText"/>
        <w:spacing w:line="240" w:lineRule="auto"/>
        <w:contextualSpacing/>
        <w:rPr>
          <w:lang w:val="en-CA"/>
        </w:rPr>
      </w:pPr>
      <w:hyperlink r:id="rId13" w:history="1">
        <w:r w:rsidR="00F5555E">
          <w:rPr>
            <w:rStyle w:val="Hyperlink"/>
            <w:color w:val="auto"/>
            <w:u w:val="none"/>
            <w:lang w:val="en-CA"/>
          </w:rPr>
          <w:t>John Gravelle, g</w:t>
        </w:r>
        <w:r w:rsidR="00F5555E" w:rsidRPr="00CB259A">
          <w:rPr>
            <w:rStyle w:val="Hyperlink"/>
            <w:color w:val="auto"/>
            <w:u w:val="none"/>
            <w:lang w:val="en-CA"/>
          </w:rPr>
          <w:t xml:space="preserve">lobal </w:t>
        </w:r>
        <w:r w:rsidR="00F5555E">
          <w:rPr>
            <w:rStyle w:val="Hyperlink"/>
            <w:color w:val="auto"/>
            <w:u w:val="none"/>
            <w:lang w:val="en-CA"/>
          </w:rPr>
          <w:t>m</w:t>
        </w:r>
        <w:r w:rsidR="00F5555E" w:rsidRPr="00CB259A">
          <w:rPr>
            <w:rStyle w:val="Hyperlink"/>
            <w:color w:val="auto"/>
            <w:u w:val="none"/>
            <w:lang w:val="en-CA"/>
          </w:rPr>
          <w:t xml:space="preserve">ining </w:t>
        </w:r>
        <w:r w:rsidR="00F5555E">
          <w:rPr>
            <w:rStyle w:val="Hyperlink"/>
            <w:color w:val="auto"/>
            <w:u w:val="none"/>
            <w:lang w:val="en-CA"/>
          </w:rPr>
          <w:t>l</w:t>
        </w:r>
        <w:r w:rsidR="00F5555E" w:rsidRPr="00CB259A">
          <w:rPr>
            <w:rStyle w:val="Hyperlink"/>
            <w:color w:val="auto"/>
            <w:u w:val="none"/>
            <w:lang w:val="en-CA"/>
          </w:rPr>
          <w:t>eader, PwC</w:t>
        </w:r>
      </w:hyperlink>
      <w:r w:rsidR="00F5555E">
        <w:rPr>
          <w:lang w:val="en-CA"/>
        </w:rPr>
        <w:t>, said:</w:t>
      </w:r>
    </w:p>
    <w:p w:rsidR="004A3A16" w:rsidRPr="000739DA" w:rsidRDefault="004A3A16" w:rsidP="00012AD2">
      <w:pPr>
        <w:autoSpaceDE w:val="0"/>
        <w:autoSpaceDN w:val="0"/>
        <w:adjustRightInd w:val="0"/>
        <w:spacing w:line="240" w:lineRule="auto"/>
        <w:ind w:left="284"/>
        <w:rPr>
          <w:rFonts w:cs="Georgia"/>
          <w:color w:val="000000"/>
          <w:szCs w:val="20"/>
          <w:lang w:eastAsia="en-GB"/>
        </w:rPr>
      </w:pPr>
      <w:r w:rsidRPr="004A3A16">
        <w:rPr>
          <w:rFonts w:cs="Arial"/>
        </w:rPr>
        <w:t>“M&amp;</w:t>
      </w:r>
      <w:proofErr w:type="gramStart"/>
      <w:r w:rsidRPr="004A3A16">
        <w:rPr>
          <w:rFonts w:cs="Arial"/>
        </w:rPr>
        <w:t>As</w:t>
      </w:r>
      <w:proofErr w:type="gramEnd"/>
      <w:r w:rsidRPr="004A3A16">
        <w:rPr>
          <w:rFonts w:cs="Arial"/>
        </w:rPr>
        <w:t xml:space="preserve"> in the mining sector will remain lethargic for the rest of 2013 and into 2014. Deals that do take place in the next six to 12 months will include companies that have enough cash to seize the opportunity and as their peers unload assets that aren’t considered a fit in this new cost-conscious environment.” </w:t>
      </w:r>
    </w:p>
    <w:p w:rsidR="004A3A16" w:rsidRPr="004A3A16" w:rsidRDefault="004A3A16" w:rsidP="00012AD2">
      <w:pPr>
        <w:pStyle w:val="BodyText"/>
        <w:spacing w:after="40" w:line="240" w:lineRule="auto"/>
      </w:pPr>
    </w:p>
    <w:p w:rsidR="00882F05" w:rsidRDefault="005A3A4F">
      <w:pPr>
        <w:autoSpaceDE w:val="0"/>
        <w:autoSpaceDN w:val="0"/>
        <w:adjustRightInd w:val="0"/>
        <w:spacing w:line="240" w:lineRule="auto"/>
        <w:rPr>
          <w:rFonts w:cs="Georgia"/>
          <w:b/>
          <w:bCs/>
          <w:color w:val="000000"/>
          <w:sz w:val="18"/>
          <w:szCs w:val="18"/>
          <w:lang w:eastAsia="en-GB"/>
        </w:rPr>
      </w:pPr>
      <w:r>
        <w:rPr>
          <w:rFonts w:cs="Georgia"/>
          <w:b/>
          <w:bCs/>
          <w:color w:val="000000"/>
          <w:sz w:val="18"/>
          <w:szCs w:val="18"/>
          <w:lang w:eastAsia="en-GB"/>
        </w:rPr>
        <w:t>About PwC</w:t>
      </w:r>
    </w:p>
    <w:p w:rsidR="000B7601" w:rsidRPr="000B7601" w:rsidRDefault="000B7601" w:rsidP="000B7601">
      <w:pPr>
        <w:shd w:val="clear" w:color="auto" w:fill="FFFFFF"/>
        <w:spacing w:before="100" w:beforeAutospacing="1" w:after="100" w:afterAutospacing="1" w:line="240" w:lineRule="auto"/>
        <w:rPr>
          <w:rFonts w:ascii="Arial" w:eastAsia="Times New Roman" w:hAnsi="Arial" w:cs="Arial"/>
          <w:color w:val="333333"/>
          <w:szCs w:val="20"/>
          <w:lang w:val="en" w:eastAsia="en-GB"/>
        </w:rPr>
      </w:pPr>
      <w:r w:rsidRPr="000B7601">
        <w:rPr>
          <w:rFonts w:eastAsia="Times New Roman" w:cs="Arial"/>
          <w:color w:val="333333"/>
          <w:szCs w:val="20"/>
          <w:lang w:val="en"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t>
      </w:r>
      <w:hyperlink r:id="rId14" w:tgtFrame="_blank" w:history="1">
        <w:r w:rsidRPr="000B7601">
          <w:rPr>
            <w:rFonts w:eastAsia="Times New Roman" w:cs="Arial"/>
            <w:color w:val="DC6900"/>
            <w:szCs w:val="20"/>
            <w:lang w:val="en" w:eastAsia="en-GB"/>
          </w:rPr>
          <w:t>www.pwc.com</w:t>
        </w:r>
      </w:hyperlink>
      <w:r w:rsidRPr="000B7601">
        <w:rPr>
          <w:rFonts w:eastAsia="Times New Roman" w:cs="Arial"/>
          <w:color w:val="333333"/>
          <w:szCs w:val="20"/>
          <w:lang w:val="en" w:eastAsia="en-GB"/>
        </w:rPr>
        <w:t xml:space="preserve">. </w:t>
      </w:r>
    </w:p>
    <w:p w:rsidR="000B7601" w:rsidRPr="000B7601" w:rsidRDefault="000B7601" w:rsidP="000B7601">
      <w:pPr>
        <w:shd w:val="clear" w:color="auto" w:fill="FFFFFF"/>
        <w:spacing w:before="100" w:beforeAutospacing="1" w:after="100" w:afterAutospacing="1" w:line="240" w:lineRule="auto"/>
        <w:rPr>
          <w:rFonts w:ascii="Arial" w:eastAsia="Times New Roman" w:hAnsi="Arial" w:cs="Arial"/>
          <w:color w:val="333333"/>
          <w:szCs w:val="20"/>
          <w:lang w:val="en" w:eastAsia="en-GB"/>
        </w:rPr>
      </w:pPr>
      <w:r w:rsidRPr="000B7601">
        <w:rPr>
          <w:rFonts w:eastAsia="Times New Roman" w:cs="Arial"/>
          <w:color w:val="333333"/>
          <w:szCs w:val="20"/>
          <w:lang w:val="en" w:eastAsia="en-GB"/>
        </w:rPr>
        <w:t>© 2013 PwC. All rights reserved</w:t>
      </w:r>
    </w:p>
    <w:p w:rsidR="00882F05" w:rsidRPr="000B7601" w:rsidRDefault="000B7601" w:rsidP="000B7601">
      <w:pPr>
        <w:shd w:val="clear" w:color="auto" w:fill="FFFFFF"/>
        <w:spacing w:before="100" w:beforeAutospacing="1" w:after="100" w:afterAutospacing="1" w:line="240" w:lineRule="auto"/>
        <w:rPr>
          <w:rFonts w:ascii="Arial" w:eastAsia="Times New Roman" w:hAnsi="Arial" w:cs="Arial"/>
          <w:color w:val="333333"/>
          <w:szCs w:val="20"/>
          <w:lang w:val="en" w:eastAsia="en-GB"/>
        </w:rPr>
      </w:pPr>
      <w:r w:rsidRPr="000B7601">
        <w:rPr>
          <w:rFonts w:eastAsia="Times New Roman" w:cs="Arial"/>
          <w:color w:val="333333"/>
          <w:szCs w:val="20"/>
          <w:lang w:val="en" w:eastAsia="en-GB"/>
        </w:rPr>
        <w:t>PwC refers to the PwC network and/or one or more of its member firms, each of which is a separate legal entity. Please see www.pwc.com/structure for further details.</w:t>
      </w:r>
    </w:p>
    <w:sectPr w:rsidR="00882F05" w:rsidRPr="000B7601" w:rsidSect="00882F05">
      <w:headerReference w:type="even" r:id="rId15"/>
      <w:headerReference w:type="default" r:id="rId16"/>
      <w:footerReference w:type="even" r:id="rId17"/>
      <w:footerReference w:type="default" r:id="rId18"/>
      <w:headerReference w:type="first" r:id="rId19"/>
      <w:footerReference w:type="first" r:id="rId20"/>
      <w:pgSz w:w="11907" w:h="16839"/>
      <w:pgMar w:top="3137" w:right="850" w:bottom="993"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42" w:rsidRDefault="00F10142">
      <w:pPr>
        <w:spacing w:line="240" w:lineRule="auto"/>
      </w:pPr>
      <w:r>
        <w:separator/>
      </w:r>
    </w:p>
  </w:endnote>
  <w:endnote w:type="continuationSeparator" w:id="0">
    <w:p w:rsidR="00F10142" w:rsidRDefault="00F10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05" w:rsidRDefault="00A41C47">
    <w:pPr>
      <w:pStyle w:val="Footer"/>
    </w:pPr>
    <w:r>
      <w:fldChar w:fldCharType="begin"/>
    </w:r>
    <w:r>
      <w:instrText xml:space="preserve"> PAGE  \* MERGEFORMAT </w:instrText>
    </w:r>
    <w:r>
      <w:fldChar w:fldCharType="separate"/>
    </w:r>
    <w:r w:rsidR="00A1132A">
      <w:rPr>
        <w:noProof/>
      </w:rPr>
      <w:t>2</w:t>
    </w:r>
    <w:r>
      <w:rPr>
        <w:noProof/>
      </w:rPr>
      <w:fldChar w:fldCharType="end"/>
    </w:r>
    <w:r w:rsidR="005A3A4F">
      <w:t xml:space="preserve"> of </w:t>
    </w:r>
    <w:r w:rsidR="00F10142">
      <w:fldChar w:fldCharType="begin"/>
    </w:r>
    <w:r w:rsidR="00F10142">
      <w:instrText xml:space="preserve"> NUMPAGES  \* MERGEFORMAT </w:instrText>
    </w:r>
    <w:r w:rsidR="00F10142">
      <w:fldChar w:fldCharType="separate"/>
    </w:r>
    <w:r w:rsidR="00A1132A">
      <w:rPr>
        <w:noProof/>
      </w:rPr>
      <w:t>2</w:t>
    </w:r>
    <w:r w:rsidR="00F1014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05" w:rsidRDefault="00A41C47">
    <w:pPr>
      <w:pStyle w:val="Footer"/>
    </w:pPr>
    <w:r>
      <w:fldChar w:fldCharType="begin"/>
    </w:r>
    <w:r>
      <w:instrText xml:space="preserve"> PAGE  \* MERGEFORMAT </w:instrText>
    </w:r>
    <w:r>
      <w:fldChar w:fldCharType="separate"/>
    </w:r>
    <w:r w:rsidR="000B7601">
      <w:rPr>
        <w:noProof/>
      </w:rPr>
      <w:t>3</w:t>
    </w:r>
    <w:r>
      <w:rPr>
        <w:noProof/>
      </w:rPr>
      <w:fldChar w:fldCharType="end"/>
    </w:r>
    <w:r w:rsidR="005A3A4F">
      <w:t xml:space="preserve"> of </w:t>
    </w:r>
    <w:r w:rsidR="00F10142">
      <w:fldChar w:fldCharType="begin"/>
    </w:r>
    <w:r w:rsidR="00F10142">
      <w:instrText xml:space="preserve"> NUMPAGES  \* MERGEFORMAT </w:instrText>
    </w:r>
    <w:r w:rsidR="00F10142">
      <w:fldChar w:fldCharType="separate"/>
    </w:r>
    <w:r w:rsidR="000B7601">
      <w:rPr>
        <w:noProof/>
      </w:rPr>
      <w:t>3</w:t>
    </w:r>
    <w:r w:rsidR="00F1014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05" w:rsidRDefault="005A3A4F">
    <w:pPr>
      <w:pStyle w:val="Address"/>
    </w:pPr>
    <w:bookmarkStart w:id="1" w:name="FirstPageFooter"/>
    <w:bookmarkEnd w:id="1"/>
    <w:r>
      <w:t xml:space="preserve">PricewaterhouseCoopers LLP, </w:t>
    </w:r>
    <w:smartTag w:uri="urn:schemas-microsoft-com:office:smarttags" w:element="address">
      <w:smartTag w:uri="urn:schemas-microsoft-com:office:smarttags" w:element="Street">
        <w:r>
          <w:t>1 Embankment Place</w:t>
        </w:r>
      </w:smartTag>
    </w:smartTag>
    <w:r>
      <w:t xml:space="preserve">. </w:t>
    </w:r>
    <w:smartTag w:uri="urn:schemas-microsoft-com:office:smarttags" w:element="place">
      <w:smartTag w:uri="urn:schemas-microsoft-com:office:smarttags" w:element="City">
        <w:r>
          <w:t>London</w:t>
        </w:r>
      </w:smartTag>
      <w:r>
        <w:t xml:space="preserve">, </w:t>
      </w:r>
      <w:smartTag w:uri="urn:schemas-microsoft-com:office:smarttags" w:element="place">
        <w:r>
          <w:t>WC2N 6RH</w:t>
        </w:r>
      </w:smartTag>
    </w:smartTag>
  </w:p>
  <w:p w:rsidR="00882F05" w:rsidRDefault="005A3A4F">
    <w:pPr>
      <w:pStyle w:val="Address"/>
      <w:rPr>
        <w:lang w:val="de-DE"/>
      </w:rPr>
    </w:pPr>
    <w:r>
      <w:rPr>
        <w:lang w:val="de-DE"/>
      </w:rPr>
      <w:t>T: +44 (0)20 7 583 5000, F: +44 (0)20 7 822 4652, www.pwc.co.uk</w:t>
    </w:r>
  </w:p>
  <w:p w:rsidR="00882F05" w:rsidRDefault="00882F05">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42" w:rsidRDefault="00F10142">
      <w:pPr>
        <w:spacing w:line="240" w:lineRule="auto"/>
      </w:pPr>
      <w:r>
        <w:separator/>
      </w:r>
    </w:p>
  </w:footnote>
  <w:footnote w:type="continuationSeparator" w:id="0">
    <w:p w:rsidR="00F10142" w:rsidRDefault="00F101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05" w:rsidRDefault="005A3A4F">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82F05" w:rsidRDefault="00882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05" w:rsidRDefault="005A3A4F">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82F05" w:rsidRDefault="00882F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05" w:rsidRDefault="005A3A4F">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1C624C"/>
    <w:lvl w:ilvl="0">
      <w:numFmt w:val="bullet"/>
      <w:lvlText w:val="*"/>
      <w:lvlJc w:val="left"/>
    </w:lvl>
  </w:abstractNum>
  <w:abstractNum w:abstractNumId="1">
    <w:nsid w:val="00A206F5"/>
    <w:multiLevelType w:val="hybridMultilevel"/>
    <w:tmpl w:val="2CF8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33209"/>
    <w:multiLevelType w:val="hybridMultilevel"/>
    <w:tmpl w:val="6996F730"/>
    <w:lvl w:ilvl="0" w:tplc="3CC4AFDE">
      <w:start w:val="17"/>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7449B"/>
    <w:multiLevelType w:val="hybridMultilevel"/>
    <w:tmpl w:val="4746D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417BF6"/>
    <w:multiLevelType w:val="hybridMultilevel"/>
    <w:tmpl w:val="C0702028"/>
    <w:lvl w:ilvl="0" w:tplc="1C8C8372">
      <w:start w:val="1"/>
      <w:numFmt w:val="bullet"/>
      <w:lvlText w:val=""/>
      <w:lvlJc w:val="left"/>
      <w:pPr>
        <w:tabs>
          <w:tab w:val="num" w:pos="720"/>
        </w:tabs>
        <w:ind w:left="720"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F971BF"/>
    <w:multiLevelType w:val="hybridMultilevel"/>
    <w:tmpl w:val="01289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BF4602"/>
    <w:multiLevelType w:val="hybridMultilevel"/>
    <w:tmpl w:val="089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B2806"/>
    <w:multiLevelType w:val="hybridMultilevel"/>
    <w:tmpl w:val="41109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856BF1"/>
    <w:multiLevelType w:val="hybridMultilevel"/>
    <w:tmpl w:val="75F602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5F4529"/>
    <w:multiLevelType w:val="hybridMultilevel"/>
    <w:tmpl w:val="FF12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0E5455"/>
    <w:multiLevelType w:val="hybridMultilevel"/>
    <w:tmpl w:val="3228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8B502A"/>
    <w:multiLevelType w:val="hybridMultilevel"/>
    <w:tmpl w:val="2556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965D8"/>
    <w:multiLevelType w:val="hybridMultilevel"/>
    <w:tmpl w:val="D3C27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DB338E6"/>
    <w:multiLevelType w:val="hybridMultilevel"/>
    <w:tmpl w:val="57A4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26F4B"/>
    <w:multiLevelType w:val="hybridMultilevel"/>
    <w:tmpl w:val="E4AC393A"/>
    <w:lvl w:ilvl="0" w:tplc="D3DADB3E">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nsid w:val="3FC47CA2"/>
    <w:multiLevelType w:val="hybridMultilevel"/>
    <w:tmpl w:val="4D9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24777D"/>
    <w:multiLevelType w:val="hybridMultilevel"/>
    <w:tmpl w:val="7192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26248B"/>
    <w:multiLevelType w:val="hybridMultilevel"/>
    <w:tmpl w:val="232A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925E6B"/>
    <w:multiLevelType w:val="hybridMultilevel"/>
    <w:tmpl w:val="D6D8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805008"/>
    <w:multiLevelType w:val="hybridMultilevel"/>
    <w:tmpl w:val="0C0C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DE3E6C"/>
    <w:multiLevelType w:val="hybridMultilevel"/>
    <w:tmpl w:val="05866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4CD71D6"/>
    <w:multiLevelType w:val="hybridMultilevel"/>
    <w:tmpl w:val="FAC875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B0C1B39"/>
    <w:multiLevelType w:val="hybridMultilevel"/>
    <w:tmpl w:val="13924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D95EB7"/>
    <w:multiLevelType w:val="hybridMultilevel"/>
    <w:tmpl w:val="0A40A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1E34FB"/>
    <w:multiLevelType w:val="hybridMultilevel"/>
    <w:tmpl w:val="91ECAB3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nsid w:val="68D751B6"/>
    <w:multiLevelType w:val="hybridMultilevel"/>
    <w:tmpl w:val="8F92528E"/>
    <w:lvl w:ilvl="0" w:tplc="E6DC1BFA">
      <w:start w:val="1"/>
      <w:numFmt w:val="decimal"/>
      <w:pStyle w:val="ListNumbered"/>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472182F"/>
    <w:multiLevelType w:val="hybridMultilevel"/>
    <w:tmpl w:val="0C9AA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7F74CB"/>
    <w:multiLevelType w:val="hybridMultilevel"/>
    <w:tmpl w:val="97B2F01E"/>
    <w:lvl w:ilvl="0" w:tplc="40A2D53A">
      <w:start w:val="1"/>
      <w:numFmt w:val="decimal"/>
      <w:lvlText w:val="%1."/>
      <w:lvlJc w:val="left"/>
      <w:pPr>
        <w:ind w:left="720" w:hanging="360"/>
      </w:pPr>
      <w:rPr>
        <w:rFonts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181EFE"/>
    <w:multiLevelType w:val="hybridMultilevel"/>
    <w:tmpl w:val="929A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AA02BA"/>
    <w:multiLevelType w:val="hybridMultilevel"/>
    <w:tmpl w:val="9F2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10"/>
  </w:num>
  <w:num w:numId="5">
    <w:abstractNumId w:val="11"/>
  </w:num>
  <w:num w:numId="6">
    <w:abstractNumId w:val="26"/>
  </w:num>
  <w:num w:numId="7">
    <w:abstractNumId w:val="9"/>
  </w:num>
  <w:num w:numId="8">
    <w:abstractNumId w:val="14"/>
  </w:num>
  <w:num w:numId="9">
    <w:abstractNumId w:val="24"/>
  </w:num>
  <w:num w:numId="10">
    <w:abstractNumId w:val="12"/>
  </w:num>
  <w:num w:numId="11">
    <w:abstractNumId w:val="21"/>
  </w:num>
  <w:num w:numId="12">
    <w:abstractNumId w:val="25"/>
  </w:num>
  <w:num w:numId="13">
    <w:abstractNumId w:val="8"/>
  </w:num>
  <w:num w:numId="14">
    <w:abstractNumId w:val="29"/>
  </w:num>
  <w:num w:numId="15">
    <w:abstractNumId w:val="22"/>
  </w:num>
  <w:num w:numId="16">
    <w:abstractNumId w:val="28"/>
  </w:num>
  <w:num w:numId="17">
    <w:abstractNumId w:val="16"/>
  </w:num>
  <w:num w:numId="18">
    <w:abstractNumId w:val="27"/>
  </w:num>
  <w:num w:numId="19">
    <w:abstractNumId w:val="2"/>
  </w:num>
  <w:num w:numId="20">
    <w:abstractNumId w:val="15"/>
  </w:num>
  <w:num w:numId="21">
    <w:abstractNumId w:val="19"/>
  </w:num>
  <w:num w:numId="22">
    <w:abstractNumId w:val="0"/>
    <w:lvlOverride w:ilvl="0">
      <w:lvl w:ilvl="0">
        <w:numFmt w:val="bullet"/>
        <w:lvlText w:val=""/>
        <w:legacy w:legacy="1" w:legacySpace="0" w:legacyIndent="0"/>
        <w:lvlJc w:val="left"/>
        <w:rPr>
          <w:rFonts w:ascii="Symbol" w:hAnsi="Symbol" w:hint="default"/>
          <w:sz w:val="22"/>
        </w:rPr>
      </w:lvl>
    </w:lvlOverride>
  </w:num>
  <w:num w:numId="23">
    <w:abstractNumId w:val="20"/>
  </w:num>
  <w:num w:numId="24">
    <w:abstractNumId w:val="7"/>
  </w:num>
  <w:num w:numId="25">
    <w:abstractNumId w:val="6"/>
  </w:num>
  <w:num w:numId="26">
    <w:abstractNumId w:val="13"/>
  </w:num>
  <w:num w:numId="27">
    <w:abstractNumId w:val="3"/>
  </w:num>
  <w:num w:numId="28">
    <w:abstractNumId w:val="18"/>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05"/>
    <w:rsid w:val="000111CA"/>
    <w:rsid w:val="00012AD2"/>
    <w:rsid w:val="0001692F"/>
    <w:rsid w:val="000739DA"/>
    <w:rsid w:val="00092AA0"/>
    <w:rsid w:val="000A5933"/>
    <w:rsid w:val="000B7601"/>
    <w:rsid w:val="000C2D80"/>
    <w:rsid w:val="000F0C30"/>
    <w:rsid w:val="000F1BB6"/>
    <w:rsid w:val="00114CEA"/>
    <w:rsid w:val="00116B57"/>
    <w:rsid w:val="00136A46"/>
    <w:rsid w:val="00145C6E"/>
    <w:rsid w:val="00152444"/>
    <w:rsid w:val="00153E1D"/>
    <w:rsid w:val="0018309E"/>
    <w:rsid w:val="001A04C5"/>
    <w:rsid w:val="001A5D39"/>
    <w:rsid w:val="001B1E2C"/>
    <w:rsid w:val="001B22B0"/>
    <w:rsid w:val="001B6363"/>
    <w:rsid w:val="001D7CEB"/>
    <w:rsid w:val="002229E5"/>
    <w:rsid w:val="0024485D"/>
    <w:rsid w:val="00291686"/>
    <w:rsid w:val="003A635D"/>
    <w:rsid w:val="003F6F58"/>
    <w:rsid w:val="00413052"/>
    <w:rsid w:val="00436A17"/>
    <w:rsid w:val="00437E38"/>
    <w:rsid w:val="00443F0A"/>
    <w:rsid w:val="004A3A16"/>
    <w:rsid w:val="004E6D10"/>
    <w:rsid w:val="004F23BF"/>
    <w:rsid w:val="004F7291"/>
    <w:rsid w:val="005165C6"/>
    <w:rsid w:val="00523D97"/>
    <w:rsid w:val="005966C5"/>
    <w:rsid w:val="005A3A4F"/>
    <w:rsid w:val="005D0E65"/>
    <w:rsid w:val="005D3944"/>
    <w:rsid w:val="005F78A2"/>
    <w:rsid w:val="006574B7"/>
    <w:rsid w:val="00677B2C"/>
    <w:rsid w:val="006B47ED"/>
    <w:rsid w:val="006C2513"/>
    <w:rsid w:val="006F15AE"/>
    <w:rsid w:val="006F72FB"/>
    <w:rsid w:val="007015B6"/>
    <w:rsid w:val="007243B0"/>
    <w:rsid w:val="00750856"/>
    <w:rsid w:val="00751EB1"/>
    <w:rsid w:val="007760F9"/>
    <w:rsid w:val="007C4AAF"/>
    <w:rsid w:val="007E10B4"/>
    <w:rsid w:val="00805E46"/>
    <w:rsid w:val="0082562C"/>
    <w:rsid w:val="00840355"/>
    <w:rsid w:val="00846D5B"/>
    <w:rsid w:val="0088126D"/>
    <w:rsid w:val="00882F05"/>
    <w:rsid w:val="008B2E46"/>
    <w:rsid w:val="008B5108"/>
    <w:rsid w:val="00971644"/>
    <w:rsid w:val="009B5DFC"/>
    <w:rsid w:val="00A04F9E"/>
    <w:rsid w:val="00A1132A"/>
    <w:rsid w:val="00A13F05"/>
    <w:rsid w:val="00A30C32"/>
    <w:rsid w:val="00A41C47"/>
    <w:rsid w:val="00A627E4"/>
    <w:rsid w:val="00A90035"/>
    <w:rsid w:val="00AA7186"/>
    <w:rsid w:val="00B26B79"/>
    <w:rsid w:val="00B42760"/>
    <w:rsid w:val="00B56385"/>
    <w:rsid w:val="00B70558"/>
    <w:rsid w:val="00BC47EB"/>
    <w:rsid w:val="00BD7071"/>
    <w:rsid w:val="00BF61E7"/>
    <w:rsid w:val="00C06AB8"/>
    <w:rsid w:val="00C13979"/>
    <w:rsid w:val="00C179B9"/>
    <w:rsid w:val="00CB259A"/>
    <w:rsid w:val="00CD700E"/>
    <w:rsid w:val="00D04B0A"/>
    <w:rsid w:val="00D146A3"/>
    <w:rsid w:val="00D369D8"/>
    <w:rsid w:val="00D5099E"/>
    <w:rsid w:val="00D761B4"/>
    <w:rsid w:val="00D84D5E"/>
    <w:rsid w:val="00D93576"/>
    <w:rsid w:val="00DA0BC7"/>
    <w:rsid w:val="00DA4639"/>
    <w:rsid w:val="00DF54B8"/>
    <w:rsid w:val="00E22101"/>
    <w:rsid w:val="00E42D11"/>
    <w:rsid w:val="00E4472C"/>
    <w:rsid w:val="00E45469"/>
    <w:rsid w:val="00E52201"/>
    <w:rsid w:val="00E66005"/>
    <w:rsid w:val="00E67603"/>
    <w:rsid w:val="00E874AF"/>
    <w:rsid w:val="00EE1AFD"/>
    <w:rsid w:val="00EE54C0"/>
    <w:rsid w:val="00EF38C5"/>
    <w:rsid w:val="00F10142"/>
    <w:rsid w:val="00F13ACD"/>
    <w:rsid w:val="00F5555E"/>
    <w:rsid w:val="00F56E4A"/>
    <w:rsid w:val="00F643CD"/>
    <w:rsid w:val="00FB52E6"/>
    <w:rsid w:val="00FC2D70"/>
    <w:rsid w:val="00FE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05"/>
    <w:pPr>
      <w:spacing w:line="240" w:lineRule="atLeast"/>
    </w:pPr>
    <w:rPr>
      <w:rFonts w:ascii="Georgia" w:hAnsi="Georgia"/>
      <w:szCs w:val="22"/>
      <w:lang w:eastAsia="en-US"/>
    </w:rPr>
  </w:style>
  <w:style w:type="paragraph" w:styleId="Heading1">
    <w:name w:val="heading 1"/>
    <w:basedOn w:val="Normal"/>
    <w:next w:val="Normal"/>
    <w:link w:val="Heading1Char"/>
    <w:uiPriority w:val="99"/>
    <w:qFormat/>
    <w:rsid w:val="00882F05"/>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locked/>
    <w:rsid w:val="003A63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2F05"/>
    <w:rPr>
      <w:rFonts w:ascii="Cambria" w:hAnsi="Cambria" w:cs="Times New Roman"/>
      <w:b/>
      <w:bCs/>
      <w:kern w:val="32"/>
      <w:sz w:val="32"/>
      <w:szCs w:val="32"/>
    </w:rPr>
  </w:style>
  <w:style w:type="paragraph" w:styleId="Header">
    <w:name w:val="header"/>
    <w:basedOn w:val="Normal"/>
    <w:link w:val="HeaderChar"/>
    <w:uiPriority w:val="99"/>
    <w:semiHidden/>
    <w:rsid w:val="00882F05"/>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882F05"/>
    <w:rPr>
      <w:rFonts w:cs="Times New Roman"/>
    </w:rPr>
  </w:style>
  <w:style w:type="paragraph" w:styleId="Footer">
    <w:name w:val="footer"/>
    <w:basedOn w:val="Normal"/>
    <w:link w:val="FooterChar"/>
    <w:uiPriority w:val="99"/>
    <w:semiHidden/>
    <w:rsid w:val="00882F05"/>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882F05"/>
    <w:rPr>
      <w:rFonts w:cs="Times New Roman"/>
    </w:rPr>
  </w:style>
  <w:style w:type="paragraph" w:styleId="BodyText">
    <w:name w:val="Body Text"/>
    <w:basedOn w:val="Normal"/>
    <w:link w:val="BodyTextChar"/>
    <w:uiPriority w:val="99"/>
    <w:rsid w:val="00882F05"/>
    <w:pPr>
      <w:spacing w:after="240"/>
    </w:pPr>
  </w:style>
  <w:style w:type="character" w:customStyle="1" w:styleId="BodyTextChar">
    <w:name w:val="Body Text Char"/>
    <w:basedOn w:val="DefaultParagraphFont"/>
    <w:link w:val="BodyText"/>
    <w:uiPriority w:val="99"/>
    <w:locked/>
    <w:rsid w:val="00882F05"/>
    <w:rPr>
      <w:rFonts w:ascii="Georgia" w:hAnsi="Georgia" w:cs="Times New Roman"/>
      <w:sz w:val="20"/>
    </w:rPr>
  </w:style>
  <w:style w:type="paragraph" w:styleId="Title">
    <w:name w:val="Title"/>
    <w:basedOn w:val="Normal"/>
    <w:next w:val="Normal"/>
    <w:link w:val="TitleChar"/>
    <w:uiPriority w:val="10"/>
    <w:qFormat/>
    <w:rsid w:val="00882F05"/>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locked/>
    <w:rsid w:val="00882F05"/>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882F05"/>
    <w:pPr>
      <w:spacing w:line="200" w:lineRule="atLeast"/>
    </w:pPr>
    <w:rPr>
      <w:i/>
      <w:sz w:val="18"/>
    </w:rPr>
  </w:style>
  <w:style w:type="character" w:customStyle="1" w:styleId="AddressChar">
    <w:name w:val="Address Char"/>
    <w:basedOn w:val="DefaultParagraphFont"/>
    <w:link w:val="Address"/>
    <w:uiPriority w:val="99"/>
    <w:locked/>
    <w:rsid w:val="00882F05"/>
    <w:rPr>
      <w:rFonts w:ascii="Georgia" w:hAnsi="Georgia" w:cs="Times New Roman"/>
      <w:i/>
      <w:sz w:val="18"/>
    </w:rPr>
  </w:style>
  <w:style w:type="paragraph" w:customStyle="1" w:styleId="Disclaimer">
    <w:name w:val="Disclaimer"/>
    <w:basedOn w:val="Normal"/>
    <w:link w:val="DisclaimerChar"/>
    <w:uiPriority w:val="99"/>
    <w:rsid w:val="00882F05"/>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882F05"/>
    <w:rPr>
      <w:rFonts w:ascii="Arial" w:hAnsi="Arial" w:cs="Arial"/>
      <w:sz w:val="12"/>
    </w:rPr>
  </w:style>
  <w:style w:type="paragraph" w:customStyle="1" w:styleId="ReleaseBodyText">
    <w:name w:val="Release Body Text"/>
    <w:uiPriority w:val="99"/>
    <w:rsid w:val="00882F05"/>
    <w:rPr>
      <w:rFonts w:ascii="Arial" w:eastAsia="Times New Roman" w:hAnsi="Arial" w:cs="Arial"/>
      <w:lang w:eastAsia="en-US"/>
    </w:rPr>
  </w:style>
  <w:style w:type="paragraph" w:customStyle="1" w:styleId="Heading">
    <w:name w:val="Heading"/>
    <w:basedOn w:val="Normal"/>
    <w:uiPriority w:val="99"/>
    <w:rsid w:val="00882F05"/>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rsid w:val="00882F05"/>
    <w:rPr>
      <w:rFonts w:cs="Times New Roman"/>
      <w:sz w:val="16"/>
      <w:szCs w:val="16"/>
    </w:rPr>
  </w:style>
  <w:style w:type="paragraph" w:styleId="CommentText">
    <w:name w:val="annotation text"/>
    <w:basedOn w:val="Normal"/>
    <w:link w:val="CommentTextChar"/>
    <w:uiPriority w:val="99"/>
    <w:semiHidden/>
    <w:rsid w:val="00882F05"/>
    <w:pPr>
      <w:spacing w:line="240" w:lineRule="auto"/>
    </w:pPr>
    <w:rPr>
      <w:szCs w:val="20"/>
    </w:rPr>
  </w:style>
  <w:style w:type="character" w:customStyle="1" w:styleId="CommentTextChar">
    <w:name w:val="Comment Text Char"/>
    <w:basedOn w:val="DefaultParagraphFont"/>
    <w:link w:val="CommentText"/>
    <w:uiPriority w:val="99"/>
    <w:semiHidden/>
    <w:locked/>
    <w:rsid w:val="00882F05"/>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882F05"/>
    <w:rPr>
      <w:b/>
      <w:bCs/>
    </w:rPr>
  </w:style>
  <w:style w:type="character" w:customStyle="1" w:styleId="CommentSubjectChar">
    <w:name w:val="Comment Subject Char"/>
    <w:basedOn w:val="CommentTextChar"/>
    <w:link w:val="CommentSubject"/>
    <w:uiPriority w:val="99"/>
    <w:semiHidden/>
    <w:locked/>
    <w:rsid w:val="00882F05"/>
    <w:rPr>
      <w:rFonts w:ascii="Georgia" w:hAnsi="Georgia" w:cs="Times New Roman"/>
      <w:b/>
      <w:bCs/>
      <w:lang w:eastAsia="en-US"/>
    </w:rPr>
  </w:style>
  <w:style w:type="paragraph" w:styleId="BalloonText">
    <w:name w:val="Balloon Text"/>
    <w:basedOn w:val="Normal"/>
    <w:link w:val="BalloonTextChar"/>
    <w:uiPriority w:val="99"/>
    <w:semiHidden/>
    <w:rsid w:val="00882F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F05"/>
    <w:rPr>
      <w:rFonts w:ascii="Tahoma" w:hAnsi="Tahoma" w:cs="Tahoma"/>
      <w:sz w:val="16"/>
      <w:szCs w:val="16"/>
      <w:lang w:eastAsia="en-US"/>
    </w:rPr>
  </w:style>
  <w:style w:type="character" w:styleId="Hyperlink">
    <w:name w:val="Hyperlink"/>
    <w:basedOn w:val="DefaultParagraphFont"/>
    <w:uiPriority w:val="99"/>
    <w:rsid w:val="00882F05"/>
    <w:rPr>
      <w:rFonts w:cs="Times New Roman"/>
      <w:color w:val="0000FF"/>
      <w:u w:val="single"/>
    </w:rPr>
  </w:style>
  <w:style w:type="paragraph" w:styleId="ListParagraph">
    <w:name w:val="List Paragraph"/>
    <w:basedOn w:val="Normal"/>
    <w:uiPriority w:val="99"/>
    <w:qFormat/>
    <w:rsid w:val="00882F05"/>
    <w:pPr>
      <w:ind w:left="720"/>
      <w:contextualSpacing/>
    </w:pPr>
  </w:style>
  <w:style w:type="paragraph" w:customStyle="1" w:styleId="Subject">
    <w:name w:val="Subject"/>
    <w:basedOn w:val="Normal"/>
    <w:uiPriority w:val="99"/>
    <w:rsid w:val="00882F05"/>
    <w:pPr>
      <w:keepNext/>
      <w:keepLines/>
      <w:spacing w:line="290" w:lineRule="atLeast"/>
    </w:pPr>
    <w:rPr>
      <w:rFonts w:ascii="Times New Roman" w:hAnsi="Times New Roman"/>
      <w:b/>
      <w:sz w:val="24"/>
      <w:szCs w:val="20"/>
    </w:rPr>
  </w:style>
  <w:style w:type="paragraph" w:customStyle="1" w:styleId="ListNumbered">
    <w:name w:val="List Numbered"/>
    <w:basedOn w:val="Normal"/>
    <w:rsid w:val="00882F05"/>
    <w:pPr>
      <w:numPr>
        <w:numId w:val="12"/>
      </w:numPr>
      <w:spacing w:line="240" w:lineRule="auto"/>
    </w:pPr>
    <w:rPr>
      <w:rFonts w:ascii="Arial" w:eastAsia="Times New Roman" w:hAnsi="Arial" w:cs="Arial"/>
      <w:szCs w:val="20"/>
    </w:rPr>
  </w:style>
  <w:style w:type="table" w:styleId="LightShading">
    <w:name w:val="Light Shading"/>
    <w:basedOn w:val="TableNormal"/>
    <w:uiPriority w:val="60"/>
    <w:rsid w:val="00882F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locked/>
    <w:rsid w:val="00882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
    <w:name w:val="PwC Table Text"/>
    <w:basedOn w:val="TableNormal"/>
    <w:uiPriority w:val="99"/>
    <w:qFormat/>
    <w:rsid w:val="00882F05"/>
    <w:pPr>
      <w:spacing w:before="60" w:after="60"/>
    </w:pPr>
    <w:rPr>
      <w:rFonts w:ascii="Georgia" w:eastAsiaTheme="minorHAnsi" w:hAnsi="Georgia" w:cstheme="minorBidi"/>
      <w:lang w:eastAsia="en-US"/>
    </w:rPr>
    <w:tblPr>
      <w:tblStyleRowBandSize w:val="1"/>
      <w:tblInd w:w="0" w:type="dxa"/>
      <w:tblBorders>
        <w:insideH w:val="dotted" w:sz="4" w:space="0" w:color="1F497D" w:themeColor="text2"/>
      </w:tblBorders>
      <w:tblCellMar>
        <w:top w:w="0" w:type="dxa"/>
        <w:left w:w="108" w:type="dxa"/>
        <w:bottom w:w="0" w:type="dxa"/>
        <w:right w:w="108"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Heading3Char">
    <w:name w:val="Heading 3 Char"/>
    <w:basedOn w:val="DefaultParagraphFont"/>
    <w:link w:val="Heading3"/>
    <w:semiHidden/>
    <w:rsid w:val="003A635D"/>
    <w:rPr>
      <w:rFonts w:asciiTheme="majorHAnsi" w:eastAsiaTheme="majorEastAsia" w:hAnsiTheme="majorHAnsi" w:cstheme="majorBidi"/>
      <w:b/>
      <w:bCs/>
      <w:color w:val="4F81BD" w:themeColor="accent1"/>
      <w:szCs w:val="22"/>
      <w:lang w:eastAsia="en-US"/>
    </w:rPr>
  </w:style>
  <w:style w:type="paragraph" w:styleId="NormalWeb">
    <w:name w:val="Normal (Web)"/>
    <w:basedOn w:val="Normal"/>
    <w:uiPriority w:val="99"/>
    <w:semiHidden/>
    <w:unhideWhenUsed/>
    <w:rsid w:val="00523D9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Single">
    <w:name w:val="Body Single"/>
    <w:basedOn w:val="BodyText"/>
    <w:link w:val="BodySingleChar"/>
    <w:uiPriority w:val="1"/>
    <w:qFormat/>
    <w:rsid w:val="00145C6E"/>
    <w:pPr>
      <w:spacing w:after="0"/>
    </w:pPr>
    <w:rPr>
      <w:rFonts w:eastAsiaTheme="minorHAnsi" w:cstheme="minorBidi"/>
      <w:szCs w:val="20"/>
    </w:rPr>
  </w:style>
  <w:style w:type="character" w:customStyle="1" w:styleId="BodySingleChar">
    <w:name w:val="Body Single Char"/>
    <w:basedOn w:val="BodyTextChar"/>
    <w:link w:val="BodySingle"/>
    <w:uiPriority w:val="1"/>
    <w:rsid w:val="00145C6E"/>
    <w:rPr>
      <w:rFonts w:ascii="Georgia" w:eastAsiaTheme="minorHAnsi" w:hAnsi="Georgia" w:cstheme="minorBidi"/>
      <w:sz w:val="20"/>
      <w:lang w:eastAsia="en-US"/>
    </w:rPr>
  </w:style>
  <w:style w:type="character" w:styleId="Strong">
    <w:name w:val="Strong"/>
    <w:basedOn w:val="DefaultParagraphFont"/>
    <w:uiPriority w:val="22"/>
    <w:qFormat/>
    <w:locked/>
    <w:rsid w:val="00145C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05"/>
    <w:pPr>
      <w:spacing w:line="240" w:lineRule="atLeast"/>
    </w:pPr>
    <w:rPr>
      <w:rFonts w:ascii="Georgia" w:hAnsi="Georgia"/>
      <w:szCs w:val="22"/>
      <w:lang w:eastAsia="en-US"/>
    </w:rPr>
  </w:style>
  <w:style w:type="paragraph" w:styleId="Heading1">
    <w:name w:val="heading 1"/>
    <w:basedOn w:val="Normal"/>
    <w:next w:val="Normal"/>
    <w:link w:val="Heading1Char"/>
    <w:uiPriority w:val="99"/>
    <w:qFormat/>
    <w:rsid w:val="00882F05"/>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locked/>
    <w:rsid w:val="003A63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2F05"/>
    <w:rPr>
      <w:rFonts w:ascii="Cambria" w:hAnsi="Cambria" w:cs="Times New Roman"/>
      <w:b/>
      <w:bCs/>
      <w:kern w:val="32"/>
      <w:sz w:val="32"/>
      <w:szCs w:val="32"/>
    </w:rPr>
  </w:style>
  <w:style w:type="paragraph" w:styleId="Header">
    <w:name w:val="header"/>
    <w:basedOn w:val="Normal"/>
    <w:link w:val="HeaderChar"/>
    <w:uiPriority w:val="99"/>
    <w:semiHidden/>
    <w:rsid w:val="00882F05"/>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882F05"/>
    <w:rPr>
      <w:rFonts w:cs="Times New Roman"/>
    </w:rPr>
  </w:style>
  <w:style w:type="paragraph" w:styleId="Footer">
    <w:name w:val="footer"/>
    <w:basedOn w:val="Normal"/>
    <w:link w:val="FooterChar"/>
    <w:uiPriority w:val="99"/>
    <w:semiHidden/>
    <w:rsid w:val="00882F05"/>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882F05"/>
    <w:rPr>
      <w:rFonts w:cs="Times New Roman"/>
    </w:rPr>
  </w:style>
  <w:style w:type="paragraph" w:styleId="BodyText">
    <w:name w:val="Body Text"/>
    <w:basedOn w:val="Normal"/>
    <w:link w:val="BodyTextChar"/>
    <w:uiPriority w:val="99"/>
    <w:rsid w:val="00882F05"/>
    <w:pPr>
      <w:spacing w:after="240"/>
    </w:pPr>
  </w:style>
  <w:style w:type="character" w:customStyle="1" w:styleId="BodyTextChar">
    <w:name w:val="Body Text Char"/>
    <w:basedOn w:val="DefaultParagraphFont"/>
    <w:link w:val="BodyText"/>
    <w:uiPriority w:val="99"/>
    <w:locked/>
    <w:rsid w:val="00882F05"/>
    <w:rPr>
      <w:rFonts w:ascii="Georgia" w:hAnsi="Georgia" w:cs="Times New Roman"/>
      <w:sz w:val="20"/>
    </w:rPr>
  </w:style>
  <w:style w:type="paragraph" w:styleId="Title">
    <w:name w:val="Title"/>
    <w:basedOn w:val="Normal"/>
    <w:next w:val="Normal"/>
    <w:link w:val="TitleChar"/>
    <w:uiPriority w:val="10"/>
    <w:qFormat/>
    <w:rsid w:val="00882F05"/>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locked/>
    <w:rsid w:val="00882F05"/>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882F05"/>
    <w:pPr>
      <w:spacing w:line="200" w:lineRule="atLeast"/>
    </w:pPr>
    <w:rPr>
      <w:i/>
      <w:sz w:val="18"/>
    </w:rPr>
  </w:style>
  <w:style w:type="character" w:customStyle="1" w:styleId="AddressChar">
    <w:name w:val="Address Char"/>
    <w:basedOn w:val="DefaultParagraphFont"/>
    <w:link w:val="Address"/>
    <w:uiPriority w:val="99"/>
    <w:locked/>
    <w:rsid w:val="00882F05"/>
    <w:rPr>
      <w:rFonts w:ascii="Georgia" w:hAnsi="Georgia" w:cs="Times New Roman"/>
      <w:i/>
      <w:sz w:val="18"/>
    </w:rPr>
  </w:style>
  <w:style w:type="paragraph" w:customStyle="1" w:styleId="Disclaimer">
    <w:name w:val="Disclaimer"/>
    <w:basedOn w:val="Normal"/>
    <w:link w:val="DisclaimerChar"/>
    <w:uiPriority w:val="99"/>
    <w:rsid w:val="00882F05"/>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882F05"/>
    <w:rPr>
      <w:rFonts w:ascii="Arial" w:hAnsi="Arial" w:cs="Arial"/>
      <w:sz w:val="12"/>
    </w:rPr>
  </w:style>
  <w:style w:type="paragraph" w:customStyle="1" w:styleId="ReleaseBodyText">
    <w:name w:val="Release Body Text"/>
    <w:uiPriority w:val="99"/>
    <w:rsid w:val="00882F05"/>
    <w:rPr>
      <w:rFonts w:ascii="Arial" w:eastAsia="Times New Roman" w:hAnsi="Arial" w:cs="Arial"/>
      <w:lang w:eastAsia="en-US"/>
    </w:rPr>
  </w:style>
  <w:style w:type="paragraph" w:customStyle="1" w:styleId="Heading">
    <w:name w:val="Heading"/>
    <w:basedOn w:val="Normal"/>
    <w:uiPriority w:val="99"/>
    <w:rsid w:val="00882F05"/>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rsid w:val="00882F05"/>
    <w:rPr>
      <w:rFonts w:cs="Times New Roman"/>
      <w:sz w:val="16"/>
      <w:szCs w:val="16"/>
    </w:rPr>
  </w:style>
  <w:style w:type="paragraph" w:styleId="CommentText">
    <w:name w:val="annotation text"/>
    <w:basedOn w:val="Normal"/>
    <w:link w:val="CommentTextChar"/>
    <w:uiPriority w:val="99"/>
    <w:semiHidden/>
    <w:rsid w:val="00882F05"/>
    <w:pPr>
      <w:spacing w:line="240" w:lineRule="auto"/>
    </w:pPr>
    <w:rPr>
      <w:szCs w:val="20"/>
    </w:rPr>
  </w:style>
  <w:style w:type="character" w:customStyle="1" w:styleId="CommentTextChar">
    <w:name w:val="Comment Text Char"/>
    <w:basedOn w:val="DefaultParagraphFont"/>
    <w:link w:val="CommentText"/>
    <w:uiPriority w:val="99"/>
    <w:semiHidden/>
    <w:locked/>
    <w:rsid w:val="00882F05"/>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882F05"/>
    <w:rPr>
      <w:b/>
      <w:bCs/>
    </w:rPr>
  </w:style>
  <w:style w:type="character" w:customStyle="1" w:styleId="CommentSubjectChar">
    <w:name w:val="Comment Subject Char"/>
    <w:basedOn w:val="CommentTextChar"/>
    <w:link w:val="CommentSubject"/>
    <w:uiPriority w:val="99"/>
    <w:semiHidden/>
    <w:locked/>
    <w:rsid w:val="00882F05"/>
    <w:rPr>
      <w:rFonts w:ascii="Georgia" w:hAnsi="Georgia" w:cs="Times New Roman"/>
      <w:b/>
      <w:bCs/>
      <w:lang w:eastAsia="en-US"/>
    </w:rPr>
  </w:style>
  <w:style w:type="paragraph" w:styleId="BalloonText">
    <w:name w:val="Balloon Text"/>
    <w:basedOn w:val="Normal"/>
    <w:link w:val="BalloonTextChar"/>
    <w:uiPriority w:val="99"/>
    <w:semiHidden/>
    <w:rsid w:val="00882F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F05"/>
    <w:rPr>
      <w:rFonts w:ascii="Tahoma" w:hAnsi="Tahoma" w:cs="Tahoma"/>
      <w:sz w:val="16"/>
      <w:szCs w:val="16"/>
      <w:lang w:eastAsia="en-US"/>
    </w:rPr>
  </w:style>
  <w:style w:type="character" w:styleId="Hyperlink">
    <w:name w:val="Hyperlink"/>
    <w:basedOn w:val="DefaultParagraphFont"/>
    <w:uiPriority w:val="99"/>
    <w:rsid w:val="00882F05"/>
    <w:rPr>
      <w:rFonts w:cs="Times New Roman"/>
      <w:color w:val="0000FF"/>
      <w:u w:val="single"/>
    </w:rPr>
  </w:style>
  <w:style w:type="paragraph" w:styleId="ListParagraph">
    <w:name w:val="List Paragraph"/>
    <w:basedOn w:val="Normal"/>
    <w:uiPriority w:val="99"/>
    <w:qFormat/>
    <w:rsid w:val="00882F05"/>
    <w:pPr>
      <w:ind w:left="720"/>
      <w:contextualSpacing/>
    </w:pPr>
  </w:style>
  <w:style w:type="paragraph" w:customStyle="1" w:styleId="Subject">
    <w:name w:val="Subject"/>
    <w:basedOn w:val="Normal"/>
    <w:uiPriority w:val="99"/>
    <w:rsid w:val="00882F05"/>
    <w:pPr>
      <w:keepNext/>
      <w:keepLines/>
      <w:spacing w:line="290" w:lineRule="atLeast"/>
    </w:pPr>
    <w:rPr>
      <w:rFonts w:ascii="Times New Roman" w:hAnsi="Times New Roman"/>
      <w:b/>
      <w:sz w:val="24"/>
      <w:szCs w:val="20"/>
    </w:rPr>
  </w:style>
  <w:style w:type="paragraph" w:customStyle="1" w:styleId="ListNumbered">
    <w:name w:val="List Numbered"/>
    <w:basedOn w:val="Normal"/>
    <w:rsid w:val="00882F05"/>
    <w:pPr>
      <w:numPr>
        <w:numId w:val="12"/>
      </w:numPr>
      <w:spacing w:line="240" w:lineRule="auto"/>
    </w:pPr>
    <w:rPr>
      <w:rFonts w:ascii="Arial" w:eastAsia="Times New Roman" w:hAnsi="Arial" w:cs="Arial"/>
      <w:szCs w:val="20"/>
    </w:rPr>
  </w:style>
  <w:style w:type="table" w:styleId="LightShading">
    <w:name w:val="Light Shading"/>
    <w:basedOn w:val="TableNormal"/>
    <w:uiPriority w:val="60"/>
    <w:rsid w:val="00882F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locked/>
    <w:rsid w:val="00882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
    <w:name w:val="PwC Table Text"/>
    <w:basedOn w:val="TableNormal"/>
    <w:uiPriority w:val="99"/>
    <w:qFormat/>
    <w:rsid w:val="00882F05"/>
    <w:pPr>
      <w:spacing w:before="60" w:after="60"/>
    </w:pPr>
    <w:rPr>
      <w:rFonts w:ascii="Georgia" w:eastAsiaTheme="minorHAnsi" w:hAnsi="Georgia" w:cstheme="minorBidi"/>
      <w:lang w:eastAsia="en-US"/>
    </w:rPr>
    <w:tblPr>
      <w:tblStyleRowBandSize w:val="1"/>
      <w:tblInd w:w="0" w:type="dxa"/>
      <w:tblBorders>
        <w:insideH w:val="dotted" w:sz="4" w:space="0" w:color="1F497D" w:themeColor="text2"/>
      </w:tblBorders>
      <w:tblCellMar>
        <w:top w:w="0" w:type="dxa"/>
        <w:left w:w="108" w:type="dxa"/>
        <w:bottom w:w="0" w:type="dxa"/>
        <w:right w:w="108"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Heading3Char">
    <w:name w:val="Heading 3 Char"/>
    <w:basedOn w:val="DefaultParagraphFont"/>
    <w:link w:val="Heading3"/>
    <w:semiHidden/>
    <w:rsid w:val="003A635D"/>
    <w:rPr>
      <w:rFonts w:asciiTheme="majorHAnsi" w:eastAsiaTheme="majorEastAsia" w:hAnsiTheme="majorHAnsi" w:cstheme="majorBidi"/>
      <w:b/>
      <w:bCs/>
      <w:color w:val="4F81BD" w:themeColor="accent1"/>
      <w:szCs w:val="22"/>
      <w:lang w:eastAsia="en-US"/>
    </w:rPr>
  </w:style>
  <w:style w:type="paragraph" w:styleId="NormalWeb">
    <w:name w:val="Normal (Web)"/>
    <w:basedOn w:val="Normal"/>
    <w:uiPriority w:val="99"/>
    <w:semiHidden/>
    <w:unhideWhenUsed/>
    <w:rsid w:val="00523D9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Single">
    <w:name w:val="Body Single"/>
    <w:basedOn w:val="BodyText"/>
    <w:link w:val="BodySingleChar"/>
    <w:uiPriority w:val="1"/>
    <w:qFormat/>
    <w:rsid w:val="00145C6E"/>
    <w:pPr>
      <w:spacing w:after="0"/>
    </w:pPr>
    <w:rPr>
      <w:rFonts w:eastAsiaTheme="minorHAnsi" w:cstheme="minorBidi"/>
      <w:szCs w:val="20"/>
    </w:rPr>
  </w:style>
  <w:style w:type="character" w:customStyle="1" w:styleId="BodySingleChar">
    <w:name w:val="Body Single Char"/>
    <w:basedOn w:val="BodyTextChar"/>
    <w:link w:val="BodySingle"/>
    <w:uiPriority w:val="1"/>
    <w:rsid w:val="00145C6E"/>
    <w:rPr>
      <w:rFonts w:ascii="Georgia" w:eastAsiaTheme="minorHAnsi" w:hAnsi="Georgia" w:cstheme="minorBidi"/>
      <w:sz w:val="20"/>
      <w:lang w:eastAsia="en-US"/>
    </w:rPr>
  </w:style>
  <w:style w:type="character" w:styleId="Strong">
    <w:name w:val="Strong"/>
    <w:basedOn w:val="DefaultParagraphFont"/>
    <w:uiPriority w:val="22"/>
    <w:qFormat/>
    <w:locked/>
    <w:rsid w:val="00145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7040">
      <w:bodyDiv w:val="1"/>
      <w:marLeft w:val="0"/>
      <w:marRight w:val="0"/>
      <w:marTop w:val="0"/>
      <w:marBottom w:val="0"/>
      <w:divBdr>
        <w:top w:val="none" w:sz="0" w:space="0" w:color="auto"/>
        <w:left w:val="none" w:sz="0" w:space="0" w:color="auto"/>
        <w:bottom w:val="none" w:sz="0" w:space="0" w:color="auto"/>
        <w:right w:val="none" w:sz="0" w:space="0" w:color="auto"/>
      </w:divBdr>
      <w:divsChild>
        <w:div w:id="588076656">
          <w:marLeft w:val="0"/>
          <w:marRight w:val="0"/>
          <w:marTop w:val="0"/>
          <w:marBottom w:val="0"/>
          <w:divBdr>
            <w:top w:val="none" w:sz="0" w:space="0" w:color="auto"/>
            <w:left w:val="none" w:sz="0" w:space="0" w:color="auto"/>
            <w:bottom w:val="none" w:sz="0" w:space="0" w:color="auto"/>
            <w:right w:val="none" w:sz="0" w:space="0" w:color="auto"/>
          </w:divBdr>
          <w:divsChild>
            <w:div w:id="1511407641">
              <w:marLeft w:val="0"/>
              <w:marRight w:val="0"/>
              <w:marTop w:val="0"/>
              <w:marBottom w:val="0"/>
              <w:divBdr>
                <w:top w:val="none" w:sz="0" w:space="0" w:color="auto"/>
                <w:left w:val="none" w:sz="0" w:space="0" w:color="auto"/>
                <w:bottom w:val="none" w:sz="0" w:space="0" w:color="auto"/>
                <w:right w:val="none" w:sz="0" w:space="0" w:color="auto"/>
              </w:divBdr>
              <w:divsChild>
                <w:div w:id="654839037">
                  <w:marLeft w:val="0"/>
                  <w:marRight w:val="0"/>
                  <w:marTop w:val="0"/>
                  <w:marBottom w:val="0"/>
                  <w:divBdr>
                    <w:top w:val="none" w:sz="0" w:space="0" w:color="auto"/>
                    <w:left w:val="none" w:sz="0" w:space="0" w:color="auto"/>
                    <w:bottom w:val="none" w:sz="0" w:space="0" w:color="auto"/>
                    <w:right w:val="none" w:sz="0" w:space="0" w:color="auto"/>
                  </w:divBdr>
                  <w:divsChild>
                    <w:div w:id="11767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81760">
      <w:bodyDiv w:val="1"/>
      <w:marLeft w:val="0"/>
      <w:marRight w:val="0"/>
      <w:marTop w:val="0"/>
      <w:marBottom w:val="0"/>
      <w:divBdr>
        <w:top w:val="single" w:sz="18" w:space="0" w:color="DC6900"/>
        <w:left w:val="none" w:sz="0" w:space="0" w:color="auto"/>
        <w:bottom w:val="none" w:sz="0" w:space="0" w:color="auto"/>
        <w:right w:val="none" w:sz="0" w:space="0" w:color="auto"/>
      </w:divBdr>
      <w:divsChild>
        <w:div w:id="353924906">
          <w:marLeft w:val="0"/>
          <w:marRight w:val="0"/>
          <w:marTop w:val="0"/>
          <w:marBottom w:val="0"/>
          <w:divBdr>
            <w:top w:val="none" w:sz="0" w:space="0" w:color="auto"/>
            <w:left w:val="none" w:sz="0" w:space="0" w:color="auto"/>
            <w:bottom w:val="none" w:sz="0" w:space="0" w:color="auto"/>
            <w:right w:val="none" w:sz="0" w:space="0" w:color="auto"/>
          </w:divBdr>
          <w:divsChild>
            <w:div w:id="789281241">
              <w:marLeft w:val="0"/>
              <w:marRight w:val="0"/>
              <w:marTop w:val="0"/>
              <w:marBottom w:val="0"/>
              <w:divBdr>
                <w:top w:val="none" w:sz="0" w:space="0" w:color="auto"/>
                <w:left w:val="none" w:sz="0" w:space="0" w:color="auto"/>
                <w:bottom w:val="none" w:sz="0" w:space="0" w:color="auto"/>
                <w:right w:val="none" w:sz="0" w:space="0" w:color="auto"/>
              </w:divBdr>
              <w:divsChild>
                <w:div w:id="1745910363">
                  <w:marLeft w:val="0"/>
                  <w:marRight w:val="0"/>
                  <w:marTop w:val="0"/>
                  <w:marBottom w:val="0"/>
                  <w:divBdr>
                    <w:top w:val="none" w:sz="0" w:space="0" w:color="auto"/>
                    <w:left w:val="none" w:sz="0" w:space="0" w:color="auto"/>
                    <w:bottom w:val="none" w:sz="0" w:space="0" w:color="auto"/>
                    <w:right w:val="none" w:sz="0" w:space="0" w:color="auto"/>
                  </w:divBdr>
                  <w:divsChild>
                    <w:div w:id="372460779">
                      <w:marLeft w:val="0"/>
                      <w:marRight w:val="0"/>
                      <w:marTop w:val="0"/>
                      <w:marBottom w:val="0"/>
                      <w:divBdr>
                        <w:top w:val="none" w:sz="0" w:space="0" w:color="auto"/>
                        <w:left w:val="none" w:sz="0" w:space="0" w:color="auto"/>
                        <w:bottom w:val="none" w:sz="0" w:space="0" w:color="auto"/>
                        <w:right w:val="none" w:sz="0" w:space="0" w:color="auto"/>
                      </w:divBdr>
                      <w:divsChild>
                        <w:div w:id="1355569769">
                          <w:marLeft w:val="0"/>
                          <w:marRight w:val="0"/>
                          <w:marTop w:val="0"/>
                          <w:marBottom w:val="600"/>
                          <w:divBdr>
                            <w:top w:val="none" w:sz="0" w:space="0" w:color="auto"/>
                            <w:left w:val="none" w:sz="0" w:space="0" w:color="auto"/>
                            <w:bottom w:val="none" w:sz="0" w:space="0" w:color="auto"/>
                            <w:right w:val="none" w:sz="0" w:space="0" w:color="auto"/>
                          </w:divBdr>
                          <w:divsChild>
                            <w:div w:id="1800609779">
                              <w:marLeft w:val="0"/>
                              <w:marRight w:val="0"/>
                              <w:marTop w:val="0"/>
                              <w:marBottom w:val="0"/>
                              <w:divBdr>
                                <w:top w:val="single" w:sz="6" w:space="9" w:color="B9B9B9"/>
                                <w:left w:val="single" w:sz="6" w:space="12" w:color="B9B9B9"/>
                                <w:bottom w:val="single" w:sz="6" w:space="9" w:color="B9B9B9"/>
                                <w:right w:val="single" w:sz="6" w:space="12" w:color="B9B9B9"/>
                              </w:divBdr>
                              <w:divsChild>
                                <w:div w:id="971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c.com/ca/en/people/john-p-gravell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wc.com/ca/en/people/john-p-gravel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ca/en/people/john-p-gravel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wc.com/ca/en/deals/m-a-industry-briefing.j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gill.carson@uk.pwc.com" TargetMode="External"/><Relationship Id="rId14" Type="http://schemas.openxmlformats.org/officeDocument/2006/relationships/hyperlink" Target="http://www.pw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5DFC-298D-4107-AB81-29685509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4542</CharactersWithSpaces>
  <SharedDoc>false</SharedDoc>
  <HLinks>
    <vt:vector size="6" baseType="variant">
      <vt:variant>
        <vt:i4>5636202</vt:i4>
      </vt:variant>
      <vt:variant>
        <vt:i4>0</vt:i4>
      </vt:variant>
      <vt:variant>
        <vt:i4>0</vt:i4>
      </vt:variant>
      <vt:variant>
        <vt:i4>5</vt:i4>
      </vt:variant>
      <vt:variant>
        <vt:lpwstr>mailto:gill.carson@uk.pwc.com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2</cp:revision>
  <cp:lastPrinted>2013-08-28T10:18:00Z</cp:lastPrinted>
  <dcterms:created xsi:type="dcterms:W3CDTF">2013-09-04T15:57:00Z</dcterms:created>
  <dcterms:modified xsi:type="dcterms:W3CDTF">2013-09-04T15:57:00Z</dcterms:modified>
</cp:coreProperties>
</file>