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1BC" w:rsidRDefault="00922607">
      <w:pPr>
        <w:tabs>
          <w:tab w:val="center" w:pos="4536"/>
        </w:tabs>
        <w:rPr>
          <w:i/>
        </w:rPr>
      </w:pPr>
      <w:r>
        <w:rPr>
          <w:lang w:eastAsia="en-GB"/>
        </w:rPr>
        <w:pict>
          <v:shape id="_x0000_s1026" style="position:absolute;margin-left:87.85pt;margin-top:771.05pt;width:465pt;height:11.35pt;z-index:251657216;mso-wrap-style:square;mso-position-horizontal-relative:page;mso-position-vertical-relative:page" coordsize="9301,228" path="m,228l,,9301,e" filled="f" strokecolor="#dc6900" strokeweight="1pt">
            <v:stroke dashstyle="1 1" endcap="round"/>
            <v:path arrowok="t"/>
            <o:lock v:ext="edit" aspectratio="t"/>
            <w10:wrap anchorx="page" anchory="page"/>
            <w10:anchorlock/>
          </v:shape>
        </w:pict>
      </w:r>
      <w:r w:rsidR="00E953E4">
        <w:rPr>
          <w:i/>
        </w:rPr>
        <w:tab/>
      </w:r>
    </w:p>
    <w:p w:rsidR="008E71BC" w:rsidRDefault="00E953E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8E71BC">
        <w:tc>
          <w:tcPr>
            <w:tcW w:w="2268" w:type="dxa"/>
          </w:tcPr>
          <w:p w:rsidR="008E71BC" w:rsidRDefault="00E953E4">
            <w:pPr>
              <w:rPr>
                <w:i/>
              </w:rPr>
            </w:pPr>
            <w:r>
              <w:rPr>
                <w:i/>
              </w:rPr>
              <w:t>Date</w:t>
            </w:r>
          </w:p>
        </w:tc>
        <w:tc>
          <w:tcPr>
            <w:tcW w:w="5211" w:type="dxa"/>
          </w:tcPr>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 xml:space="preserve">EMBARGOED: 00.01 BST </w:t>
            </w:r>
            <w:r w:rsidRPr="0090799D">
              <w:rPr>
                <w:rFonts w:cs="Helv"/>
                <w:color w:val="000000"/>
                <w:szCs w:val="20"/>
                <w:lang w:eastAsia="en-GB"/>
              </w:rPr>
              <w:t>17</w:t>
            </w:r>
            <w:r w:rsidRPr="0090799D">
              <w:rPr>
                <w:rFonts w:cs="Helv"/>
                <w:color w:val="000000"/>
                <w:szCs w:val="20"/>
                <w:vertAlign w:val="superscript"/>
                <w:lang w:eastAsia="en-GB"/>
              </w:rPr>
              <w:t>th</w:t>
            </w:r>
            <w:r w:rsidRPr="0090799D">
              <w:rPr>
                <w:rFonts w:cs="Helv"/>
                <w:color w:val="000000"/>
                <w:szCs w:val="20"/>
                <w:lang w:eastAsia="en-GB"/>
              </w:rPr>
              <w:t xml:space="preserve"> July</w:t>
            </w:r>
            <w:r>
              <w:t xml:space="preserve"> 2013</w:t>
            </w:r>
          </w:p>
          <w:p w:rsidR="008E71BC" w:rsidRDefault="008E71BC"/>
        </w:tc>
      </w:tr>
      <w:tr w:rsidR="008E71BC">
        <w:tc>
          <w:tcPr>
            <w:tcW w:w="2268" w:type="dxa"/>
          </w:tcPr>
          <w:p w:rsidR="008E71BC" w:rsidRDefault="00E953E4">
            <w:pPr>
              <w:rPr>
                <w:i/>
              </w:rPr>
            </w:pPr>
            <w:r>
              <w:rPr>
                <w:i/>
              </w:rPr>
              <w:t>Contact</w:t>
            </w:r>
          </w:p>
          <w:p w:rsidR="008E71BC" w:rsidRDefault="008E71BC">
            <w:pPr>
              <w:rPr>
                <w:i/>
              </w:rPr>
            </w:pPr>
          </w:p>
          <w:p w:rsidR="008E71BC" w:rsidRDefault="008E71BC">
            <w:pPr>
              <w:rPr>
                <w:i/>
              </w:rPr>
            </w:pPr>
          </w:p>
          <w:p w:rsidR="008E71BC" w:rsidRDefault="008E71BC">
            <w:pPr>
              <w:rPr>
                <w:i/>
              </w:rPr>
            </w:pPr>
          </w:p>
        </w:tc>
        <w:tc>
          <w:tcPr>
            <w:tcW w:w="5211" w:type="dxa"/>
          </w:tcPr>
          <w:p w:rsidR="008E71BC" w:rsidRDefault="00E953E4">
            <w:pPr>
              <w:tabs>
                <w:tab w:val="left" w:pos="1440"/>
              </w:tabs>
              <w:ind w:left="1440" w:hanging="1440"/>
              <w:rPr>
                <w:rFonts w:cs="Arial"/>
              </w:rPr>
            </w:pPr>
            <w:r>
              <w:rPr>
                <w:rFonts w:cs="Arial"/>
                <w:bCs/>
              </w:rPr>
              <w:t>Mike Davies, PwC</w:t>
            </w:r>
          </w:p>
          <w:p w:rsidR="008E71BC" w:rsidRDefault="00E953E4">
            <w:pPr>
              <w:tabs>
                <w:tab w:val="left" w:pos="1440"/>
              </w:tabs>
              <w:ind w:left="1440" w:hanging="1440"/>
              <w:rPr>
                <w:rFonts w:cs="Arial"/>
              </w:rPr>
            </w:pPr>
            <w:r>
              <w:rPr>
                <w:rFonts w:cs="Arial"/>
              </w:rPr>
              <w:t>Tel: +44 207 804 2378</w:t>
            </w:r>
          </w:p>
          <w:p w:rsidR="008E71BC" w:rsidRDefault="00E953E4">
            <w:pPr>
              <w:tabs>
                <w:tab w:val="left" w:pos="1440"/>
              </w:tabs>
              <w:ind w:left="1440" w:hanging="1440"/>
            </w:pPr>
            <w:r>
              <w:rPr>
                <w:rFonts w:cs="Arial"/>
              </w:rPr>
              <w:t xml:space="preserve">e-mail: </w:t>
            </w:r>
            <w:hyperlink r:id="rId8" w:history="1">
              <w:r>
                <w:rPr>
                  <w:rStyle w:val="Hyperlink"/>
                  <w:rFonts w:cs="Arial"/>
                </w:rPr>
                <w:t>mike.davies@uk.pwc.com</w:t>
              </w:r>
            </w:hyperlink>
          </w:p>
          <w:p w:rsidR="0090799D" w:rsidRPr="0090799D" w:rsidRDefault="0090799D" w:rsidP="00263BCF">
            <w:pPr>
              <w:tabs>
                <w:tab w:val="left" w:pos="1440"/>
              </w:tabs>
            </w:pPr>
          </w:p>
        </w:tc>
      </w:tr>
      <w:tr w:rsidR="008E71BC">
        <w:tc>
          <w:tcPr>
            <w:tcW w:w="2268" w:type="dxa"/>
          </w:tcPr>
          <w:p w:rsidR="008E71BC" w:rsidRDefault="00922607">
            <w:pPr>
              <w:spacing w:after="240"/>
              <w:rPr>
                <w:i/>
              </w:rPr>
            </w:pPr>
            <w:r>
              <w:rPr>
                <w:lang w:eastAsia="en-GB"/>
              </w:rPr>
              <w:pict>
                <v:line id="_x0000_s1027" style="position:absolute;z-index:251658240;mso-position-horizontal-relative:page;mso-position-vertical-relative:page" from="4pt,21.9pt" to="459.05pt,21.9pt" strokecolor="#e36c0a">
                  <w10:wrap anchorx="page" anchory="page"/>
                </v:line>
              </w:pict>
            </w:r>
            <w:r w:rsidR="00E953E4">
              <w:rPr>
                <w:i/>
              </w:rPr>
              <w:t xml:space="preserve">Pages </w:t>
            </w:r>
          </w:p>
        </w:tc>
        <w:tc>
          <w:tcPr>
            <w:tcW w:w="5211" w:type="dxa"/>
          </w:tcPr>
          <w:p w:rsidR="008E71BC" w:rsidRDefault="00E953E4">
            <w:pPr>
              <w:spacing w:after="240"/>
            </w:pPr>
            <w:r>
              <w:t>2</w:t>
            </w:r>
          </w:p>
        </w:tc>
      </w:tr>
    </w:tbl>
    <w:p w:rsidR="008E71BC" w:rsidRDefault="00E953E4">
      <w:pPr>
        <w:spacing w:after="240"/>
      </w:pPr>
      <w:r>
        <w:rPr>
          <w:rFonts w:cs="Arial"/>
          <w:b/>
          <w:i/>
          <w:iCs/>
        </w:rPr>
        <w:br/>
      </w:r>
    </w:p>
    <w:p w:rsidR="0090799D" w:rsidRDefault="0090799D">
      <w:pPr>
        <w:autoSpaceDE w:val="0"/>
        <w:autoSpaceDN w:val="0"/>
        <w:spacing w:before="240" w:after="360" w:line="240" w:lineRule="auto"/>
        <w:rPr>
          <w:b/>
          <w:bCs/>
          <w:color w:val="000000"/>
          <w:sz w:val="22"/>
        </w:rPr>
      </w:pPr>
    </w:p>
    <w:p w:rsidR="0090799D" w:rsidRDefault="0090799D">
      <w:pPr>
        <w:autoSpaceDE w:val="0"/>
        <w:autoSpaceDN w:val="0"/>
        <w:spacing w:before="240" w:after="360" w:line="240" w:lineRule="auto"/>
        <w:rPr>
          <w:b/>
          <w:bCs/>
          <w:color w:val="000000"/>
          <w:sz w:val="22"/>
        </w:rPr>
      </w:pPr>
    </w:p>
    <w:p w:rsidR="00263BCF" w:rsidRDefault="00263BCF" w:rsidP="00263BCF">
      <w:pPr>
        <w:autoSpaceDE w:val="0"/>
        <w:autoSpaceDN w:val="0"/>
        <w:spacing w:before="240" w:after="240" w:line="240" w:lineRule="auto"/>
        <w:rPr>
          <w:b/>
          <w:bCs/>
          <w:color w:val="000000"/>
          <w:sz w:val="22"/>
        </w:rPr>
      </w:pPr>
    </w:p>
    <w:p w:rsidR="008E71BC" w:rsidRDefault="00E953E4" w:rsidP="00263BCF">
      <w:pPr>
        <w:autoSpaceDE w:val="0"/>
        <w:autoSpaceDN w:val="0"/>
        <w:spacing w:before="240" w:after="240" w:line="240" w:lineRule="auto"/>
        <w:rPr>
          <w:b/>
          <w:bCs/>
          <w:color w:val="000000"/>
          <w:sz w:val="22"/>
        </w:rPr>
      </w:pPr>
      <w:r>
        <w:rPr>
          <w:b/>
          <w:bCs/>
          <w:color w:val="000000"/>
          <w:sz w:val="22"/>
        </w:rPr>
        <w:t>Deal flow between India and Europe positioned to grow, says PwC</w:t>
      </w: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A potential surge in M&amp;A deals between India and Europe is on the cards, according to a PwC report. It concludes that India remains at the top of investors’ lists of target markets, and Indian investors are leaders among emerging market buyers for western companies.</w:t>
      </w:r>
    </w:p>
    <w:p w:rsidR="008E71BC"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rPr>
          <w:rFonts w:cs="Arial"/>
          <w:color w:val="000000"/>
          <w:szCs w:val="20"/>
          <w:lang w:val="en-US"/>
        </w:rPr>
      </w:pPr>
      <w:r>
        <w:rPr>
          <w:rFonts w:cs="Arial"/>
          <w:color w:val="000000"/>
          <w:szCs w:val="20"/>
          <w:lang w:val="en-US"/>
        </w:rPr>
        <w:t xml:space="preserve">The report – </w:t>
      </w:r>
      <w:r>
        <w:rPr>
          <w:rFonts w:cs="Arial"/>
          <w:b/>
          <w:i/>
          <w:color w:val="000000"/>
          <w:szCs w:val="20"/>
          <w:lang w:val="en-US"/>
        </w:rPr>
        <w:t>India deals: taking stock of the tiger</w:t>
      </w:r>
      <w:r>
        <w:rPr>
          <w:rFonts w:cs="Arial"/>
          <w:b/>
          <w:color w:val="000000"/>
          <w:szCs w:val="20"/>
          <w:lang w:val="en-US"/>
        </w:rPr>
        <w:t xml:space="preserve"> </w:t>
      </w:r>
      <w:r>
        <w:rPr>
          <w:rFonts w:cs="Arial"/>
          <w:color w:val="000000"/>
          <w:szCs w:val="20"/>
          <w:lang w:val="en-US"/>
        </w:rPr>
        <w:t>– focuses on the two-way M&amp;A flows between India and Europe, drawing on an analysis of the deals from the last seven years. It looks at factors driving M&amp;A choices by Indian and European buyers and sellers, such as often contradictory forces on valuations in the Indian market, and implications of India’s regulatory and tax reforms.</w:t>
      </w:r>
    </w:p>
    <w:p w:rsidR="008E71BC" w:rsidRDefault="008E71BC">
      <w:pPr>
        <w:autoSpaceDE w:val="0"/>
        <w:autoSpaceDN w:val="0"/>
        <w:adjustRightInd w:val="0"/>
        <w:spacing w:line="240" w:lineRule="auto"/>
        <w:rPr>
          <w:szCs w:val="20"/>
        </w:rPr>
      </w:pP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India’s growth has raised tens of millions out of poverty and given rise to an affluent middle class. The new spending power is opening numerous opportunities, from education and leisure to personal care, loans, transport, communications and travel. In fact, total consumer spending is expected to quadruple by 2020.</w:t>
      </w:r>
    </w:p>
    <w:p w:rsidR="008E71BC"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To date, the majority of the very high value transactions have been in the telecom, automotive and industrial products sectors. And a large proportion of all deals fall under the €100m mark. When it comes to location, the UK leads its fellow European states for M&amp;A to and from India – but nearly all European countries have seen an increase in Indian investment, and increased their investment into India over the past years.</w:t>
      </w:r>
    </w:p>
    <w:p w:rsidR="008E71BC"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The PwC report shows that in the years 2006 - 2012 there were about 875 cross-border deals between Europe and India worth about €90 billion. After a drop in 2009, M&amp;A volume from Europe to India remained at about 65 deals a year from 2009-2011. The figure fell to 51 in 2012, as the Eurozone problems dented investor confidence.</w:t>
      </w:r>
    </w:p>
    <w:p w:rsidR="008E71BC" w:rsidRPr="0090799D"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But, says Nick Page, Emerging Markets leader in PwC UK’s Transaction Services, India’s investors are appearing more ready to mobilise resources when a good opportunity arises:</w:t>
      </w:r>
    </w:p>
    <w:p w:rsidR="008E71BC"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ind w:left="720"/>
        <w:rPr>
          <w:rFonts w:cs="Helv"/>
          <w:color w:val="000000"/>
          <w:szCs w:val="20"/>
          <w:lang w:eastAsia="en-GB"/>
        </w:rPr>
      </w:pPr>
      <w:r>
        <w:rPr>
          <w:rFonts w:cs="Helv"/>
          <w:color w:val="000000"/>
          <w:szCs w:val="20"/>
          <w:lang w:eastAsia="en-GB"/>
        </w:rPr>
        <w:t>“</w:t>
      </w:r>
      <w:r>
        <w:rPr>
          <w:rFonts w:cs="Arial"/>
          <w:color w:val="000000"/>
          <w:szCs w:val="20"/>
          <w:lang w:val="en-US"/>
        </w:rPr>
        <w:t>Indian companies are using M&amp;A not just to grow their business by entering new markets abroad, but to also to seize opportunities at home. Some are acquiring brands to meet the needs of well-informed consumers with international tastes; whilst others are buying into state of the art technology to make the transition from low-cost to higher value m</w:t>
      </w:r>
      <w:bookmarkStart w:id="0" w:name="_GoBack"/>
      <w:bookmarkEnd w:id="0"/>
      <w:r>
        <w:rPr>
          <w:rFonts w:cs="Arial"/>
          <w:color w:val="000000"/>
          <w:szCs w:val="20"/>
          <w:lang w:val="en-US"/>
        </w:rPr>
        <w:t>anufacturing.</w:t>
      </w:r>
      <w:r>
        <w:rPr>
          <w:rFonts w:cs="Helv"/>
          <w:color w:val="000000"/>
          <w:szCs w:val="20"/>
          <w:lang w:eastAsia="en-GB"/>
        </w:rPr>
        <w:t>”</w:t>
      </w:r>
    </w:p>
    <w:p w:rsidR="008E71BC" w:rsidRDefault="008E71BC">
      <w:pPr>
        <w:autoSpaceDE w:val="0"/>
        <w:autoSpaceDN w:val="0"/>
        <w:adjustRightInd w:val="0"/>
        <w:spacing w:line="240" w:lineRule="auto"/>
        <w:ind w:left="720"/>
        <w:rPr>
          <w:rFonts w:cs="Helv"/>
          <w:color w:val="000000"/>
          <w:szCs w:val="20"/>
          <w:lang w:eastAsia="en-GB"/>
        </w:rPr>
      </w:pPr>
    </w:p>
    <w:p w:rsidR="00263BCF" w:rsidRDefault="00263BCF">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rPr>
          <w:rFonts w:cs="Helv"/>
          <w:color w:val="000000"/>
          <w:szCs w:val="20"/>
          <w:highlight w:val="yellow"/>
          <w:lang w:eastAsia="en-GB"/>
        </w:rPr>
      </w:pPr>
      <w:r>
        <w:rPr>
          <w:rFonts w:cs="Helv"/>
          <w:color w:val="000000"/>
          <w:szCs w:val="20"/>
          <w:lang w:eastAsia="en-GB"/>
        </w:rPr>
        <w:lastRenderedPageBreak/>
        <w:t xml:space="preserve">From the point of view of buying into India, the country offers growth through its rising middle class, and young and increasingly educated workforce, and is open to foreign investors. Says Mukesh Rajani, </w:t>
      </w:r>
      <w:r w:rsidRPr="0090799D">
        <w:rPr>
          <w:rFonts w:cs="Helv"/>
          <w:color w:val="000000"/>
          <w:szCs w:val="20"/>
          <w:lang w:eastAsia="en-GB"/>
        </w:rPr>
        <w:t>Head of PwC UK’s India Business Group:</w:t>
      </w:r>
    </w:p>
    <w:p w:rsidR="008E71BC" w:rsidRDefault="008E71BC">
      <w:pPr>
        <w:autoSpaceDE w:val="0"/>
        <w:autoSpaceDN w:val="0"/>
        <w:adjustRightInd w:val="0"/>
        <w:spacing w:line="240" w:lineRule="auto"/>
        <w:rPr>
          <w:rFonts w:cs="Helv"/>
          <w:color w:val="000000"/>
          <w:szCs w:val="20"/>
          <w:lang w:eastAsia="en-GB"/>
        </w:rPr>
      </w:pPr>
    </w:p>
    <w:p w:rsidR="008E71BC" w:rsidRDefault="00E953E4">
      <w:pPr>
        <w:autoSpaceDE w:val="0"/>
        <w:autoSpaceDN w:val="0"/>
        <w:adjustRightInd w:val="0"/>
        <w:spacing w:line="240" w:lineRule="auto"/>
        <w:ind w:left="720"/>
        <w:rPr>
          <w:rFonts w:cs="Helv"/>
          <w:color w:val="000000"/>
          <w:szCs w:val="20"/>
          <w:lang w:eastAsia="en-GB"/>
        </w:rPr>
      </w:pPr>
      <w:r>
        <w:rPr>
          <w:rFonts w:cs="Helv"/>
          <w:color w:val="000000"/>
          <w:szCs w:val="20"/>
          <w:lang w:eastAsia="en-GB"/>
        </w:rPr>
        <w:t>“The Indian government has a very full agenda, as it attempts to push through reforms before campaigning for the 2014 general election begins. Beyond what has already been achieved in the retail and aviation industries, we see the spread of reforms to other sectors as having great potential to growth and deals.</w:t>
      </w:r>
    </w:p>
    <w:p w:rsidR="008E71BC" w:rsidRDefault="008E71BC">
      <w:pPr>
        <w:autoSpaceDE w:val="0"/>
        <w:autoSpaceDN w:val="0"/>
        <w:adjustRightInd w:val="0"/>
        <w:spacing w:line="240" w:lineRule="auto"/>
        <w:ind w:left="720"/>
        <w:rPr>
          <w:rFonts w:cs="Helv"/>
          <w:color w:val="000000"/>
          <w:szCs w:val="20"/>
          <w:lang w:eastAsia="en-GB"/>
        </w:rPr>
      </w:pPr>
    </w:p>
    <w:p w:rsidR="008E71BC" w:rsidRDefault="00E953E4">
      <w:pPr>
        <w:autoSpaceDE w:val="0"/>
        <w:autoSpaceDN w:val="0"/>
        <w:adjustRightInd w:val="0"/>
        <w:spacing w:line="240" w:lineRule="auto"/>
        <w:ind w:left="720"/>
        <w:rPr>
          <w:rFonts w:cs="Helv"/>
          <w:color w:val="000000"/>
          <w:szCs w:val="20"/>
          <w:lang w:eastAsia="en-GB"/>
        </w:rPr>
      </w:pPr>
      <w:r>
        <w:rPr>
          <w:rFonts w:cs="Helv"/>
          <w:color w:val="000000"/>
          <w:szCs w:val="20"/>
          <w:lang w:eastAsia="en-GB"/>
        </w:rPr>
        <w:t>“From our analysis, we can see that even with current uncertainties around growth or reform, both Indian and international investors are taking the medium to long-term view to doing business in India.”</w:t>
      </w:r>
    </w:p>
    <w:p w:rsidR="008E71BC" w:rsidRDefault="008E71BC">
      <w:pPr>
        <w:autoSpaceDE w:val="0"/>
        <w:autoSpaceDN w:val="0"/>
        <w:adjustRightInd w:val="0"/>
        <w:spacing w:line="240" w:lineRule="auto"/>
        <w:rPr>
          <w:rFonts w:cs="Helv"/>
          <w:color w:val="000000"/>
          <w:szCs w:val="20"/>
        </w:rPr>
      </w:pPr>
    </w:p>
    <w:p w:rsidR="008E71BC" w:rsidRDefault="00E953E4">
      <w:pPr>
        <w:autoSpaceDE w:val="0"/>
        <w:autoSpaceDN w:val="0"/>
        <w:adjustRightInd w:val="0"/>
        <w:spacing w:line="240" w:lineRule="auto"/>
        <w:rPr>
          <w:rFonts w:cs="Helv"/>
          <w:color w:val="000000"/>
          <w:szCs w:val="20"/>
          <w:lang w:eastAsia="en-GB"/>
        </w:rPr>
      </w:pPr>
      <w:r>
        <w:rPr>
          <w:rFonts w:cs="Helv"/>
          <w:color w:val="000000"/>
          <w:szCs w:val="20"/>
          <w:lang w:eastAsia="en-GB"/>
        </w:rPr>
        <w:t xml:space="preserve">Says Devean George, a senior manager in PwC UK’s Transaction Services:  </w:t>
      </w:r>
    </w:p>
    <w:p w:rsidR="008E71BC" w:rsidRDefault="008E71BC">
      <w:pPr>
        <w:autoSpaceDE w:val="0"/>
        <w:autoSpaceDN w:val="0"/>
        <w:adjustRightInd w:val="0"/>
        <w:spacing w:line="240" w:lineRule="auto"/>
        <w:rPr>
          <w:rFonts w:cs="Helv"/>
          <w:color w:val="000000"/>
          <w:szCs w:val="20"/>
          <w:lang w:eastAsia="en-GB"/>
        </w:rPr>
      </w:pPr>
    </w:p>
    <w:p w:rsidR="008E71BC" w:rsidRDefault="00E953E4">
      <w:pPr>
        <w:spacing w:line="240" w:lineRule="auto"/>
        <w:ind w:left="720"/>
        <w:rPr>
          <w:rFonts w:cs="Arial"/>
          <w:color w:val="000000"/>
          <w:szCs w:val="20"/>
          <w:lang w:val="en-US"/>
        </w:rPr>
      </w:pPr>
      <w:r>
        <w:rPr>
          <w:rFonts w:cs="Helv"/>
          <w:color w:val="000000"/>
          <w:szCs w:val="20"/>
          <w:lang w:eastAsia="en-GB"/>
        </w:rPr>
        <w:t xml:space="preserve">“Despite its inherent challenges, India remains at the top of investors’ lists of target markets and Indian investors are leaders among emerging market buyers for western companies. </w:t>
      </w:r>
      <w:r>
        <w:rPr>
          <w:rFonts w:cs="Arial"/>
          <w:color w:val="000000"/>
          <w:szCs w:val="20"/>
          <w:lang w:val="en-US"/>
        </w:rPr>
        <w:t>Deal flow to and from India Inc and Europe Plc looks set to thrive.”</w:t>
      </w:r>
    </w:p>
    <w:p w:rsidR="008E71BC" w:rsidRDefault="008E71BC">
      <w:pPr>
        <w:spacing w:line="240" w:lineRule="auto"/>
        <w:ind w:left="720"/>
        <w:rPr>
          <w:szCs w:val="20"/>
        </w:rPr>
      </w:pPr>
    </w:p>
    <w:p w:rsidR="008E71BC" w:rsidRDefault="008E71BC">
      <w:pPr>
        <w:autoSpaceDE w:val="0"/>
        <w:autoSpaceDN w:val="0"/>
        <w:adjustRightInd w:val="0"/>
        <w:spacing w:line="240" w:lineRule="auto"/>
        <w:rPr>
          <w:rFonts w:cs="Helv"/>
          <w:szCs w:val="20"/>
          <w:lang w:eastAsia="en-GB"/>
        </w:rPr>
      </w:pPr>
    </w:p>
    <w:p w:rsidR="008E71BC" w:rsidRDefault="00E953E4">
      <w:pPr>
        <w:pStyle w:val="ListParagraph"/>
        <w:autoSpaceDE w:val="0"/>
        <w:autoSpaceDN w:val="0"/>
        <w:adjustRightInd w:val="0"/>
        <w:spacing w:line="240" w:lineRule="auto"/>
        <w:jc w:val="right"/>
        <w:rPr>
          <w:rFonts w:ascii="Georgia" w:hAnsi="Georgia" w:cs="Helv"/>
          <w:i/>
          <w:sz w:val="20"/>
          <w:szCs w:val="20"/>
          <w:lang w:eastAsia="en-GB"/>
        </w:rPr>
      </w:pPr>
      <w:r>
        <w:rPr>
          <w:rFonts w:ascii="Georgia" w:hAnsi="Georgia" w:cs="Helv"/>
          <w:i/>
          <w:sz w:val="20"/>
          <w:szCs w:val="20"/>
          <w:lang w:eastAsia="en-GB"/>
        </w:rPr>
        <w:t>ENDS</w:t>
      </w:r>
    </w:p>
    <w:p w:rsidR="008E71BC" w:rsidRDefault="008E71BC">
      <w:pPr>
        <w:autoSpaceDE w:val="0"/>
        <w:autoSpaceDN w:val="0"/>
        <w:adjustRightInd w:val="0"/>
        <w:spacing w:line="240" w:lineRule="auto"/>
        <w:rPr>
          <w:rFonts w:ascii="Helv" w:hAnsi="Helv" w:cs="Helv"/>
          <w:color w:val="000000"/>
          <w:szCs w:val="20"/>
          <w:lang w:eastAsia="en-GB"/>
        </w:rPr>
      </w:pPr>
    </w:p>
    <w:p w:rsidR="008E71BC" w:rsidRDefault="008E71BC">
      <w:pPr>
        <w:autoSpaceDE w:val="0"/>
        <w:autoSpaceDN w:val="0"/>
        <w:adjustRightInd w:val="0"/>
        <w:spacing w:line="240" w:lineRule="auto"/>
        <w:rPr>
          <w:rFonts w:ascii="Helv" w:hAnsi="Helv" w:cs="Helv"/>
          <w:color w:val="000000"/>
          <w:szCs w:val="20"/>
          <w:lang w:eastAsia="en-GB"/>
        </w:rPr>
      </w:pPr>
    </w:p>
    <w:p w:rsidR="008E71BC" w:rsidRDefault="00E953E4" w:rsidP="0090799D">
      <w:pPr>
        <w:autoSpaceDE w:val="0"/>
        <w:autoSpaceDN w:val="0"/>
        <w:adjustRightInd w:val="0"/>
        <w:spacing w:line="240" w:lineRule="auto"/>
        <w:rPr>
          <w:rFonts w:cs="Arial"/>
          <w:color w:val="000000"/>
          <w:szCs w:val="20"/>
          <w:lang w:val="en-US"/>
        </w:rPr>
      </w:pPr>
      <w:r>
        <w:rPr>
          <w:rFonts w:cs="Arial"/>
          <w:b/>
          <w:bCs/>
          <w:color w:val="000000"/>
          <w:szCs w:val="20"/>
          <w:lang w:eastAsia="en-GB"/>
        </w:rPr>
        <w:t>Notes</w:t>
      </w:r>
    </w:p>
    <w:p w:rsidR="008E71BC" w:rsidRDefault="008E71BC" w:rsidP="00567EBD">
      <w:pPr>
        <w:autoSpaceDE w:val="0"/>
        <w:autoSpaceDN w:val="0"/>
        <w:adjustRightInd w:val="0"/>
        <w:spacing w:line="240" w:lineRule="auto"/>
        <w:rPr>
          <w:rFonts w:cs="Arial"/>
          <w:color w:val="000000"/>
          <w:szCs w:val="20"/>
          <w:lang w:val="en-US"/>
        </w:rPr>
      </w:pPr>
    </w:p>
    <w:p w:rsidR="00567EBD" w:rsidRPr="00567EBD" w:rsidRDefault="00E953E4" w:rsidP="00567EBD">
      <w:pPr>
        <w:rPr>
          <w:highlight w:val="yellow"/>
          <w:lang w:val="en-US"/>
        </w:rPr>
      </w:pPr>
      <w:r w:rsidRPr="00567EBD">
        <w:rPr>
          <w:lang w:val="en-US"/>
        </w:rPr>
        <w:t xml:space="preserve">A full copy of the PwC </w:t>
      </w:r>
      <w:r w:rsidRPr="00567EBD">
        <w:rPr>
          <w:b/>
          <w:i/>
          <w:lang w:val="en-US"/>
        </w:rPr>
        <w:t>India deals: taking stock of the tiger</w:t>
      </w:r>
      <w:r w:rsidRPr="00567EBD">
        <w:rPr>
          <w:rFonts w:cs="Helv"/>
          <w:b/>
          <w:i/>
          <w:lang w:eastAsia="en-GB"/>
        </w:rPr>
        <w:t xml:space="preserve"> </w:t>
      </w:r>
      <w:r w:rsidRPr="00567EBD">
        <w:rPr>
          <w:rFonts w:cs="Helv"/>
          <w:lang w:eastAsia="en-GB"/>
        </w:rPr>
        <w:t>report</w:t>
      </w:r>
      <w:r w:rsidRPr="00567EBD">
        <w:rPr>
          <w:rFonts w:cs="Helv"/>
          <w:b/>
          <w:i/>
          <w:lang w:eastAsia="en-GB"/>
        </w:rPr>
        <w:t xml:space="preserve"> </w:t>
      </w:r>
      <w:r w:rsidRPr="00567EBD">
        <w:rPr>
          <w:lang w:val="en-US"/>
        </w:rPr>
        <w:t>can be found at</w:t>
      </w:r>
      <w:r w:rsidRPr="00567EBD">
        <w:t xml:space="preserve"> </w:t>
      </w:r>
      <w:hyperlink r:id="rId9" w:history="1">
        <w:r w:rsidR="0090799D" w:rsidRPr="00567EBD">
          <w:rPr>
            <w:rStyle w:val="Hyperlink"/>
          </w:rPr>
          <w:t>www.pwc.co.uk/indiadeals</w:t>
        </w:r>
      </w:hyperlink>
    </w:p>
    <w:p w:rsidR="00567EBD" w:rsidRPr="00567EBD" w:rsidRDefault="00567EBD" w:rsidP="00567EBD">
      <w:pPr>
        <w:rPr>
          <w:highlight w:val="yellow"/>
          <w:lang w:val="en-US"/>
        </w:rPr>
      </w:pPr>
    </w:p>
    <w:p w:rsidR="008E71BC" w:rsidRPr="00567EBD" w:rsidRDefault="00E953E4" w:rsidP="00567EBD">
      <w:pPr>
        <w:rPr>
          <w:rFonts w:ascii="Calibri" w:hAnsi="Calibri"/>
          <w:sz w:val="21"/>
          <w:szCs w:val="21"/>
          <w:highlight w:val="yellow"/>
          <w:lang w:val="en-US"/>
        </w:rPr>
      </w:pPr>
      <w:r w:rsidRPr="00567EBD">
        <w:rPr>
          <w:bCs/>
          <w:szCs w:val="20"/>
        </w:rPr>
        <w:t>P</w:t>
      </w:r>
      <w:r w:rsidRPr="00567EBD">
        <w:rPr>
          <w:szCs w:val="20"/>
        </w:rPr>
        <w:t xml:space="preserve">wC helps organisations and individuals create the value they’re looking for. We’re a network of firms in 158 countries with over 180,000 people who are committed to delivering quality in assurance, tax and advisory services. Tell us what matters to you and find out more by visiting us at </w:t>
      </w:r>
      <w:hyperlink r:id="rId10" w:history="1">
        <w:r w:rsidRPr="00567EBD">
          <w:rPr>
            <w:rStyle w:val="Hyperlink"/>
            <w:szCs w:val="20"/>
          </w:rPr>
          <w:t>www.pwc.com</w:t>
        </w:r>
      </w:hyperlink>
      <w:r w:rsidRPr="00567EBD">
        <w:rPr>
          <w:szCs w:val="20"/>
        </w:rPr>
        <w:t>.</w:t>
      </w:r>
    </w:p>
    <w:p w:rsidR="008E71BC" w:rsidRDefault="008E71BC" w:rsidP="00567EBD">
      <w:pPr>
        <w:spacing w:line="240" w:lineRule="auto"/>
        <w:rPr>
          <w:szCs w:val="20"/>
        </w:rPr>
      </w:pPr>
    </w:p>
    <w:p w:rsidR="008E71BC" w:rsidRDefault="00E953E4" w:rsidP="00567EBD">
      <w:pPr>
        <w:autoSpaceDE w:val="0"/>
        <w:autoSpaceDN w:val="0"/>
        <w:adjustRightInd w:val="0"/>
        <w:spacing w:line="240" w:lineRule="auto"/>
        <w:rPr>
          <w:rFonts w:cs="Georgia"/>
          <w:bCs/>
          <w:color w:val="000000"/>
          <w:szCs w:val="20"/>
          <w:lang w:eastAsia="en-GB"/>
        </w:rPr>
      </w:pPr>
      <w:r>
        <w:rPr>
          <w:rFonts w:cs="Georgia"/>
          <w:bCs/>
          <w:color w:val="000000"/>
          <w:szCs w:val="20"/>
          <w:lang w:eastAsia="en-GB"/>
        </w:rPr>
        <w:t>©2013 PwC. All rights reserved</w:t>
      </w:r>
    </w:p>
    <w:p w:rsidR="008E71BC" w:rsidRDefault="008E71BC" w:rsidP="00567EBD">
      <w:pPr>
        <w:autoSpaceDE w:val="0"/>
        <w:autoSpaceDN w:val="0"/>
        <w:adjustRightInd w:val="0"/>
        <w:spacing w:line="240" w:lineRule="auto"/>
        <w:ind w:firstLine="720"/>
        <w:rPr>
          <w:rFonts w:cs="Georgia"/>
          <w:bCs/>
          <w:color w:val="000000"/>
          <w:szCs w:val="20"/>
          <w:lang w:eastAsia="en-GB"/>
        </w:rPr>
      </w:pPr>
    </w:p>
    <w:p w:rsidR="008E71BC" w:rsidRDefault="00E953E4" w:rsidP="00567EBD">
      <w:pPr>
        <w:spacing w:line="240" w:lineRule="auto"/>
        <w:rPr>
          <w:rFonts w:cs="Georgia"/>
          <w:bCs/>
          <w:szCs w:val="20"/>
          <w:lang w:eastAsia="en-GB"/>
        </w:rPr>
      </w:pPr>
      <w:r>
        <w:rPr>
          <w:rFonts w:cs="Georgia"/>
          <w:bCs/>
          <w:szCs w:val="20"/>
          <w:lang w:eastAsia="en-GB"/>
        </w:rPr>
        <w:t>PwC refers to the PwC network and/or one or more of its member firms, each of which is a separate legal entity. Please see www.pwc.com/structure for further details.</w:t>
      </w:r>
    </w:p>
    <w:p w:rsidR="00E953E4" w:rsidRDefault="00E953E4">
      <w:pPr>
        <w:spacing w:line="240" w:lineRule="auto"/>
        <w:rPr>
          <w:rFonts w:cs="Arial"/>
          <w:bCs/>
          <w:szCs w:val="20"/>
        </w:rPr>
      </w:pPr>
    </w:p>
    <w:sectPr w:rsidR="00E953E4" w:rsidSect="008E71BC">
      <w:headerReference w:type="even" r:id="rId11"/>
      <w:headerReference w:type="default" r:id="rId12"/>
      <w:footerReference w:type="even" r:id="rId13"/>
      <w:footerReference w:type="default" r:id="rId14"/>
      <w:headerReference w:type="first" r:id="rId15"/>
      <w:footerReference w:type="first" r:id="rId16"/>
      <w:pgSz w:w="11907" w:h="16839"/>
      <w:pgMar w:top="3137" w:right="850" w:bottom="1417" w:left="198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07" w:rsidRDefault="00922607" w:rsidP="00701E0B">
      <w:pPr>
        <w:spacing w:line="240" w:lineRule="auto"/>
      </w:pPr>
      <w:r>
        <w:separator/>
      </w:r>
    </w:p>
  </w:endnote>
  <w:endnote w:type="continuationSeparator" w:id="0">
    <w:p w:rsidR="00922607" w:rsidRDefault="00922607" w:rsidP="00701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8E71BC">
    <w:pPr>
      <w:pStyle w:val="Footer"/>
    </w:pPr>
    <w:r>
      <w:fldChar w:fldCharType="begin"/>
    </w:r>
    <w:r w:rsidR="00E953E4">
      <w:instrText xml:space="preserve"> PAGE  \* MERGEFORMAT </w:instrText>
    </w:r>
    <w:r>
      <w:fldChar w:fldCharType="separate"/>
    </w:r>
    <w:r w:rsidR="00CA7C36">
      <w:rPr>
        <w:noProof/>
      </w:rPr>
      <w:t>2</w:t>
    </w:r>
    <w:r>
      <w:fldChar w:fldCharType="end"/>
    </w:r>
    <w:r w:rsidR="00E953E4">
      <w:t xml:space="preserve"> of </w:t>
    </w:r>
    <w:r w:rsidR="00922607">
      <w:fldChar w:fldCharType="begin"/>
    </w:r>
    <w:r w:rsidR="00922607">
      <w:instrText xml:space="preserve"> NUMPAGES  \* MERGEFORMAT </w:instrText>
    </w:r>
    <w:r w:rsidR="00922607">
      <w:fldChar w:fldCharType="separate"/>
    </w:r>
    <w:r w:rsidR="00CA7C36">
      <w:rPr>
        <w:noProof/>
      </w:rPr>
      <w:t>2</w:t>
    </w:r>
    <w:r w:rsidR="009226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8E71BC">
    <w:pPr>
      <w:pStyle w:val="Footer"/>
    </w:pPr>
    <w:r>
      <w:fldChar w:fldCharType="begin"/>
    </w:r>
    <w:r w:rsidR="00E953E4">
      <w:instrText xml:space="preserve"> PAGE  \* MERGEFORMAT </w:instrText>
    </w:r>
    <w:r>
      <w:fldChar w:fldCharType="separate"/>
    </w:r>
    <w:r w:rsidR="00E953E4">
      <w:t>3</w:t>
    </w:r>
    <w:r>
      <w:fldChar w:fldCharType="end"/>
    </w:r>
    <w:r w:rsidR="00E953E4">
      <w:t xml:space="preserve"> of </w:t>
    </w:r>
    <w:r w:rsidR="00922607">
      <w:fldChar w:fldCharType="begin"/>
    </w:r>
    <w:r w:rsidR="00922607">
      <w:instrText xml:space="preserve"> NUMPAGES  \* MERGEFORMAT </w:instrText>
    </w:r>
    <w:r w:rsidR="00922607">
      <w:fldChar w:fldCharType="separate"/>
    </w:r>
    <w:r w:rsidR="00CA7C36">
      <w:rPr>
        <w:noProof/>
      </w:rPr>
      <w:t>2</w:t>
    </w:r>
    <w:r w:rsidR="0092260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E953E4">
    <w:pPr>
      <w:pStyle w:val="Address"/>
    </w:pPr>
    <w:bookmarkStart w:id="1" w:name="FirstPageFooter"/>
    <w:bookmarkEnd w:id="1"/>
    <w:r>
      <w:t>PricewaterhouseCoopers LLP, 1 Embankment Place. London, WC2N 6RH</w:t>
    </w:r>
  </w:p>
  <w:p w:rsidR="008E71BC" w:rsidRDefault="00E953E4">
    <w:pPr>
      <w:pStyle w:val="Address"/>
    </w:pPr>
    <w:r>
      <w:t>T: +44 (0)207 213 47 27 , www.ukmediacentre.pwc.com</w:t>
    </w:r>
  </w:p>
  <w:p w:rsidR="008E71BC" w:rsidRDefault="008E7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07" w:rsidRDefault="00922607" w:rsidP="00701E0B">
      <w:pPr>
        <w:spacing w:line="240" w:lineRule="auto"/>
      </w:pPr>
      <w:r>
        <w:separator/>
      </w:r>
    </w:p>
  </w:footnote>
  <w:footnote w:type="continuationSeparator" w:id="0">
    <w:p w:rsidR="00922607" w:rsidRDefault="00922607" w:rsidP="00701E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90799D">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E71BC" w:rsidRDefault="008E7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90799D">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8E71BC" w:rsidRDefault="008E7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BC" w:rsidRDefault="0090799D">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ListNumbered"/>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000007"/>
    <w:multiLevelType w:val="multilevel"/>
    <w:tmpl w:val="00000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D417D0"/>
    <w:multiLevelType w:val="hybridMultilevel"/>
    <w:tmpl w:val="7AEAC6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BF672EE"/>
    <w:multiLevelType w:val="hybridMultilevel"/>
    <w:tmpl w:val="CE6241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F6400EA"/>
    <w:multiLevelType w:val="hybridMultilevel"/>
    <w:tmpl w:val="63C60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9710E"/>
    <w:multiLevelType w:val="hybridMultilevel"/>
    <w:tmpl w:val="F0AEED4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333D7499"/>
    <w:multiLevelType w:val="hybridMultilevel"/>
    <w:tmpl w:val="CC4A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0301CA"/>
    <w:multiLevelType w:val="hybridMultilevel"/>
    <w:tmpl w:val="A1F8484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43031051"/>
    <w:multiLevelType w:val="hybridMultilevel"/>
    <w:tmpl w:val="320413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3956053"/>
    <w:multiLevelType w:val="hybridMultilevel"/>
    <w:tmpl w:val="1D3E3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3660D9"/>
    <w:multiLevelType w:val="hybridMultilevel"/>
    <w:tmpl w:val="4A24DB8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C2D12ED"/>
    <w:multiLevelType w:val="hybridMultilevel"/>
    <w:tmpl w:val="8336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622394"/>
    <w:multiLevelType w:val="hybridMultilevel"/>
    <w:tmpl w:val="5D6A3F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26334FB"/>
    <w:multiLevelType w:val="hybridMultilevel"/>
    <w:tmpl w:val="58D41A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7DF1E3D"/>
    <w:multiLevelType w:val="hybridMultilevel"/>
    <w:tmpl w:val="94002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301F63"/>
    <w:multiLevelType w:val="hybridMultilevel"/>
    <w:tmpl w:val="9B2C6C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A404339"/>
    <w:multiLevelType w:val="hybridMultilevel"/>
    <w:tmpl w:val="2B305FC4"/>
    <w:lvl w:ilvl="0" w:tplc="5366C67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6923A8"/>
    <w:multiLevelType w:val="hybridMultilevel"/>
    <w:tmpl w:val="FA8EB7C2"/>
    <w:lvl w:ilvl="0" w:tplc="5366C6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ED22310"/>
    <w:multiLevelType w:val="hybridMultilevel"/>
    <w:tmpl w:val="BE5E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8"/>
  </w:num>
  <w:num w:numId="6">
    <w:abstractNumId w:val="4"/>
  </w:num>
  <w:num w:numId="7">
    <w:abstractNumId w:val="10"/>
  </w:num>
  <w:num w:numId="8">
    <w:abstractNumId w:val="3"/>
  </w:num>
  <w:num w:numId="9">
    <w:abstractNumId w:val="2"/>
  </w:num>
  <w:num w:numId="10">
    <w:abstractNumId w:val="11"/>
  </w:num>
  <w:num w:numId="11">
    <w:abstractNumId w:val="18"/>
  </w:num>
  <w:num w:numId="12">
    <w:abstractNumId w:val="14"/>
  </w:num>
  <w:num w:numId="13">
    <w:abstractNumId w:val="15"/>
  </w:num>
  <w:num w:numId="14">
    <w:abstractNumId w:val="12"/>
  </w:num>
  <w:num w:numId="15">
    <w:abstractNumId w:val="13"/>
  </w:num>
  <w:num w:numId="16">
    <w:abstractNumId w:val="17"/>
  </w:num>
  <w:num w:numId="17">
    <w:abstractNumId w:val="6"/>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172A27"/>
    <w:rsid w:val="00172A27"/>
    <w:rsid w:val="001A69A8"/>
    <w:rsid w:val="00263BCF"/>
    <w:rsid w:val="004D061C"/>
    <w:rsid w:val="00567EBD"/>
    <w:rsid w:val="007A037C"/>
    <w:rsid w:val="008E71BC"/>
    <w:rsid w:val="0090799D"/>
    <w:rsid w:val="00922607"/>
    <w:rsid w:val="00CA7C36"/>
    <w:rsid w:val="00E50099"/>
    <w:rsid w:val="00E9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BC"/>
    <w:pPr>
      <w:spacing w:line="240" w:lineRule="atLeast"/>
    </w:pPr>
    <w:rPr>
      <w:rFonts w:ascii="Georgia" w:eastAsia="Calibri" w:hAnsi="Georgia"/>
      <w:szCs w:val="22"/>
      <w:lang w:eastAsia="en-US"/>
    </w:rPr>
  </w:style>
  <w:style w:type="paragraph" w:styleId="Heading1">
    <w:name w:val="heading 1"/>
    <w:basedOn w:val="Normal"/>
    <w:next w:val="Normal"/>
    <w:link w:val="Heading1Char"/>
    <w:qFormat/>
    <w:rsid w:val="008E71BC"/>
    <w:pPr>
      <w:keepNext/>
      <w:spacing w:before="240" w:after="60" w:line="240" w:lineRule="auto"/>
      <w:outlineLvl w:val="0"/>
    </w:pPr>
    <w:rPr>
      <w:rFonts w:ascii="Cambria" w:hAnsi="Cambria"/>
      <w:b/>
      <w:bCs/>
      <w:kern w:val="32"/>
      <w:sz w:val="32"/>
      <w:szCs w:val="32"/>
    </w:rPr>
  </w:style>
  <w:style w:type="paragraph" w:styleId="Heading3">
    <w:name w:val="heading 3"/>
    <w:basedOn w:val="Normal"/>
    <w:next w:val="Normal"/>
    <w:link w:val="Heading3Char"/>
    <w:qFormat/>
    <w:rsid w:val="008E71B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71BC"/>
    <w:rPr>
      <w:rFonts w:ascii="Cambria" w:hAnsi="Cambria" w:cs="Times New Roman"/>
      <w:b/>
      <w:bCs/>
      <w:sz w:val="26"/>
      <w:szCs w:val="26"/>
      <w:lang w:eastAsia="en-US"/>
    </w:rPr>
  </w:style>
  <w:style w:type="character" w:customStyle="1" w:styleId="Heading1Char">
    <w:name w:val="Heading 1 Char"/>
    <w:basedOn w:val="DefaultParagraphFont"/>
    <w:link w:val="Heading1"/>
    <w:rsid w:val="008E71BC"/>
    <w:rPr>
      <w:rFonts w:ascii="Cambria" w:hAnsi="Cambria" w:cs="Times New Roman"/>
      <w:b/>
      <w:bCs/>
      <w:kern w:val="32"/>
      <w:sz w:val="32"/>
      <w:szCs w:val="32"/>
    </w:rPr>
  </w:style>
  <w:style w:type="character" w:customStyle="1" w:styleId="CommentTextChar">
    <w:name w:val="Comment Text Char"/>
    <w:basedOn w:val="DefaultParagraphFont"/>
    <w:link w:val="CommentText"/>
    <w:rsid w:val="008E71BC"/>
    <w:rPr>
      <w:rFonts w:ascii="Georgia" w:hAnsi="Georgia" w:cs="Times New Roman"/>
      <w:lang w:eastAsia="en-US"/>
    </w:rPr>
  </w:style>
  <w:style w:type="character" w:customStyle="1" w:styleId="CommentSubjectChar">
    <w:name w:val="Comment Subject Char"/>
    <w:basedOn w:val="CommentTextChar"/>
    <w:link w:val="CommentSubject1"/>
    <w:rsid w:val="008E71BC"/>
    <w:rPr>
      <w:rFonts w:ascii="Georgia" w:hAnsi="Georgia" w:cs="Times New Roman"/>
      <w:b/>
      <w:bCs/>
      <w:lang w:eastAsia="en-US"/>
    </w:rPr>
  </w:style>
  <w:style w:type="character" w:customStyle="1" w:styleId="FooterChar">
    <w:name w:val="Footer Char"/>
    <w:basedOn w:val="DefaultParagraphFont"/>
    <w:link w:val="Footer"/>
    <w:rsid w:val="008E71BC"/>
    <w:rPr>
      <w:rFonts w:cs="Times New Roman"/>
    </w:rPr>
  </w:style>
  <w:style w:type="character" w:customStyle="1" w:styleId="HeaderChar">
    <w:name w:val="Header Char"/>
    <w:basedOn w:val="DefaultParagraphFont"/>
    <w:link w:val="Header"/>
    <w:rsid w:val="008E71BC"/>
    <w:rPr>
      <w:rFonts w:cs="Times New Roman"/>
    </w:rPr>
  </w:style>
  <w:style w:type="character" w:styleId="FootnoteReference">
    <w:name w:val="footnote reference"/>
    <w:basedOn w:val="DefaultParagraphFont"/>
    <w:rsid w:val="008E71BC"/>
    <w:rPr>
      <w:vertAlign w:val="superscript"/>
    </w:rPr>
  </w:style>
  <w:style w:type="character" w:styleId="Hyperlink">
    <w:name w:val="Hyperlink"/>
    <w:basedOn w:val="DefaultParagraphFont"/>
    <w:rsid w:val="008E71BC"/>
    <w:rPr>
      <w:rFonts w:cs="Times New Roman"/>
      <w:color w:val="0097DC"/>
      <w:u w:val="none"/>
    </w:rPr>
  </w:style>
  <w:style w:type="character" w:styleId="Strong">
    <w:name w:val="Strong"/>
    <w:basedOn w:val="DefaultParagraphFont"/>
    <w:qFormat/>
    <w:rsid w:val="008E71BC"/>
    <w:rPr>
      <w:rFonts w:cs="Times New Roman"/>
      <w:b/>
      <w:bCs/>
    </w:rPr>
  </w:style>
  <w:style w:type="character" w:customStyle="1" w:styleId="at5">
    <w:name w:val="a__t5"/>
    <w:basedOn w:val="DefaultParagraphFont"/>
    <w:rsid w:val="008E71BC"/>
    <w:rPr>
      <w:rFonts w:cs="Times New Roman"/>
    </w:rPr>
  </w:style>
  <w:style w:type="character" w:customStyle="1" w:styleId="BalloonTextChar">
    <w:name w:val="Balloon Text Char"/>
    <w:basedOn w:val="DefaultParagraphFont"/>
    <w:link w:val="BalloonText"/>
    <w:rsid w:val="008E71BC"/>
    <w:rPr>
      <w:rFonts w:ascii="Tahoma" w:hAnsi="Tahoma" w:cs="Tahoma"/>
      <w:sz w:val="16"/>
      <w:szCs w:val="16"/>
      <w:lang w:eastAsia="en-US"/>
    </w:rPr>
  </w:style>
  <w:style w:type="character" w:customStyle="1" w:styleId="BodyTextChar">
    <w:name w:val="Body Text Char"/>
    <w:basedOn w:val="DefaultParagraphFont"/>
    <w:link w:val="BodyText"/>
    <w:rsid w:val="008E71BC"/>
    <w:rPr>
      <w:rFonts w:ascii="Georgia" w:hAnsi="Georgia" w:cs="Times New Roman"/>
      <w:sz w:val="20"/>
    </w:rPr>
  </w:style>
  <w:style w:type="character" w:customStyle="1" w:styleId="DisclaimerCharChar">
    <w:name w:val="Disclaimer Char Char"/>
    <w:basedOn w:val="DefaultParagraphFont"/>
    <w:link w:val="Disclaimer"/>
    <w:rsid w:val="008E71BC"/>
    <w:rPr>
      <w:rFonts w:ascii="Arial" w:hAnsi="Arial" w:cs="Arial"/>
      <w:sz w:val="12"/>
    </w:rPr>
  </w:style>
  <w:style w:type="character" w:customStyle="1" w:styleId="fullstory">
    <w:name w:val="fullstory"/>
    <w:basedOn w:val="DefaultParagraphFont"/>
    <w:rsid w:val="008E71BC"/>
    <w:rPr>
      <w:rFonts w:cs="Times New Roman"/>
    </w:rPr>
  </w:style>
  <w:style w:type="character" w:customStyle="1" w:styleId="AddressCharChar">
    <w:name w:val="Address Char Char"/>
    <w:basedOn w:val="DefaultParagraphFont"/>
    <w:link w:val="Address"/>
    <w:rsid w:val="008E71BC"/>
    <w:rPr>
      <w:rFonts w:ascii="Georgia" w:hAnsi="Georgia" w:cs="Times New Roman"/>
      <w:i/>
      <w:sz w:val="18"/>
    </w:rPr>
  </w:style>
  <w:style w:type="character" w:customStyle="1" w:styleId="TitleChar">
    <w:name w:val="Title Char"/>
    <w:basedOn w:val="DefaultParagraphFont"/>
    <w:link w:val="Title"/>
    <w:rsid w:val="008E71BC"/>
    <w:rPr>
      <w:rFonts w:ascii="Cambria" w:hAnsi="Cambria" w:cs="Times New Roman"/>
      <w:b/>
      <w:i/>
      <w:color w:val="000000"/>
      <w:spacing w:val="5"/>
      <w:kern w:val="28"/>
      <w:sz w:val="52"/>
      <w:szCs w:val="52"/>
    </w:rPr>
  </w:style>
  <w:style w:type="character" w:customStyle="1" w:styleId="date-display-start">
    <w:name w:val="date-display-start"/>
    <w:basedOn w:val="DefaultParagraphFont"/>
    <w:rsid w:val="008E71BC"/>
    <w:rPr>
      <w:rFonts w:cs="Times New Roman"/>
    </w:rPr>
  </w:style>
  <w:style w:type="character" w:customStyle="1" w:styleId="date-display-single">
    <w:name w:val="date-display-single"/>
    <w:basedOn w:val="DefaultParagraphFont"/>
    <w:rsid w:val="008E71BC"/>
    <w:rPr>
      <w:rFonts w:cs="Times New Roman"/>
    </w:rPr>
  </w:style>
  <w:style w:type="character" w:customStyle="1" w:styleId="CommentReference1">
    <w:name w:val="Comment Reference1"/>
    <w:basedOn w:val="DefaultParagraphFont"/>
    <w:rsid w:val="008E71BC"/>
    <w:rPr>
      <w:rFonts w:cs="Times New Roman"/>
      <w:sz w:val="16"/>
      <w:szCs w:val="16"/>
    </w:rPr>
  </w:style>
  <w:style w:type="character" w:customStyle="1" w:styleId="field-content2">
    <w:name w:val="field-content2"/>
    <w:basedOn w:val="DefaultParagraphFont"/>
    <w:rsid w:val="008E71BC"/>
    <w:rPr>
      <w:rFonts w:cs="Times New Roman"/>
    </w:rPr>
  </w:style>
  <w:style w:type="character" w:customStyle="1" w:styleId="date-display-separator">
    <w:name w:val="date-display-separator"/>
    <w:basedOn w:val="DefaultParagraphFont"/>
    <w:rsid w:val="008E71BC"/>
    <w:rPr>
      <w:rFonts w:cs="Times New Roman"/>
    </w:rPr>
  </w:style>
  <w:style w:type="character" w:customStyle="1" w:styleId="date-display-end">
    <w:name w:val="date-display-end"/>
    <w:basedOn w:val="DefaultParagraphFont"/>
    <w:rsid w:val="008E71BC"/>
    <w:rPr>
      <w:rFonts w:cs="Times New Roman"/>
    </w:rPr>
  </w:style>
  <w:style w:type="paragraph" w:styleId="BodyText">
    <w:name w:val="Body Text"/>
    <w:basedOn w:val="Normal"/>
    <w:link w:val="BodyTextChar"/>
    <w:rsid w:val="008E71BC"/>
    <w:pPr>
      <w:spacing w:after="240"/>
    </w:pPr>
  </w:style>
  <w:style w:type="paragraph" w:styleId="BalloonText">
    <w:name w:val="Balloon Text"/>
    <w:basedOn w:val="Normal"/>
    <w:link w:val="BalloonTextChar"/>
    <w:rsid w:val="008E71BC"/>
    <w:pPr>
      <w:spacing w:line="240" w:lineRule="auto"/>
    </w:pPr>
    <w:rPr>
      <w:rFonts w:ascii="Tahoma" w:hAnsi="Tahoma" w:cs="Tahoma"/>
      <w:sz w:val="16"/>
      <w:szCs w:val="16"/>
    </w:rPr>
  </w:style>
  <w:style w:type="paragraph" w:styleId="CommentText">
    <w:name w:val="annotation text"/>
    <w:basedOn w:val="Normal"/>
    <w:link w:val="CommentTextChar"/>
    <w:rsid w:val="008E71BC"/>
  </w:style>
  <w:style w:type="paragraph" w:styleId="Footer">
    <w:name w:val="footer"/>
    <w:basedOn w:val="Normal"/>
    <w:link w:val="FooterChar"/>
    <w:rsid w:val="008E71BC"/>
    <w:pPr>
      <w:tabs>
        <w:tab w:val="center" w:pos="4513"/>
        <w:tab w:val="right" w:pos="9026"/>
      </w:tabs>
      <w:spacing w:line="240" w:lineRule="auto"/>
    </w:pPr>
  </w:style>
  <w:style w:type="paragraph" w:styleId="Header">
    <w:name w:val="header"/>
    <w:basedOn w:val="Normal"/>
    <w:link w:val="HeaderChar"/>
    <w:rsid w:val="008E71BC"/>
    <w:pPr>
      <w:tabs>
        <w:tab w:val="center" w:pos="4513"/>
        <w:tab w:val="right" w:pos="9026"/>
      </w:tabs>
      <w:spacing w:line="240" w:lineRule="auto"/>
    </w:pPr>
  </w:style>
  <w:style w:type="paragraph" w:styleId="Title">
    <w:name w:val="Title"/>
    <w:basedOn w:val="Normal"/>
    <w:next w:val="Normal"/>
    <w:link w:val="TitleChar"/>
    <w:qFormat/>
    <w:rsid w:val="008E71BC"/>
    <w:pPr>
      <w:pBdr>
        <w:top w:val="single" w:sz="8" w:space="1" w:color="DC6900"/>
      </w:pBdr>
      <w:spacing w:after="240" w:line="240" w:lineRule="auto"/>
      <w:contextualSpacing/>
    </w:pPr>
    <w:rPr>
      <w:rFonts w:ascii="Cambria" w:hAnsi="Cambria"/>
      <w:b/>
      <w:i/>
      <w:color w:val="000000"/>
      <w:spacing w:val="5"/>
      <w:kern w:val="28"/>
      <w:sz w:val="52"/>
      <w:szCs w:val="52"/>
    </w:rPr>
  </w:style>
  <w:style w:type="paragraph" w:customStyle="1" w:styleId="Address">
    <w:name w:val="Address"/>
    <w:basedOn w:val="Normal"/>
    <w:link w:val="AddressCharChar"/>
    <w:rsid w:val="008E71BC"/>
    <w:pPr>
      <w:spacing w:line="200" w:lineRule="atLeast"/>
    </w:pPr>
    <w:rPr>
      <w:i/>
      <w:sz w:val="18"/>
    </w:rPr>
  </w:style>
  <w:style w:type="paragraph" w:customStyle="1" w:styleId="NormalWebCharChar">
    <w:name w:val="Normal (Web) Char Char"/>
    <w:basedOn w:val="Normal"/>
    <w:rsid w:val="008E71BC"/>
    <w:pPr>
      <w:spacing w:before="100" w:beforeAutospacing="1" w:after="100" w:afterAutospacing="1" w:line="240" w:lineRule="auto"/>
    </w:pPr>
    <w:rPr>
      <w:rFonts w:ascii="Times New Roman" w:hAnsi="Times New Roman"/>
      <w:sz w:val="24"/>
      <w:szCs w:val="24"/>
      <w:lang w:val="en-US"/>
    </w:rPr>
  </w:style>
  <w:style w:type="paragraph" w:customStyle="1" w:styleId="CommentSubject1">
    <w:name w:val="Comment Subject1"/>
    <w:basedOn w:val="CommentText"/>
    <w:next w:val="CommentText"/>
    <w:link w:val="CommentSubjectChar"/>
    <w:rsid w:val="008E71BC"/>
    <w:rPr>
      <w:b/>
      <w:bCs/>
    </w:rPr>
  </w:style>
  <w:style w:type="paragraph" w:customStyle="1" w:styleId="ListNumbered">
    <w:name w:val="List Numbered"/>
    <w:basedOn w:val="Normal"/>
    <w:rsid w:val="008E71BC"/>
    <w:pPr>
      <w:numPr>
        <w:numId w:val="1"/>
      </w:numPr>
      <w:tabs>
        <w:tab w:val="left" w:pos="720"/>
      </w:tabs>
      <w:spacing w:line="240" w:lineRule="auto"/>
    </w:pPr>
    <w:rPr>
      <w:rFonts w:ascii="Arial" w:eastAsia="Times New Roman" w:hAnsi="Arial" w:cs="Arial"/>
      <w:szCs w:val="20"/>
    </w:rPr>
  </w:style>
  <w:style w:type="paragraph" w:customStyle="1" w:styleId="Disclaimer">
    <w:name w:val="Disclaimer"/>
    <w:basedOn w:val="Normal"/>
    <w:link w:val="DisclaimerCharChar"/>
    <w:rsid w:val="008E71BC"/>
    <w:pPr>
      <w:spacing w:line="140" w:lineRule="atLeast"/>
    </w:pPr>
    <w:rPr>
      <w:rFonts w:ascii="Arial" w:hAnsi="Arial" w:cs="Arial"/>
      <w:sz w:val="12"/>
    </w:rPr>
  </w:style>
  <w:style w:type="paragraph" w:customStyle="1" w:styleId="ReleaseBodyText">
    <w:name w:val="Release Body Text"/>
    <w:rsid w:val="008E71BC"/>
    <w:rPr>
      <w:rFonts w:ascii="Arial" w:eastAsia="Times New Roman" w:hAnsi="Arial" w:cs="Arial"/>
      <w:lang w:eastAsia="en-US"/>
    </w:rPr>
  </w:style>
  <w:style w:type="paragraph" w:styleId="ListParagraph">
    <w:name w:val="List Paragraph"/>
    <w:basedOn w:val="Normal"/>
    <w:qFormat/>
    <w:rsid w:val="008E71BC"/>
    <w:pPr>
      <w:spacing w:after="240"/>
      <w:ind w:left="720"/>
      <w:contextualSpacing/>
    </w:pPr>
    <w:rPr>
      <w:rFonts w:ascii="Calibri" w:eastAsia="Times New Roman" w:hAnsi="Calibri"/>
      <w:color w:val="000000"/>
      <w:sz w:val="21"/>
      <w:szCs w:val="21"/>
      <w:lang w:eastAsia="zh-CN"/>
    </w:rPr>
  </w:style>
  <w:style w:type="paragraph" w:customStyle="1" w:styleId="Heading">
    <w:name w:val="Heading"/>
    <w:basedOn w:val="Normal"/>
    <w:rsid w:val="008E71BC"/>
    <w:pPr>
      <w:spacing w:line="240" w:lineRule="auto"/>
    </w:pPr>
    <w:rPr>
      <w:rFonts w:ascii="Arial" w:eastAsia="Times New Roman"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openxmlformats.org/officeDocument/2006/relationships/settings" Target="settings.xml"/><Relationship Id="rId9" Type="http://schemas.openxmlformats.org/officeDocument/2006/relationships/hyperlink" Target="http://www.pwc.co.uk/indiadea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3142\Documents\India\201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6</TotalTime>
  <Pages>2</Pages>
  <Words>648</Words>
  <Characters>3699</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Windows User</vt:lpstr>
    </vt:vector>
  </TitlesOfParts>
  <Company>PricewaterhouseCoopers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User</dc:title>
  <dc:creator>Martyn Hollingdale</dc:creator>
  <cp:lastModifiedBy>shelly</cp:lastModifiedBy>
  <cp:revision>3</cp:revision>
  <cp:lastPrinted>2013-07-16T16:08:00Z</cp:lastPrinted>
  <dcterms:created xsi:type="dcterms:W3CDTF">2013-07-16T16:07:00Z</dcterms:created>
  <dcterms:modified xsi:type="dcterms:W3CDTF">2013-07-16T16:12:00Z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