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59" w:rsidRPr="00051D97" w:rsidRDefault="002E3959">
      <w:pPr>
        <w:rPr>
          <w:bCs/>
        </w:rPr>
      </w:pPr>
    </w:p>
    <w:p w:rsidR="002E3959" w:rsidRPr="00051D97" w:rsidRDefault="002E3959">
      <w:pPr>
        <w:rPr>
          <w:rFonts w:ascii="Arial" w:hAnsi="Arial" w:cs="Arial"/>
          <w:bCs/>
        </w:rPr>
      </w:pPr>
    </w:p>
    <w:p w:rsidR="002E3959" w:rsidRPr="00051D97" w:rsidRDefault="002E3959" w:rsidP="00B5387F">
      <w:pPr>
        <w:jc w:val="center"/>
        <w:rPr>
          <w:rFonts w:ascii="Arial" w:hAnsi="Arial" w:cs="Arial"/>
          <w:b/>
          <w:bCs/>
          <w:sz w:val="32"/>
        </w:rPr>
      </w:pPr>
      <w:r w:rsidRPr="00051D97">
        <w:rPr>
          <w:rFonts w:ascii="Arial" w:hAnsi="Arial" w:cs="Arial"/>
          <w:b/>
          <w:bCs/>
          <w:sz w:val="32"/>
        </w:rPr>
        <w:t>PRESS RELEASE</w:t>
      </w:r>
    </w:p>
    <w:p w:rsidR="002E3959" w:rsidRPr="00051D97" w:rsidRDefault="002E3959">
      <w:pPr>
        <w:outlineLvl w:val="0"/>
        <w:rPr>
          <w:rFonts w:ascii="Arial" w:hAnsi="Arial" w:cs="Arial"/>
          <w:b/>
          <w:bCs/>
        </w:rPr>
      </w:pPr>
    </w:p>
    <w:p w:rsidR="002E3959" w:rsidRPr="00051D97" w:rsidRDefault="002E3959" w:rsidP="00B5387F">
      <w:pPr>
        <w:jc w:val="right"/>
        <w:outlineLvl w:val="0"/>
        <w:rPr>
          <w:rFonts w:ascii="Arial" w:hAnsi="Arial" w:cs="Arial"/>
          <w:b/>
        </w:rPr>
      </w:pPr>
      <w:r w:rsidRPr="00051D97">
        <w:rPr>
          <w:rFonts w:ascii="Arial" w:hAnsi="Arial" w:cs="Arial"/>
          <w:b/>
          <w:bCs/>
        </w:rPr>
        <w:t xml:space="preserve">EMBARGO: </w:t>
      </w:r>
      <w:r w:rsidR="0051760F" w:rsidRPr="00051D97">
        <w:rPr>
          <w:rFonts w:ascii="Arial" w:hAnsi="Arial" w:cs="Arial"/>
          <w:b/>
          <w:bCs/>
        </w:rPr>
        <w:t>00.01hrs, Wednesday 10 July 2013</w:t>
      </w:r>
    </w:p>
    <w:p w:rsidR="002E3959" w:rsidRPr="00051D97" w:rsidRDefault="002E3959">
      <w:pPr>
        <w:rPr>
          <w:rFonts w:ascii="Arial" w:hAnsi="Arial" w:cs="Arial"/>
          <w:b/>
        </w:rPr>
      </w:pPr>
    </w:p>
    <w:p w:rsidR="002E3959" w:rsidRPr="00051D97" w:rsidRDefault="002E3959" w:rsidP="00051D97">
      <w:pPr>
        <w:rPr>
          <w:rFonts w:ascii="Arial" w:hAnsi="Arial" w:cs="Arial"/>
        </w:rPr>
      </w:pPr>
    </w:p>
    <w:p w:rsidR="002E3959" w:rsidRPr="00B5387F" w:rsidRDefault="002E3959">
      <w:pPr>
        <w:jc w:val="center"/>
        <w:outlineLvl w:val="0"/>
        <w:rPr>
          <w:rFonts w:ascii="Arial" w:hAnsi="Arial" w:cs="Arial"/>
          <w:szCs w:val="24"/>
        </w:rPr>
      </w:pPr>
      <w:r w:rsidRPr="00B5387F">
        <w:rPr>
          <w:rFonts w:ascii="Arial" w:hAnsi="Arial" w:cs="Arial"/>
          <w:b/>
          <w:szCs w:val="24"/>
        </w:rPr>
        <w:t>WAVE OF NEW REGULATION TOPS INSURANCE SECTOR RISKS</w:t>
      </w:r>
    </w:p>
    <w:p w:rsidR="002E3959" w:rsidRPr="00B5387F" w:rsidRDefault="002E3959">
      <w:pPr>
        <w:jc w:val="center"/>
        <w:outlineLvl w:val="0"/>
        <w:rPr>
          <w:rFonts w:ascii="Arial" w:hAnsi="Arial" w:cs="Arial"/>
          <w:b/>
          <w:szCs w:val="24"/>
        </w:rPr>
      </w:pPr>
      <w:r w:rsidRPr="00B5387F">
        <w:rPr>
          <w:rFonts w:ascii="Arial" w:hAnsi="Arial" w:cs="Arial"/>
          <w:b/>
          <w:szCs w:val="24"/>
        </w:rPr>
        <w:t>‘Banana Skins’ poll pinpoints key concerns for insurers</w:t>
      </w:r>
    </w:p>
    <w:p w:rsidR="002E3959" w:rsidRPr="00051D97" w:rsidRDefault="002E3959" w:rsidP="00051D97">
      <w:pPr>
        <w:rPr>
          <w:rFonts w:ascii="Arial" w:hAnsi="Arial" w:cs="Arial"/>
          <w:b/>
          <w:szCs w:val="24"/>
        </w:rPr>
      </w:pPr>
    </w:p>
    <w:p w:rsidR="002E3959" w:rsidRPr="00051D97" w:rsidRDefault="002E3959">
      <w:pPr>
        <w:rPr>
          <w:rFonts w:ascii="Arial" w:hAnsi="Arial" w:cs="Arial"/>
        </w:rPr>
      </w:pPr>
    </w:p>
    <w:tbl>
      <w:tblPr>
        <w:tblpPr w:leftFromText="227" w:rightFromText="227" w:vertAnchor="page" w:horzAnchor="margin" w:tblpXSpec="right" w:tblpY="5191"/>
        <w:tblOverlap w:val="never"/>
        <w:tblW w:w="4077" w:type="dxa"/>
        <w:tblBorders>
          <w:top w:val="single" w:sz="4" w:space="0" w:color="auto"/>
          <w:left w:val="single" w:sz="4" w:space="0" w:color="auto"/>
          <w:bottom w:val="single" w:sz="4" w:space="0" w:color="auto"/>
          <w:right w:val="single" w:sz="4" w:space="0" w:color="auto"/>
        </w:tblBorders>
        <w:tblLook w:val="0000"/>
      </w:tblPr>
      <w:tblGrid>
        <w:gridCol w:w="534"/>
        <w:gridCol w:w="3543"/>
      </w:tblGrid>
      <w:tr w:rsidR="00B5387F" w:rsidRPr="00051D97" w:rsidTr="005119D5">
        <w:trPr>
          <w:trHeight w:val="255"/>
        </w:trPr>
        <w:tc>
          <w:tcPr>
            <w:tcW w:w="4077" w:type="dxa"/>
            <w:gridSpan w:val="2"/>
            <w:shd w:val="clear" w:color="auto" w:fill="auto"/>
            <w:noWrap/>
            <w:vAlign w:val="center"/>
          </w:tcPr>
          <w:p w:rsidR="00B5387F" w:rsidRPr="00051D97" w:rsidRDefault="00B5387F" w:rsidP="00B5387F">
            <w:pPr>
              <w:jc w:val="center"/>
              <w:rPr>
                <w:rFonts w:asciiTheme="minorHAnsi" w:hAnsiTheme="minorHAnsi" w:cs="Arial"/>
                <w:szCs w:val="18"/>
              </w:rPr>
            </w:pPr>
          </w:p>
          <w:p w:rsidR="00B5387F" w:rsidRPr="00051D97" w:rsidRDefault="00B5387F" w:rsidP="00B5387F">
            <w:pPr>
              <w:jc w:val="center"/>
              <w:rPr>
                <w:rFonts w:asciiTheme="minorHAnsi" w:hAnsiTheme="minorHAnsi" w:cs="Arial"/>
                <w:b/>
                <w:sz w:val="28"/>
                <w:szCs w:val="28"/>
              </w:rPr>
            </w:pPr>
            <w:r w:rsidRPr="00051D97">
              <w:rPr>
                <w:rFonts w:asciiTheme="minorHAnsi" w:hAnsiTheme="minorHAnsi" w:cs="Arial"/>
                <w:b/>
                <w:sz w:val="28"/>
                <w:szCs w:val="28"/>
              </w:rPr>
              <w:t xml:space="preserve">Insurance Banana Skins 2013 </w:t>
            </w:r>
          </w:p>
          <w:p w:rsidR="00B5387F" w:rsidRPr="00051D97" w:rsidRDefault="00B5387F" w:rsidP="00B5387F">
            <w:pPr>
              <w:jc w:val="center"/>
              <w:rPr>
                <w:rFonts w:asciiTheme="minorHAnsi" w:hAnsiTheme="minorHAnsi" w:cs="Arial"/>
                <w:szCs w:val="18"/>
              </w:rPr>
            </w:pPr>
            <w:r w:rsidRPr="00051D97">
              <w:rPr>
                <w:rFonts w:asciiTheme="minorHAnsi" w:hAnsiTheme="minorHAnsi" w:cs="Arial"/>
                <w:szCs w:val="18"/>
              </w:rPr>
              <w:t>(2011 ranking in brackets)</w:t>
            </w:r>
          </w:p>
          <w:p w:rsidR="00B5387F" w:rsidRPr="00051D97" w:rsidRDefault="00B5387F" w:rsidP="00B5387F">
            <w:pPr>
              <w:rPr>
                <w:rFonts w:asciiTheme="minorHAnsi" w:hAnsiTheme="minorHAnsi" w:cs="Arial"/>
                <w:szCs w:val="18"/>
              </w:rPr>
            </w:pP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1</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Regulation (1)</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2</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Investment performance (4)</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3</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Macro-economic environment (3)</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4</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Business practices (18)</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5</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Natural catastrophes (5)</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6</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Guaranteed products (-)</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7</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Quality of risk management (15)</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8</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Quality of management (14)</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9</w:t>
            </w:r>
          </w:p>
        </w:tc>
        <w:tc>
          <w:tcPr>
            <w:tcW w:w="3543" w:type="dxa"/>
            <w:shd w:val="clear" w:color="auto" w:fill="auto"/>
            <w:vAlign w:val="center"/>
          </w:tcPr>
          <w:p w:rsidR="00B5387F" w:rsidRPr="00051D97" w:rsidRDefault="00B5387F" w:rsidP="00B5387F">
            <w:pPr>
              <w:rPr>
                <w:rFonts w:asciiTheme="minorHAnsi" w:eastAsiaTheme="minorHAnsi" w:hAnsiTheme="minorHAnsi" w:cs="Arial"/>
                <w:szCs w:val="18"/>
              </w:rPr>
            </w:pPr>
            <w:r w:rsidRPr="00051D97">
              <w:rPr>
                <w:rFonts w:asciiTheme="minorHAnsi" w:hAnsiTheme="minorHAnsi" w:cs="Arial"/>
                <w:szCs w:val="18"/>
              </w:rPr>
              <w:t>Long tail liabilities (7)</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10</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Political interference (11)</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11</w:t>
            </w:r>
          </w:p>
        </w:tc>
        <w:tc>
          <w:tcPr>
            <w:tcW w:w="3543" w:type="dxa"/>
            <w:shd w:val="clear" w:color="auto" w:fill="auto"/>
            <w:vAlign w:val="center"/>
          </w:tcPr>
          <w:p w:rsidR="00B5387F" w:rsidRPr="00051D97" w:rsidRDefault="00B5387F" w:rsidP="00B5387F">
            <w:pPr>
              <w:rPr>
                <w:rFonts w:asciiTheme="minorHAnsi" w:eastAsiaTheme="minorHAnsi" w:hAnsiTheme="minorHAnsi" w:cs="Arial"/>
                <w:szCs w:val="18"/>
              </w:rPr>
            </w:pPr>
            <w:r w:rsidRPr="00051D97">
              <w:rPr>
                <w:rFonts w:asciiTheme="minorHAnsi" w:hAnsiTheme="minorHAnsi" w:cs="Arial"/>
                <w:szCs w:val="18"/>
              </w:rPr>
              <w:t>Distribution channels (9)</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12</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Actuarial assumptions (12)</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13</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Innovation (-)</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14</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Reputation (16)</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15</w:t>
            </w:r>
          </w:p>
        </w:tc>
        <w:tc>
          <w:tcPr>
            <w:tcW w:w="3543" w:type="dxa"/>
            <w:shd w:val="clear" w:color="auto" w:fill="auto"/>
            <w:vAlign w:val="center"/>
          </w:tcPr>
          <w:p w:rsidR="00B5387F" w:rsidRPr="00051D97" w:rsidRDefault="00B5387F" w:rsidP="00810474">
            <w:pPr>
              <w:rPr>
                <w:rFonts w:asciiTheme="minorHAnsi" w:hAnsiTheme="minorHAnsi" w:cs="Arial"/>
                <w:szCs w:val="18"/>
              </w:rPr>
            </w:pPr>
            <w:r w:rsidRPr="00051D97">
              <w:rPr>
                <w:rFonts w:asciiTheme="minorHAnsi" w:hAnsiTheme="minorHAnsi" w:cs="Arial"/>
                <w:szCs w:val="18"/>
              </w:rPr>
              <w:t>Change management (</w:t>
            </w:r>
            <w:r w:rsidR="00810474" w:rsidRPr="00051D97">
              <w:rPr>
                <w:rFonts w:asciiTheme="minorHAnsi" w:hAnsiTheme="minorHAnsi" w:cs="Arial"/>
                <w:szCs w:val="18"/>
              </w:rPr>
              <w:t>-</w:t>
            </w:r>
            <w:r w:rsidRPr="00051D97">
              <w:rPr>
                <w:rFonts w:asciiTheme="minorHAnsi" w:hAnsiTheme="minorHAnsi" w:cs="Arial"/>
                <w:szCs w:val="18"/>
              </w:rPr>
              <w:t>)</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16</w:t>
            </w:r>
          </w:p>
        </w:tc>
        <w:tc>
          <w:tcPr>
            <w:tcW w:w="3543" w:type="dxa"/>
            <w:shd w:val="clear" w:color="auto" w:fill="auto"/>
            <w:vAlign w:val="center"/>
          </w:tcPr>
          <w:p w:rsidR="00B5387F" w:rsidRPr="00051D97" w:rsidRDefault="00B5387F" w:rsidP="00B5387F">
            <w:pPr>
              <w:rPr>
                <w:rFonts w:asciiTheme="minorHAnsi" w:eastAsiaTheme="minorHAnsi" w:hAnsiTheme="minorHAnsi" w:cs="Arial"/>
                <w:szCs w:val="18"/>
              </w:rPr>
            </w:pPr>
            <w:r w:rsidRPr="00051D97">
              <w:rPr>
                <w:rFonts w:asciiTheme="minorHAnsi" w:hAnsiTheme="minorHAnsi" w:cs="Arial"/>
                <w:szCs w:val="18"/>
              </w:rPr>
              <w:t>Capital availability (2)</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17</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Corporate governance (8)</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18</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Climate change (20)</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19</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Human resources (6)</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20</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Product development (24)</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21</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Social media (-)</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22</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Crime (22)</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23</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Complex instruments (19)</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24</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Reinsurance (21)</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25</w:t>
            </w:r>
          </w:p>
        </w:tc>
        <w:tc>
          <w:tcPr>
            <w:tcW w:w="3543" w:type="dxa"/>
            <w:shd w:val="clear" w:color="auto" w:fill="auto"/>
            <w:vAlign w:val="center"/>
          </w:tcPr>
          <w:p w:rsidR="00B5387F" w:rsidRPr="00051D97" w:rsidRDefault="00B5387F" w:rsidP="00B5387F">
            <w:pPr>
              <w:rPr>
                <w:rFonts w:asciiTheme="minorHAnsi" w:eastAsiaTheme="minorHAnsi" w:hAnsiTheme="minorHAnsi" w:cs="Arial"/>
                <w:szCs w:val="18"/>
              </w:rPr>
            </w:pPr>
            <w:r w:rsidRPr="00051D97">
              <w:rPr>
                <w:rFonts w:asciiTheme="minorHAnsi" w:hAnsiTheme="minorHAnsi" w:cs="Arial"/>
                <w:szCs w:val="18"/>
              </w:rPr>
              <w:t>Back office (17)</w:t>
            </w:r>
          </w:p>
        </w:tc>
      </w:tr>
      <w:tr w:rsidR="00B5387F" w:rsidRPr="00051D97" w:rsidTr="005119D5">
        <w:trPr>
          <w:trHeight w:val="255"/>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26</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Pollution (25)</w:t>
            </w:r>
          </w:p>
        </w:tc>
      </w:tr>
      <w:tr w:rsidR="00B5387F" w:rsidRPr="00051D97" w:rsidTr="005119D5">
        <w:trPr>
          <w:trHeight w:val="124"/>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Cs w:val="18"/>
              </w:rPr>
            </w:pPr>
            <w:r w:rsidRPr="00051D97">
              <w:rPr>
                <w:rFonts w:asciiTheme="minorHAnsi" w:hAnsiTheme="minorHAnsi" w:cs="Arial"/>
                <w:szCs w:val="18"/>
              </w:rPr>
              <w:t>27</w:t>
            </w:r>
          </w:p>
        </w:tc>
        <w:tc>
          <w:tcPr>
            <w:tcW w:w="3543" w:type="dxa"/>
            <w:shd w:val="clear" w:color="auto" w:fill="auto"/>
            <w:vAlign w:val="center"/>
          </w:tcPr>
          <w:p w:rsidR="00B5387F" w:rsidRPr="00051D97" w:rsidRDefault="00B5387F" w:rsidP="00B5387F">
            <w:pPr>
              <w:rPr>
                <w:rFonts w:asciiTheme="minorHAnsi" w:hAnsiTheme="minorHAnsi" w:cs="Arial"/>
                <w:szCs w:val="18"/>
              </w:rPr>
            </w:pPr>
            <w:r w:rsidRPr="00051D97">
              <w:rPr>
                <w:rFonts w:asciiTheme="minorHAnsi" w:hAnsiTheme="minorHAnsi" w:cs="Arial"/>
                <w:szCs w:val="18"/>
              </w:rPr>
              <w:t>Terrorism (23)</w:t>
            </w:r>
          </w:p>
        </w:tc>
      </w:tr>
      <w:tr w:rsidR="00B5387F" w:rsidRPr="00051D97" w:rsidTr="005119D5">
        <w:trPr>
          <w:trHeight w:val="124"/>
        </w:trPr>
        <w:tc>
          <w:tcPr>
            <w:tcW w:w="534" w:type="dxa"/>
            <w:shd w:val="clear" w:color="auto" w:fill="auto"/>
            <w:noWrap/>
            <w:tcMar>
              <w:right w:w="142" w:type="dxa"/>
            </w:tcMar>
            <w:vAlign w:val="center"/>
          </w:tcPr>
          <w:p w:rsidR="00B5387F" w:rsidRPr="00051D97" w:rsidRDefault="00B5387F" w:rsidP="00B5387F">
            <w:pPr>
              <w:jc w:val="right"/>
              <w:rPr>
                <w:rFonts w:asciiTheme="minorHAnsi" w:hAnsiTheme="minorHAnsi" w:cs="Arial"/>
                <w:sz w:val="18"/>
                <w:szCs w:val="18"/>
              </w:rPr>
            </w:pPr>
          </w:p>
        </w:tc>
        <w:tc>
          <w:tcPr>
            <w:tcW w:w="3543" w:type="dxa"/>
            <w:shd w:val="clear" w:color="auto" w:fill="auto"/>
            <w:vAlign w:val="center"/>
          </w:tcPr>
          <w:p w:rsidR="00B5387F" w:rsidRPr="00051D97" w:rsidRDefault="00B5387F" w:rsidP="00B5387F">
            <w:pPr>
              <w:rPr>
                <w:rFonts w:asciiTheme="minorHAnsi" w:hAnsiTheme="minorHAnsi" w:cs="Arial"/>
                <w:sz w:val="18"/>
                <w:szCs w:val="18"/>
              </w:rPr>
            </w:pPr>
          </w:p>
        </w:tc>
      </w:tr>
    </w:tbl>
    <w:p w:rsidR="002E3959" w:rsidRPr="00051D97" w:rsidRDefault="00B5387F">
      <w:pPr>
        <w:rPr>
          <w:rFonts w:ascii="Arial" w:hAnsi="Arial" w:cs="Arial"/>
        </w:rPr>
      </w:pPr>
      <w:r w:rsidRPr="00051D97">
        <w:rPr>
          <w:rFonts w:ascii="Arial" w:hAnsi="Arial" w:cs="Arial"/>
        </w:rPr>
        <w:t xml:space="preserve">The greatest risk currently facing the insurance industry comes from the wave of new regulations which are being introduced at international and local levels, </w:t>
      </w:r>
      <w:r w:rsidR="002E3959" w:rsidRPr="00051D97">
        <w:rPr>
          <w:rFonts w:ascii="Arial" w:hAnsi="Arial" w:cs="Arial"/>
        </w:rPr>
        <w:t xml:space="preserve">according to a new survey which ranks insurance sector risk.   </w:t>
      </w:r>
    </w:p>
    <w:p w:rsidR="002E3959" w:rsidRPr="00051D97" w:rsidRDefault="002E3959">
      <w:pPr>
        <w:rPr>
          <w:rFonts w:ascii="Arial" w:hAnsi="Arial" w:cs="Arial"/>
        </w:rPr>
      </w:pPr>
    </w:p>
    <w:p w:rsidR="002E3959" w:rsidRPr="00B5387F" w:rsidRDefault="002E3959">
      <w:pPr>
        <w:rPr>
          <w:rFonts w:ascii="Arial" w:hAnsi="Arial" w:cs="Arial"/>
        </w:rPr>
      </w:pPr>
      <w:r w:rsidRPr="00B5387F">
        <w:rPr>
          <w:rFonts w:ascii="Arial" w:hAnsi="Arial" w:cs="Arial"/>
        </w:rPr>
        <w:t xml:space="preserve">The CSFI’s latest </w:t>
      </w:r>
      <w:r w:rsidRPr="00B5387F">
        <w:rPr>
          <w:rFonts w:ascii="Arial" w:hAnsi="Arial" w:cs="Arial"/>
          <w:i/>
        </w:rPr>
        <w:t>Insurance Banana Skins</w:t>
      </w:r>
      <w:r w:rsidRPr="00B5387F">
        <w:rPr>
          <w:rFonts w:ascii="Arial" w:hAnsi="Arial" w:cs="Arial"/>
        </w:rPr>
        <w:t xml:space="preserve"> survey, conducted in association with PwC, says that new rules governing issues such as solvency and market conduct could swamp the industry with costs and compliance problems. It could also distract management from the more urgent task of running profitable businesses at a time when the industry is under stress.</w:t>
      </w:r>
    </w:p>
    <w:p w:rsidR="002E3959" w:rsidRPr="00051D97" w:rsidRDefault="002E3959">
      <w:pPr>
        <w:rPr>
          <w:rFonts w:ascii="Arial" w:hAnsi="Arial" w:cs="Arial"/>
        </w:rPr>
      </w:pPr>
    </w:p>
    <w:p w:rsidR="002E3959" w:rsidRPr="00051D97" w:rsidRDefault="002E3959">
      <w:pPr>
        <w:rPr>
          <w:rFonts w:ascii="Arial" w:hAnsi="Arial" w:cs="Arial"/>
        </w:rPr>
      </w:pPr>
      <w:r w:rsidRPr="00051D97">
        <w:rPr>
          <w:rFonts w:ascii="Arial" w:hAnsi="Arial" w:cs="Arial"/>
        </w:rPr>
        <w:t xml:space="preserve">The survey polled </w:t>
      </w:r>
      <w:r w:rsidR="00B5387F" w:rsidRPr="00051D97">
        <w:rPr>
          <w:rFonts w:ascii="Arial" w:hAnsi="Arial" w:cs="Arial"/>
        </w:rPr>
        <w:t>over 600</w:t>
      </w:r>
      <w:r w:rsidR="00351706" w:rsidRPr="00051D97">
        <w:rPr>
          <w:rFonts w:ascii="Arial" w:hAnsi="Arial" w:cs="Arial"/>
        </w:rPr>
        <w:t xml:space="preserve"> </w:t>
      </w:r>
      <w:r w:rsidRPr="00051D97">
        <w:rPr>
          <w:rFonts w:ascii="Arial" w:hAnsi="Arial" w:cs="Arial"/>
        </w:rPr>
        <w:t xml:space="preserve">insurance practitioners and industry observers in </w:t>
      </w:r>
      <w:r w:rsidR="00B5387F" w:rsidRPr="00051D97">
        <w:rPr>
          <w:rFonts w:ascii="Arial" w:hAnsi="Arial" w:cs="Arial"/>
        </w:rPr>
        <w:t>54</w:t>
      </w:r>
      <w:r w:rsidRPr="00051D97">
        <w:rPr>
          <w:rFonts w:ascii="Arial" w:hAnsi="Arial" w:cs="Arial"/>
        </w:rPr>
        <w:t xml:space="preserve"> countries to find out where they saw the greatest risks over the next 2-3 years. Regulat</w:t>
      </w:r>
      <w:r w:rsidR="00BA3F27" w:rsidRPr="00051D97">
        <w:rPr>
          <w:rFonts w:ascii="Arial" w:hAnsi="Arial" w:cs="Arial"/>
        </w:rPr>
        <w:t>ory risk</w:t>
      </w:r>
      <w:r w:rsidRPr="00051D97">
        <w:rPr>
          <w:rFonts w:ascii="Arial" w:hAnsi="Arial" w:cs="Arial"/>
        </w:rPr>
        <w:t xml:space="preserve"> emerged a clear leader in </w:t>
      </w:r>
      <w:r w:rsidR="00B5387F" w:rsidRPr="00051D97">
        <w:rPr>
          <w:rFonts w:ascii="Arial" w:hAnsi="Arial" w:cs="Arial"/>
        </w:rPr>
        <w:t>many</w:t>
      </w:r>
      <w:r w:rsidRPr="00051D97">
        <w:rPr>
          <w:rFonts w:ascii="Arial" w:hAnsi="Arial" w:cs="Arial"/>
        </w:rPr>
        <w:t xml:space="preserve"> major markets, including North America, Europe, and the Far East/Pacific.</w:t>
      </w:r>
    </w:p>
    <w:p w:rsidR="002E3959" w:rsidRPr="00051D97" w:rsidRDefault="002E3959">
      <w:pPr>
        <w:rPr>
          <w:rFonts w:ascii="Arial" w:hAnsi="Arial" w:cs="Arial"/>
        </w:rPr>
      </w:pPr>
    </w:p>
    <w:p w:rsidR="00A85EF2" w:rsidRPr="00051D97" w:rsidRDefault="00B5387F">
      <w:pPr>
        <w:rPr>
          <w:rFonts w:ascii="Arial" w:hAnsi="Arial" w:cs="Arial"/>
        </w:rPr>
      </w:pPr>
      <w:r w:rsidRPr="00051D97">
        <w:rPr>
          <w:rFonts w:ascii="Arial" w:hAnsi="Arial" w:cs="Arial"/>
        </w:rPr>
        <w:t xml:space="preserve">This is the second successive </w:t>
      </w:r>
      <w:r w:rsidRPr="00051D97">
        <w:rPr>
          <w:rFonts w:ascii="Arial" w:hAnsi="Arial" w:cs="Arial"/>
          <w:i/>
        </w:rPr>
        <w:t xml:space="preserve">Banana Skins </w:t>
      </w:r>
      <w:r w:rsidRPr="00051D97">
        <w:rPr>
          <w:rFonts w:ascii="Arial" w:hAnsi="Arial" w:cs="Arial"/>
        </w:rPr>
        <w:t>survey</w:t>
      </w:r>
      <w:r w:rsidR="00A85EF2" w:rsidRPr="00051D97">
        <w:rPr>
          <w:rFonts w:ascii="Arial" w:hAnsi="Arial" w:cs="Arial"/>
        </w:rPr>
        <w:t xml:space="preserve"> which has identified regulation as the top risk concern for insurers, underlining the continuing uncertainty surrounding major regulatory initiatives.</w:t>
      </w:r>
    </w:p>
    <w:p w:rsidR="00B5387F" w:rsidRPr="00051D97" w:rsidRDefault="00A85EF2">
      <w:pPr>
        <w:rPr>
          <w:rFonts w:ascii="Arial" w:hAnsi="Arial" w:cs="Arial"/>
        </w:rPr>
      </w:pPr>
      <w:r w:rsidRPr="00051D97">
        <w:rPr>
          <w:rFonts w:ascii="Arial" w:hAnsi="Arial" w:cs="Arial"/>
        </w:rPr>
        <w:t xml:space="preserve"> </w:t>
      </w:r>
    </w:p>
    <w:p w:rsidR="002E3959" w:rsidRDefault="002E3959">
      <w:pPr>
        <w:rPr>
          <w:rFonts w:ascii="Arial" w:hAnsi="Arial" w:cs="Arial"/>
        </w:rPr>
      </w:pPr>
      <w:r w:rsidRPr="00351706">
        <w:rPr>
          <w:rFonts w:ascii="Arial" w:hAnsi="Arial" w:cs="Arial"/>
        </w:rPr>
        <w:lastRenderedPageBreak/>
        <w:t xml:space="preserve">The EU’s Solvency II Directive, </w:t>
      </w:r>
      <w:r w:rsidR="00351706" w:rsidRPr="00351706">
        <w:rPr>
          <w:rFonts w:ascii="Arial" w:hAnsi="Arial" w:cs="Arial"/>
        </w:rPr>
        <w:t>now in its seventh year of planning</w:t>
      </w:r>
      <w:r w:rsidRPr="00351706">
        <w:rPr>
          <w:rFonts w:ascii="Arial" w:hAnsi="Arial" w:cs="Arial"/>
        </w:rPr>
        <w:t>, was the focus of strongest concern</w:t>
      </w:r>
      <w:r w:rsidR="00351706" w:rsidRPr="00351706">
        <w:rPr>
          <w:rFonts w:ascii="Arial" w:hAnsi="Arial" w:cs="Arial"/>
        </w:rPr>
        <w:t>, particularly since many non-EU countries are awaiting the outcome before they finalise plans of their own.</w:t>
      </w:r>
    </w:p>
    <w:p w:rsidR="008E3F76" w:rsidRDefault="008E3F76">
      <w:pPr>
        <w:rPr>
          <w:rFonts w:ascii="Arial" w:hAnsi="Arial" w:cs="Arial"/>
        </w:rPr>
      </w:pPr>
    </w:p>
    <w:p w:rsidR="008E3F76" w:rsidRPr="008E3F76" w:rsidRDefault="008E3F76" w:rsidP="008E3F76">
      <w:pPr>
        <w:tabs>
          <w:tab w:val="left" w:pos="3607"/>
        </w:tabs>
        <w:jc w:val="both"/>
        <w:rPr>
          <w:rFonts w:ascii="Arial" w:hAnsi="Arial" w:cs="Arial"/>
          <w:szCs w:val="24"/>
          <w:lang w:eastAsia="en-GB"/>
        </w:rPr>
      </w:pPr>
      <w:r w:rsidRPr="008E3F76">
        <w:rPr>
          <w:rFonts w:ascii="Arial" w:hAnsi="Arial" w:cs="Arial"/>
          <w:szCs w:val="24"/>
        </w:rPr>
        <w:t xml:space="preserve">A related set of risks lay in the area of business practices (No. 4), another area of regulatory scrutiny.  </w:t>
      </w:r>
      <w:r w:rsidRPr="008E3F76">
        <w:rPr>
          <w:rFonts w:ascii="Arial" w:hAnsi="Arial" w:cs="Arial"/>
          <w:szCs w:val="24"/>
          <w:lang w:eastAsia="en-GB"/>
        </w:rPr>
        <w:t xml:space="preserve">Despite the huge amount that has been done by companies and regulators to clean up practices such as mis-selling, this is still </w:t>
      </w:r>
      <w:r w:rsidR="0082757B">
        <w:rPr>
          <w:rFonts w:ascii="Arial" w:hAnsi="Arial" w:cs="Arial"/>
          <w:szCs w:val="24"/>
          <w:lang w:eastAsia="en-GB"/>
        </w:rPr>
        <w:t xml:space="preserve">seen as </w:t>
      </w:r>
      <w:r w:rsidRPr="008E3F76">
        <w:rPr>
          <w:rFonts w:ascii="Arial" w:hAnsi="Arial" w:cs="Arial"/>
          <w:szCs w:val="24"/>
          <w:lang w:eastAsia="en-GB"/>
        </w:rPr>
        <w:t>an area of high risk particularly at a time of economic stress when pressure to generate sales is strong.</w:t>
      </w:r>
    </w:p>
    <w:p w:rsidR="008E3F76" w:rsidRPr="00351706" w:rsidRDefault="008E3F76">
      <w:pPr>
        <w:rPr>
          <w:rFonts w:ascii="Arial" w:hAnsi="Arial" w:cs="Arial"/>
        </w:rPr>
      </w:pPr>
    </w:p>
    <w:p w:rsidR="002E3959" w:rsidRDefault="002E3959">
      <w:pPr>
        <w:rPr>
          <w:rFonts w:ascii="Arial" w:hAnsi="Arial" w:cs="Arial"/>
        </w:rPr>
      </w:pPr>
      <w:r w:rsidRPr="008E3F76">
        <w:rPr>
          <w:rFonts w:ascii="Arial" w:hAnsi="Arial" w:cs="Arial"/>
        </w:rPr>
        <w:t>Other high-ranking concerns</w:t>
      </w:r>
      <w:r w:rsidR="00351706" w:rsidRPr="008E3F76">
        <w:rPr>
          <w:rFonts w:ascii="Arial" w:hAnsi="Arial" w:cs="Arial"/>
        </w:rPr>
        <w:t xml:space="preserve"> revealed by the survey included </w:t>
      </w:r>
      <w:r w:rsidRPr="008E3F76">
        <w:rPr>
          <w:rFonts w:ascii="Arial" w:hAnsi="Arial" w:cs="Arial"/>
        </w:rPr>
        <w:t xml:space="preserve">the uncertain state of </w:t>
      </w:r>
      <w:r w:rsidR="008E3F76" w:rsidRPr="008E3F76">
        <w:rPr>
          <w:rFonts w:ascii="Arial" w:hAnsi="Arial" w:cs="Arial"/>
        </w:rPr>
        <w:t>financial markets</w:t>
      </w:r>
      <w:r w:rsidR="008E3F76">
        <w:rPr>
          <w:rFonts w:ascii="Arial" w:hAnsi="Arial" w:cs="Arial"/>
        </w:rPr>
        <w:t xml:space="preserve"> (No. 2) and</w:t>
      </w:r>
      <w:r w:rsidR="008E3F76" w:rsidRPr="008E3F76">
        <w:rPr>
          <w:rFonts w:ascii="Arial" w:hAnsi="Arial" w:cs="Arial"/>
        </w:rPr>
        <w:t xml:space="preserve"> </w:t>
      </w:r>
      <w:r w:rsidRPr="008E3F76">
        <w:rPr>
          <w:rFonts w:ascii="Arial" w:hAnsi="Arial" w:cs="Arial"/>
        </w:rPr>
        <w:t xml:space="preserve">the world economy </w:t>
      </w:r>
      <w:r w:rsidR="008E3F76">
        <w:rPr>
          <w:rFonts w:ascii="Arial" w:hAnsi="Arial" w:cs="Arial"/>
        </w:rPr>
        <w:t>(No. 3)</w:t>
      </w:r>
      <w:r w:rsidRPr="008E3F76">
        <w:rPr>
          <w:rFonts w:ascii="Arial" w:hAnsi="Arial" w:cs="Arial"/>
        </w:rPr>
        <w:t xml:space="preserve">.  These are adding to the pressures on an industry which </w:t>
      </w:r>
      <w:r w:rsidR="008E3F76">
        <w:rPr>
          <w:rFonts w:ascii="Arial" w:hAnsi="Arial" w:cs="Arial"/>
        </w:rPr>
        <w:t>has been</w:t>
      </w:r>
      <w:r w:rsidRPr="008E3F76">
        <w:rPr>
          <w:rFonts w:ascii="Arial" w:hAnsi="Arial" w:cs="Arial"/>
        </w:rPr>
        <w:t xml:space="preserve"> squeezed by </w:t>
      </w:r>
      <w:r w:rsidR="008E3F76">
        <w:rPr>
          <w:rFonts w:ascii="Arial" w:hAnsi="Arial" w:cs="Arial"/>
        </w:rPr>
        <w:t xml:space="preserve">years of </w:t>
      </w:r>
      <w:r w:rsidRPr="008E3F76">
        <w:rPr>
          <w:rFonts w:ascii="Arial" w:hAnsi="Arial" w:cs="Arial"/>
        </w:rPr>
        <w:t>low interest rates and intense competition.</w:t>
      </w:r>
      <w:r w:rsidR="00351706" w:rsidRPr="008E3F76">
        <w:rPr>
          <w:rFonts w:ascii="Arial" w:hAnsi="Arial" w:cs="Arial"/>
        </w:rPr>
        <w:t xml:space="preserve">  A particular focus of concern was the legacy of products which offer guaranteed return</w:t>
      </w:r>
      <w:r w:rsidR="008E3F76">
        <w:rPr>
          <w:rFonts w:ascii="Arial" w:hAnsi="Arial" w:cs="Arial"/>
        </w:rPr>
        <w:t>s</w:t>
      </w:r>
      <w:r w:rsidR="00351706" w:rsidRPr="008E3F76">
        <w:rPr>
          <w:rFonts w:ascii="Arial" w:hAnsi="Arial" w:cs="Arial"/>
        </w:rPr>
        <w:t xml:space="preserve"> but cannot be </w:t>
      </w:r>
      <w:r w:rsidR="008E3F76" w:rsidRPr="008E3F76">
        <w:rPr>
          <w:rFonts w:ascii="Arial" w:hAnsi="Arial" w:cs="Arial"/>
        </w:rPr>
        <w:t xml:space="preserve">profitably </w:t>
      </w:r>
      <w:r w:rsidR="00351706" w:rsidRPr="008E3F76">
        <w:rPr>
          <w:rFonts w:ascii="Arial" w:hAnsi="Arial" w:cs="Arial"/>
        </w:rPr>
        <w:t>funded at today’s low yield</w:t>
      </w:r>
      <w:r w:rsidR="008E3F76">
        <w:rPr>
          <w:rFonts w:ascii="Arial" w:hAnsi="Arial" w:cs="Arial"/>
        </w:rPr>
        <w:t>s</w:t>
      </w:r>
      <w:r w:rsidR="0082757B">
        <w:rPr>
          <w:rFonts w:ascii="Arial" w:hAnsi="Arial" w:cs="Arial"/>
        </w:rPr>
        <w:t xml:space="preserve"> (No. 6)</w:t>
      </w:r>
      <w:r w:rsidR="008E3F76">
        <w:rPr>
          <w:rFonts w:ascii="Arial" w:hAnsi="Arial" w:cs="Arial"/>
        </w:rPr>
        <w:t>.</w:t>
      </w:r>
    </w:p>
    <w:p w:rsidR="0001148C" w:rsidRDefault="0001148C">
      <w:pPr>
        <w:rPr>
          <w:rFonts w:ascii="Arial" w:hAnsi="Arial" w:cs="Arial"/>
        </w:rPr>
      </w:pPr>
    </w:p>
    <w:p w:rsidR="0001148C" w:rsidRPr="008E3F76" w:rsidRDefault="0001148C">
      <w:pPr>
        <w:rPr>
          <w:rFonts w:ascii="Arial" w:hAnsi="Arial" w:cs="Arial"/>
        </w:rPr>
      </w:pPr>
      <w:r>
        <w:rPr>
          <w:rFonts w:ascii="Arial" w:hAnsi="Arial" w:cs="Arial"/>
        </w:rPr>
        <w:t>The continuation of difficult market conditions has also put the spotlight on the quality of management (No. 8), and particularly risk management (No. 7).</w:t>
      </w:r>
    </w:p>
    <w:p w:rsidR="002E3959" w:rsidRPr="00051D97" w:rsidRDefault="002E3959">
      <w:pPr>
        <w:rPr>
          <w:rFonts w:ascii="Arial" w:hAnsi="Arial" w:cs="Arial"/>
        </w:rPr>
      </w:pPr>
    </w:p>
    <w:p w:rsidR="0001148C" w:rsidRPr="00051D97" w:rsidRDefault="008A5894">
      <w:pPr>
        <w:rPr>
          <w:rFonts w:ascii="Arial" w:hAnsi="Arial" w:cs="Arial"/>
        </w:rPr>
      </w:pPr>
      <w:r w:rsidRPr="00051D97">
        <w:rPr>
          <w:rFonts w:ascii="Arial" w:hAnsi="Arial" w:cs="Arial"/>
        </w:rPr>
        <w:t>This year’s survey showed continuing concern about underwriting risks in natural catastrophes</w:t>
      </w:r>
      <w:r w:rsidR="0001148C" w:rsidRPr="00051D97">
        <w:rPr>
          <w:rFonts w:ascii="Arial" w:hAnsi="Arial" w:cs="Arial"/>
        </w:rPr>
        <w:t xml:space="preserve"> (No. 5) given the greater frequency of events, and the rising cost of claims.  In some markets, such as New Zealand and Australia, the insurers’ handling of catastrophe claims has become a major political issue.</w:t>
      </w:r>
    </w:p>
    <w:p w:rsidR="0001148C" w:rsidRPr="00051D97" w:rsidRDefault="0001148C">
      <w:pPr>
        <w:rPr>
          <w:rFonts w:ascii="Arial" w:hAnsi="Arial" w:cs="Arial"/>
        </w:rPr>
      </w:pPr>
    </w:p>
    <w:p w:rsidR="000B32A2" w:rsidRPr="00051D97" w:rsidRDefault="002E3959">
      <w:pPr>
        <w:rPr>
          <w:rFonts w:ascii="Arial" w:hAnsi="Arial" w:cs="Arial"/>
        </w:rPr>
      </w:pPr>
      <w:r w:rsidRPr="00051D97">
        <w:rPr>
          <w:rFonts w:ascii="Arial" w:hAnsi="Arial" w:cs="Arial"/>
        </w:rPr>
        <w:t xml:space="preserve">On the other hand, a number of risks have fallen in urgency, </w:t>
      </w:r>
      <w:r w:rsidR="000B32A2" w:rsidRPr="00051D97">
        <w:rPr>
          <w:rFonts w:ascii="Arial" w:hAnsi="Arial" w:cs="Arial"/>
        </w:rPr>
        <w:t>notably concern about the availability of capital to sustain the industry (down from No. 2 to No. 16).  The situation is now reversed: there is excess capital in the industry, particularly on the non-life and reinsuran</w:t>
      </w:r>
      <w:r w:rsidR="0082757B" w:rsidRPr="00051D97">
        <w:rPr>
          <w:rFonts w:ascii="Arial" w:hAnsi="Arial" w:cs="Arial"/>
        </w:rPr>
        <w:t>ce sides, which is keeping prices</w:t>
      </w:r>
      <w:r w:rsidR="000B32A2" w:rsidRPr="00051D97">
        <w:rPr>
          <w:rFonts w:ascii="Arial" w:hAnsi="Arial" w:cs="Arial"/>
        </w:rPr>
        <w:t xml:space="preserve"> soft and hurting profitability.  Another receding risk, at least in developed markets, is human resources: the shake-out in the financial services </w:t>
      </w:r>
      <w:r w:rsidR="0082757B" w:rsidRPr="00051D97">
        <w:rPr>
          <w:rFonts w:ascii="Arial" w:hAnsi="Arial" w:cs="Arial"/>
        </w:rPr>
        <w:t>sector</w:t>
      </w:r>
      <w:r w:rsidR="000B32A2" w:rsidRPr="00051D97">
        <w:rPr>
          <w:rFonts w:ascii="Arial" w:hAnsi="Arial" w:cs="Arial"/>
        </w:rPr>
        <w:t xml:space="preserve"> has made it easier to recruit and keep good talent.  The situation is harder in emerging markets where qualified talent remains in short supply in many markets.</w:t>
      </w:r>
    </w:p>
    <w:p w:rsidR="000B32A2" w:rsidRPr="00051D97" w:rsidRDefault="000B32A2">
      <w:pPr>
        <w:rPr>
          <w:rFonts w:ascii="Arial" w:hAnsi="Arial" w:cs="Arial"/>
        </w:rPr>
      </w:pPr>
    </w:p>
    <w:p w:rsidR="002E3959" w:rsidRPr="00051D97" w:rsidRDefault="002E3959">
      <w:pPr>
        <w:rPr>
          <w:rFonts w:ascii="Arial" w:hAnsi="Arial" w:cs="Arial"/>
        </w:rPr>
      </w:pPr>
      <w:r w:rsidRPr="00051D97">
        <w:rPr>
          <w:rFonts w:ascii="Arial" w:hAnsi="Arial" w:cs="Arial"/>
        </w:rPr>
        <w:t xml:space="preserve">David Lascelles, survey editor, said: </w:t>
      </w:r>
    </w:p>
    <w:p w:rsidR="002E3959" w:rsidRPr="00051D97" w:rsidRDefault="002E3959">
      <w:pPr>
        <w:rPr>
          <w:rFonts w:ascii="Arial" w:hAnsi="Arial" w:cs="Arial"/>
        </w:rPr>
      </w:pPr>
    </w:p>
    <w:p w:rsidR="000B32A2" w:rsidRPr="000B32A2" w:rsidRDefault="002E3959">
      <w:pPr>
        <w:ind w:left="720"/>
        <w:rPr>
          <w:rFonts w:ascii="Arial" w:hAnsi="Arial" w:cs="Arial"/>
        </w:rPr>
      </w:pPr>
      <w:r w:rsidRPr="000B32A2">
        <w:rPr>
          <w:rFonts w:ascii="Arial" w:hAnsi="Arial" w:cs="Arial"/>
        </w:rPr>
        <w:t>“</w:t>
      </w:r>
      <w:r w:rsidR="000B32A2" w:rsidRPr="000B32A2">
        <w:rPr>
          <w:rFonts w:ascii="Arial" w:hAnsi="Arial" w:cs="Arial"/>
        </w:rPr>
        <w:t>It is ironic that the industry’s greatest risks are seen to come from regulation, which is intended to reduce risk, at a time when operating and underwriting conditions are also very hard</w:t>
      </w:r>
      <w:r w:rsidR="006145E3" w:rsidRPr="000B32A2">
        <w:rPr>
          <w:rFonts w:ascii="Arial" w:hAnsi="Arial" w:cs="Arial"/>
        </w:rPr>
        <w:t xml:space="preserve">. </w:t>
      </w:r>
      <w:r w:rsidR="000B32A2" w:rsidRPr="000B32A2">
        <w:rPr>
          <w:rFonts w:ascii="Arial" w:hAnsi="Arial" w:cs="Arial"/>
        </w:rPr>
        <w:t>It is no surprise that these pressures are reflected in rising concern about the ability of management to handle them.”</w:t>
      </w:r>
    </w:p>
    <w:p w:rsidR="002E3959" w:rsidRPr="00F407B7" w:rsidRDefault="002E3959">
      <w:pPr>
        <w:rPr>
          <w:rFonts w:ascii="Arial" w:hAnsi="Arial" w:cs="Arial"/>
        </w:rPr>
      </w:pPr>
    </w:p>
    <w:p w:rsidR="002E3959" w:rsidRPr="00F407B7" w:rsidRDefault="005C6EAE">
      <w:pPr>
        <w:rPr>
          <w:rFonts w:ascii="Arial" w:hAnsi="Arial" w:cs="Arial"/>
        </w:rPr>
      </w:pPr>
      <w:r w:rsidRPr="00F407B7">
        <w:rPr>
          <w:rFonts w:ascii="Arial" w:hAnsi="Arial" w:cs="Arial"/>
        </w:rPr>
        <w:t>David Law, global insurance leader at PwC, said:</w:t>
      </w:r>
    </w:p>
    <w:p w:rsidR="005C6EAE" w:rsidRPr="00F407B7" w:rsidRDefault="005C6EAE">
      <w:pPr>
        <w:rPr>
          <w:rFonts w:ascii="Arial" w:hAnsi="Arial" w:cs="Arial"/>
        </w:rPr>
      </w:pPr>
    </w:p>
    <w:p w:rsidR="00A25A23" w:rsidRPr="00F407B7" w:rsidRDefault="00A25A23" w:rsidP="00A25A23">
      <w:pPr>
        <w:ind w:left="720"/>
        <w:rPr>
          <w:rFonts w:ascii="Arial" w:hAnsi="Arial" w:cs="Arial"/>
        </w:rPr>
      </w:pPr>
      <w:r w:rsidRPr="00F407B7">
        <w:rPr>
          <w:rFonts w:ascii="Arial" w:hAnsi="Arial" w:cs="Arial"/>
        </w:rPr>
        <w:t xml:space="preserve">“Once again regulation is the number one risk. The fragile economic environment and subdued investment performance also remain high on the list of concerns. Managing these challenges is clearly a critical boardroom priority. </w:t>
      </w:r>
    </w:p>
    <w:p w:rsidR="00A25A23" w:rsidRPr="00F407B7" w:rsidRDefault="00A25A23" w:rsidP="00A25A23">
      <w:pPr>
        <w:ind w:left="720"/>
        <w:rPr>
          <w:rFonts w:ascii="Arial" w:hAnsi="Arial" w:cs="Arial"/>
        </w:rPr>
      </w:pPr>
    </w:p>
    <w:p w:rsidR="00A25A23" w:rsidRPr="00F407B7" w:rsidRDefault="00A25A23" w:rsidP="00A25A23">
      <w:pPr>
        <w:ind w:left="720"/>
        <w:rPr>
          <w:rFonts w:ascii="Arial" w:hAnsi="Arial" w:cs="Arial"/>
        </w:rPr>
      </w:pPr>
      <w:r w:rsidRPr="00F407B7">
        <w:rPr>
          <w:rFonts w:ascii="Arial" w:hAnsi="Arial" w:cs="Arial"/>
        </w:rPr>
        <w:lastRenderedPageBreak/>
        <w:t>“But there’s a risk that by solely focusing on these recurring issues insurers could miss other threats and opportunities coming up over the horizon. The industry faces transformational shifts in technology and customer expectations, which are reshaping how insurance is sold, how risk is priced and even what we mean by insurance. These developments could open the way for nimble new entrants or other financial services players to move in and pick off profitable business.”</w:t>
      </w:r>
    </w:p>
    <w:p w:rsidR="002E3959" w:rsidRPr="00F407B7" w:rsidRDefault="002E3959">
      <w:pPr>
        <w:rPr>
          <w:rFonts w:ascii="Arial" w:hAnsi="Arial" w:cs="Arial"/>
        </w:rPr>
      </w:pPr>
    </w:p>
    <w:p w:rsidR="002E3959" w:rsidRPr="00051D97" w:rsidRDefault="002E3959">
      <w:pPr>
        <w:rPr>
          <w:rFonts w:ascii="Arial" w:hAnsi="Arial" w:cs="Arial"/>
        </w:rPr>
      </w:pPr>
      <w:r w:rsidRPr="00F407B7">
        <w:rPr>
          <w:rFonts w:ascii="Arial" w:hAnsi="Arial" w:cs="Arial"/>
        </w:rPr>
        <w:t xml:space="preserve">A breakdown </w:t>
      </w:r>
      <w:r w:rsidR="00BA3F27" w:rsidRPr="00F407B7">
        <w:rPr>
          <w:rFonts w:ascii="Arial" w:hAnsi="Arial" w:cs="Arial"/>
        </w:rPr>
        <w:t xml:space="preserve">of the insurance industry by sector </w:t>
      </w:r>
      <w:r w:rsidRPr="00F407B7">
        <w:rPr>
          <w:rFonts w:ascii="Arial" w:hAnsi="Arial" w:cs="Arial"/>
        </w:rPr>
        <w:t xml:space="preserve">shows the life </w:t>
      </w:r>
      <w:r w:rsidR="00BA3F27" w:rsidRPr="00F407B7">
        <w:rPr>
          <w:rFonts w:ascii="Arial" w:hAnsi="Arial" w:cs="Arial"/>
        </w:rPr>
        <w:t>side</w:t>
      </w:r>
      <w:r w:rsidR="00BA3F27" w:rsidRPr="000B32A2">
        <w:rPr>
          <w:rFonts w:ascii="Arial" w:hAnsi="Arial" w:cs="Arial"/>
        </w:rPr>
        <w:t xml:space="preserve"> </w:t>
      </w:r>
      <w:r w:rsidRPr="000B32A2">
        <w:rPr>
          <w:rFonts w:ascii="Arial" w:hAnsi="Arial" w:cs="Arial"/>
        </w:rPr>
        <w:t xml:space="preserve">specifically concerned about the impact of low interest rates on investment performance, and the task of managing complex and competitive retail distribution networks. On the non-life side, the main concerns are with excess capacity and competitive pricing, along with the impact of surging catastrophe claims. Concerns in the reinsurance sector are mainly with the security of </w:t>
      </w:r>
      <w:r w:rsidRPr="00051D97">
        <w:rPr>
          <w:rFonts w:ascii="Arial" w:hAnsi="Arial" w:cs="Arial"/>
        </w:rPr>
        <w:t xml:space="preserve">capacity in a highly competitive market. </w:t>
      </w:r>
    </w:p>
    <w:p w:rsidR="002E3959" w:rsidRPr="00051D97" w:rsidRDefault="002E3959">
      <w:pPr>
        <w:rPr>
          <w:b/>
          <w:szCs w:val="24"/>
        </w:rPr>
      </w:pPr>
    </w:p>
    <w:p w:rsidR="002E3959" w:rsidRPr="00051D97" w:rsidRDefault="002E3959">
      <w:pPr>
        <w:jc w:val="center"/>
        <w:outlineLvl w:val="0"/>
        <w:rPr>
          <w:rFonts w:ascii="Arial" w:hAnsi="Arial" w:cs="Arial"/>
          <w:b/>
          <w:szCs w:val="24"/>
        </w:rPr>
      </w:pPr>
      <w:r w:rsidRPr="00051D97">
        <w:rPr>
          <w:rFonts w:ascii="Arial" w:hAnsi="Arial" w:cs="Arial"/>
          <w:b/>
          <w:szCs w:val="24"/>
        </w:rPr>
        <w:t>ENDS</w:t>
      </w:r>
    </w:p>
    <w:p w:rsidR="002E3959" w:rsidRPr="00051D97" w:rsidRDefault="002E3959">
      <w:pPr>
        <w:rPr>
          <w:rFonts w:ascii="Arial" w:hAnsi="Arial" w:cs="Arial"/>
          <w:b/>
          <w:szCs w:val="24"/>
        </w:rPr>
      </w:pPr>
    </w:p>
    <w:p w:rsidR="002E3959" w:rsidRPr="00051D97" w:rsidRDefault="002E3959">
      <w:pPr>
        <w:rPr>
          <w:rFonts w:ascii="Arial" w:hAnsi="Arial" w:cs="Arial"/>
          <w:b/>
          <w:szCs w:val="24"/>
        </w:rPr>
      </w:pPr>
    </w:p>
    <w:p w:rsidR="002E3959" w:rsidRPr="00051D97" w:rsidRDefault="002E3959">
      <w:pPr>
        <w:outlineLvl w:val="0"/>
        <w:rPr>
          <w:rFonts w:ascii="Arial" w:hAnsi="Arial" w:cs="Arial"/>
          <w:b/>
          <w:szCs w:val="24"/>
        </w:rPr>
      </w:pPr>
      <w:r w:rsidRPr="00051D97">
        <w:rPr>
          <w:rFonts w:ascii="Arial" w:hAnsi="Arial" w:cs="Arial"/>
          <w:b/>
          <w:szCs w:val="24"/>
        </w:rPr>
        <w:t>Notes to Editors:</w:t>
      </w:r>
    </w:p>
    <w:p w:rsidR="002E3959" w:rsidRPr="00F407B7" w:rsidRDefault="002E3959">
      <w:pPr>
        <w:rPr>
          <w:rFonts w:ascii="Arial" w:hAnsi="Arial" w:cs="Arial"/>
          <w:szCs w:val="24"/>
        </w:rPr>
      </w:pPr>
    </w:p>
    <w:p w:rsidR="00774E1F" w:rsidRDefault="002E3959">
      <w:pPr>
        <w:rPr>
          <w:rFonts w:ascii="Arial" w:hAnsi="Arial" w:cs="Arial"/>
          <w:szCs w:val="24"/>
        </w:rPr>
      </w:pPr>
      <w:r w:rsidRPr="00F407B7">
        <w:rPr>
          <w:rFonts w:ascii="Arial" w:hAnsi="Arial" w:cs="Arial"/>
          <w:szCs w:val="24"/>
        </w:rPr>
        <w:t>1.  For further information</w:t>
      </w:r>
      <w:r w:rsidR="000B32A2" w:rsidRPr="00F407B7">
        <w:rPr>
          <w:rFonts w:ascii="Arial" w:hAnsi="Arial" w:cs="Arial"/>
          <w:szCs w:val="24"/>
        </w:rPr>
        <w:t>,</w:t>
      </w:r>
      <w:r w:rsidRPr="00F407B7">
        <w:rPr>
          <w:rFonts w:ascii="Arial" w:hAnsi="Arial" w:cs="Arial"/>
          <w:szCs w:val="24"/>
        </w:rPr>
        <w:t xml:space="preserve"> contact David Lascelles, CSFI, on +44 (0)20 7</w:t>
      </w:r>
      <w:r w:rsidR="0082757B" w:rsidRPr="00F407B7">
        <w:rPr>
          <w:rFonts w:ascii="Arial" w:hAnsi="Arial" w:cs="Arial"/>
          <w:szCs w:val="24"/>
        </w:rPr>
        <w:t>621</w:t>
      </w:r>
      <w:r w:rsidRPr="00F407B7">
        <w:rPr>
          <w:rFonts w:ascii="Arial" w:hAnsi="Arial" w:cs="Arial"/>
          <w:szCs w:val="24"/>
        </w:rPr>
        <w:t xml:space="preserve"> </w:t>
      </w:r>
      <w:r w:rsidR="0082757B" w:rsidRPr="00F407B7">
        <w:rPr>
          <w:rFonts w:ascii="Arial" w:hAnsi="Arial" w:cs="Arial"/>
          <w:szCs w:val="24"/>
        </w:rPr>
        <w:t>1056</w:t>
      </w:r>
      <w:r w:rsidRPr="00F407B7">
        <w:rPr>
          <w:rFonts w:ascii="Arial" w:hAnsi="Arial" w:cs="Arial"/>
          <w:szCs w:val="24"/>
        </w:rPr>
        <w:t xml:space="preserve"> or +44 (0)7710 088658, </w:t>
      </w:r>
      <w:hyperlink r:id="rId7" w:history="1">
        <w:r w:rsidR="00774E1F" w:rsidRPr="001D5857">
          <w:rPr>
            <w:rStyle w:val="Hyperlink"/>
            <w:rFonts w:ascii="Arial" w:hAnsi="Arial" w:cs="Arial"/>
            <w:szCs w:val="24"/>
          </w:rPr>
          <w:t>david@davidlascelles.com</w:t>
        </w:r>
      </w:hyperlink>
    </w:p>
    <w:p w:rsidR="00774E1F" w:rsidRDefault="002E3959">
      <w:pPr>
        <w:rPr>
          <w:rFonts w:ascii="Arial" w:hAnsi="Arial" w:cs="Arial"/>
          <w:szCs w:val="24"/>
        </w:rPr>
      </w:pPr>
      <w:r w:rsidRPr="00F407B7">
        <w:rPr>
          <w:rFonts w:ascii="Arial" w:hAnsi="Arial" w:cs="Arial"/>
          <w:szCs w:val="24"/>
        </w:rPr>
        <w:t xml:space="preserve">or </w:t>
      </w:r>
    </w:p>
    <w:p w:rsidR="000B32A2" w:rsidRPr="00F407B7" w:rsidRDefault="00C50F2C">
      <w:pPr>
        <w:rPr>
          <w:rFonts w:ascii="Arial" w:hAnsi="Arial" w:cs="Arial"/>
          <w:szCs w:val="24"/>
        </w:rPr>
      </w:pPr>
      <w:r w:rsidRPr="00F407B7">
        <w:rPr>
          <w:rFonts w:ascii="Arial" w:hAnsi="Arial" w:cs="Arial"/>
          <w:szCs w:val="24"/>
        </w:rPr>
        <w:t xml:space="preserve">Hilary Downes, PwC, on +44 (0)20 </w:t>
      </w:r>
      <w:r w:rsidR="00A04806">
        <w:rPr>
          <w:rFonts w:ascii="Arial" w:hAnsi="Arial" w:cs="Arial"/>
          <w:szCs w:val="24"/>
        </w:rPr>
        <w:t xml:space="preserve">7213 4706 or +44 (0)7718 340113, </w:t>
      </w:r>
      <w:r w:rsidR="00A04806" w:rsidRPr="00A04806">
        <w:rPr>
          <w:rFonts w:ascii="Arial" w:hAnsi="Arial" w:cs="Arial"/>
          <w:szCs w:val="24"/>
        </w:rPr>
        <w:t>hilary.n.downes@uk.pwc.com</w:t>
      </w:r>
    </w:p>
    <w:p w:rsidR="002E3959" w:rsidRPr="00F407B7" w:rsidRDefault="002E3959">
      <w:pPr>
        <w:rPr>
          <w:rFonts w:ascii="Arial" w:hAnsi="Arial" w:cs="Arial"/>
          <w:szCs w:val="24"/>
        </w:rPr>
      </w:pPr>
    </w:p>
    <w:p w:rsidR="002E3959" w:rsidRPr="00714BCB" w:rsidRDefault="002E3959">
      <w:pPr>
        <w:rPr>
          <w:rFonts w:ascii="Arial" w:hAnsi="Arial" w:cs="Arial"/>
          <w:snapToGrid w:val="0"/>
          <w:szCs w:val="24"/>
        </w:rPr>
      </w:pPr>
      <w:r w:rsidRPr="00F407B7">
        <w:rPr>
          <w:rFonts w:ascii="Arial" w:hAnsi="Arial" w:cs="Arial"/>
          <w:snapToGrid w:val="0"/>
          <w:szCs w:val="24"/>
        </w:rPr>
        <w:t>2.  The Insurance Banana Skins survey was conducted in March and April</w:t>
      </w:r>
      <w:r w:rsidRPr="00714BCB">
        <w:rPr>
          <w:rFonts w:ascii="Arial" w:hAnsi="Arial" w:cs="Arial"/>
          <w:snapToGrid w:val="0"/>
          <w:szCs w:val="24"/>
        </w:rPr>
        <w:t xml:space="preserve"> 201</w:t>
      </w:r>
      <w:r w:rsidR="000B32A2" w:rsidRPr="00714BCB">
        <w:rPr>
          <w:rFonts w:ascii="Arial" w:hAnsi="Arial" w:cs="Arial"/>
          <w:snapToGrid w:val="0"/>
          <w:szCs w:val="24"/>
        </w:rPr>
        <w:t>3</w:t>
      </w:r>
      <w:r w:rsidRPr="00714BCB">
        <w:rPr>
          <w:rFonts w:ascii="Arial" w:hAnsi="Arial" w:cs="Arial"/>
          <w:snapToGrid w:val="0"/>
          <w:szCs w:val="24"/>
        </w:rPr>
        <w:t xml:space="preserve"> and is based on </w:t>
      </w:r>
      <w:r w:rsidR="000B32A2" w:rsidRPr="00714BCB">
        <w:rPr>
          <w:rFonts w:ascii="Arial" w:hAnsi="Arial" w:cs="Arial"/>
          <w:snapToGrid w:val="0"/>
          <w:szCs w:val="24"/>
        </w:rPr>
        <w:t>662</w:t>
      </w:r>
      <w:r w:rsidRPr="00714BCB">
        <w:rPr>
          <w:rFonts w:ascii="Arial" w:hAnsi="Arial" w:cs="Arial"/>
          <w:snapToGrid w:val="0"/>
          <w:szCs w:val="24"/>
        </w:rPr>
        <w:t xml:space="preserve"> responses from </w:t>
      </w:r>
      <w:r w:rsidR="000B32A2" w:rsidRPr="00714BCB">
        <w:rPr>
          <w:rFonts w:ascii="Arial" w:hAnsi="Arial" w:cs="Arial"/>
          <w:snapToGrid w:val="0"/>
          <w:szCs w:val="24"/>
        </w:rPr>
        <w:t>54</w:t>
      </w:r>
      <w:r w:rsidRPr="00714BCB">
        <w:rPr>
          <w:rFonts w:ascii="Arial" w:hAnsi="Arial" w:cs="Arial"/>
          <w:snapToGrid w:val="0"/>
          <w:szCs w:val="24"/>
        </w:rPr>
        <w:t xml:space="preserve"> countries. The breakdown by type of respondent was:</w:t>
      </w:r>
    </w:p>
    <w:tbl>
      <w:tblPr>
        <w:tblW w:w="0" w:type="auto"/>
        <w:jc w:val="center"/>
        <w:tblLook w:val="01E0"/>
      </w:tblPr>
      <w:tblGrid>
        <w:gridCol w:w="2402"/>
        <w:gridCol w:w="483"/>
      </w:tblGrid>
      <w:tr w:rsidR="002E3959" w:rsidRPr="00714BCB">
        <w:trPr>
          <w:jc w:val="center"/>
        </w:trPr>
        <w:tc>
          <w:tcPr>
            <w:tcW w:w="2402" w:type="dxa"/>
          </w:tcPr>
          <w:p w:rsidR="002E3959" w:rsidRPr="00714BCB" w:rsidRDefault="002E3959">
            <w:pPr>
              <w:rPr>
                <w:rFonts w:ascii="Arial" w:hAnsi="Arial" w:cs="Arial"/>
                <w:szCs w:val="24"/>
              </w:rPr>
            </w:pPr>
          </w:p>
        </w:tc>
        <w:tc>
          <w:tcPr>
            <w:tcW w:w="483" w:type="dxa"/>
            <w:vAlign w:val="center"/>
          </w:tcPr>
          <w:p w:rsidR="002E3959" w:rsidRPr="00714BCB" w:rsidRDefault="002E3959">
            <w:pPr>
              <w:jc w:val="right"/>
              <w:rPr>
                <w:rFonts w:ascii="Arial" w:hAnsi="Arial" w:cs="Arial"/>
                <w:szCs w:val="24"/>
              </w:rPr>
            </w:pPr>
            <w:r w:rsidRPr="00714BCB">
              <w:rPr>
                <w:rFonts w:ascii="Arial" w:hAnsi="Arial" w:cs="Arial"/>
                <w:szCs w:val="24"/>
              </w:rPr>
              <w:t>%</w:t>
            </w:r>
          </w:p>
        </w:tc>
      </w:tr>
      <w:tr w:rsidR="002E3959" w:rsidRPr="00714BCB">
        <w:trPr>
          <w:jc w:val="center"/>
        </w:trPr>
        <w:tc>
          <w:tcPr>
            <w:tcW w:w="2402" w:type="dxa"/>
            <w:vAlign w:val="center"/>
          </w:tcPr>
          <w:p w:rsidR="002E3959" w:rsidRPr="00714BCB" w:rsidRDefault="000B32A2">
            <w:pPr>
              <w:rPr>
                <w:rFonts w:ascii="Arial" w:hAnsi="Arial" w:cs="Arial"/>
                <w:szCs w:val="24"/>
              </w:rPr>
            </w:pPr>
            <w:r w:rsidRPr="00714BCB">
              <w:rPr>
                <w:rFonts w:ascii="Arial" w:hAnsi="Arial" w:cs="Arial"/>
                <w:szCs w:val="24"/>
              </w:rPr>
              <w:t>Non-life</w:t>
            </w:r>
          </w:p>
        </w:tc>
        <w:tc>
          <w:tcPr>
            <w:tcW w:w="483" w:type="dxa"/>
            <w:vAlign w:val="center"/>
          </w:tcPr>
          <w:p w:rsidR="002E3959" w:rsidRPr="00714BCB" w:rsidRDefault="000B32A2">
            <w:pPr>
              <w:jc w:val="right"/>
              <w:rPr>
                <w:rFonts w:ascii="Arial" w:hAnsi="Arial" w:cs="Arial"/>
                <w:szCs w:val="24"/>
              </w:rPr>
            </w:pPr>
            <w:r w:rsidRPr="00714BCB">
              <w:rPr>
                <w:rFonts w:ascii="Arial" w:hAnsi="Arial" w:cs="Arial"/>
                <w:szCs w:val="24"/>
              </w:rPr>
              <w:t>35</w:t>
            </w:r>
          </w:p>
        </w:tc>
      </w:tr>
      <w:tr w:rsidR="002E3959" w:rsidRPr="00714BCB">
        <w:trPr>
          <w:jc w:val="center"/>
        </w:trPr>
        <w:tc>
          <w:tcPr>
            <w:tcW w:w="2402" w:type="dxa"/>
            <w:vAlign w:val="center"/>
          </w:tcPr>
          <w:p w:rsidR="002E3959" w:rsidRPr="00714BCB" w:rsidRDefault="000B32A2" w:rsidP="000B32A2">
            <w:pPr>
              <w:rPr>
                <w:rFonts w:ascii="Arial" w:hAnsi="Arial" w:cs="Arial"/>
                <w:szCs w:val="24"/>
              </w:rPr>
            </w:pPr>
            <w:r w:rsidRPr="00714BCB">
              <w:rPr>
                <w:rFonts w:ascii="Arial" w:hAnsi="Arial" w:cs="Arial"/>
                <w:szCs w:val="24"/>
              </w:rPr>
              <w:t xml:space="preserve">Life insurance </w:t>
            </w:r>
          </w:p>
        </w:tc>
        <w:tc>
          <w:tcPr>
            <w:tcW w:w="483" w:type="dxa"/>
            <w:vAlign w:val="center"/>
          </w:tcPr>
          <w:p w:rsidR="002E3959" w:rsidRPr="00714BCB" w:rsidRDefault="000B32A2">
            <w:pPr>
              <w:jc w:val="right"/>
              <w:rPr>
                <w:rFonts w:ascii="Arial" w:hAnsi="Arial" w:cs="Arial"/>
                <w:szCs w:val="24"/>
              </w:rPr>
            </w:pPr>
            <w:r w:rsidRPr="00714BCB">
              <w:rPr>
                <w:rFonts w:ascii="Arial" w:hAnsi="Arial" w:cs="Arial"/>
                <w:szCs w:val="24"/>
              </w:rPr>
              <w:t>26</w:t>
            </w:r>
          </w:p>
        </w:tc>
      </w:tr>
      <w:tr w:rsidR="00714BCB" w:rsidRPr="00714BCB">
        <w:trPr>
          <w:jc w:val="center"/>
        </w:trPr>
        <w:tc>
          <w:tcPr>
            <w:tcW w:w="2402" w:type="dxa"/>
            <w:vAlign w:val="center"/>
          </w:tcPr>
          <w:p w:rsidR="00714BCB" w:rsidRPr="00714BCB" w:rsidRDefault="00714BCB" w:rsidP="00FB50CA">
            <w:pPr>
              <w:rPr>
                <w:rFonts w:ascii="Arial" w:hAnsi="Arial" w:cs="Arial"/>
                <w:szCs w:val="24"/>
              </w:rPr>
            </w:pPr>
            <w:r w:rsidRPr="00714BCB">
              <w:rPr>
                <w:rFonts w:ascii="Arial" w:hAnsi="Arial" w:cs="Arial"/>
                <w:szCs w:val="24"/>
              </w:rPr>
              <w:t>Reinsurance</w:t>
            </w:r>
          </w:p>
        </w:tc>
        <w:tc>
          <w:tcPr>
            <w:tcW w:w="483" w:type="dxa"/>
            <w:vAlign w:val="center"/>
          </w:tcPr>
          <w:p w:rsidR="00714BCB" w:rsidRPr="00714BCB" w:rsidRDefault="00714BCB" w:rsidP="00FB50CA">
            <w:pPr>
              <w:jc w:val="right"/>
              <w:rPr>
                <w:rFonts w:ascii="Arial" w:hAnsi="Arial" w:cs="Arial"/>
                <w:szCs w:val="24"/>
              </w:rPr>
            </w:pPr>
            <w:r w:rsidRPr="00714BCB">
              <w:rPr>
                <w:rFonts w:ascii="Arial" w:hAnsi="Arial" w:cs="Arial"/>
                <w:szCs w:val="24"/>
              </w:rPr>
              <w:t>7</w:t>
            </w:r>
          </w:p>
        </w:tc>
      </w:tr>
      <w:tr w:rsidR="00714BCB" w:rsidRPr="00714BCB">
        <w:trPr>
          <w:jc w:val="center"/>
        </w:trPr>
        <w:tc>
          <w:tcPr>
            <w:tcW w:w="2402" w:type="dxa"/>
            <w:vAlign w:val="center"/>
          </w:tcPr>
          <w:p w:rsidR="00714BCB" w:rsidRPr="00714BCB" w:rsidRDefault="00714BCB" w:rsidP="00FB50CA">
            <w:pPr>
              <w:rPr>
                <w:rFonts w:ascii="Arial" w:hAnsi="Arial" w:cs="Arial"/>
                <w:szCs w:val="24"/>
              </w:rPr>
            </w:pPr>
            <w:r w:rsidRPr="00714BCB">
              <w:rPr>
                <w:rFonts w:ascii="Arial" w:hAnsi="Arial" w:cs="Arial"/>
                <w:szCs w:val="24"/>
              </w:rPr>
              <w:t>Brokers</w:t>
            </w:r>
          </w:p>
        </w:tc>
        <w:tc>
          <w:tcPr>
            <w:tcW w:w="483" w:type="dxa"/>
            <w:vAlign w:val="center"/>
          </w:tcPr>
          <w:p w:rsidR="00714BCB" w:rsidRPr="00714BCB" w:rsidRDefault="0082757B" w:rsidP="00FB50CA">
            <w:pPr>
              <w:jc w:val="right"/>
              <w:rPr>
                <w:rFonts w:ascii="Arial" w:hAnsi="Arial" w:cs="Arial"/>
                <w:szCs w:val="24"/>
              </w:rPr>
            </w:pPr>
            <w:r>
              <w:rPr>
                <w:rFonts w:ascii="Arial" w:hAnsi="Arial" w:cs="Arial"/>
                <w:szCs w:val="24"/>
              </w:rPr>
              <w:t>6</w:t>
            </w:r>
          </w:p>
        </w:tc>
      </w:tr>
      <w:tr w:rsidR="00714BCB" w:rsidRPr="00714BCB">
        <w:trPr>
          <w:jc w:val="center"/>
        </w:trPr>
        <w:tc>
          <w:tcPr>
            <w:tcW w:w="2402" w:type="dxa"/>
            <w:vAlign w:val="center"/>
          </w:tcPr>
          <w:p w:rsidR="00714BCB" w:rsidRPr="00714BCB" w:rsidRDefault="00714BCB" w:rsidP="00FB50CA">
            <w:pPr>
              <w:rPr>
                <w:rFonts w:ascii="Arial" w:hAnsi="Arial" w:cs="Arial"/>
                <w:szCs w:val="24"/>
              </w:rPr>
            </w:pPr>
            <w:r w:rsidRPr="00714BCB">
              <w:rPr>
                <w:rFonts w:ascii="Arial" w:hAnsi="Arial" w:cs="Arial"/>
                <w:szCs w:val="24"/>
              </w:rPr>
              <w:t>Observers</w:t>
            </w:r>
          </w:p>
        </w:tc>
        <w:tc>
          <w:tcPr>
            <w:tcW w:w="483" w:type="dxa"/>
            <w:vAlign w:val="center"/>
          </w:tcPr>
          <w:p w:rsidR="00714BCB" w:rsidRPr="00714BCB" w:rsidRDefault="00714BCB" w:rsidP="00FB50CA">
            <w:pPr>
              <w:jc w:val="right"/>
              <w:rPr>
                <w:rFonts w:ascii="Arial" w:hAnsi="Arial" w:cs="Arial"/>
                <w:szCs w:val="24"/>
              </w:rPr>
            </w:pPr>
            <w:r w:rsidRPr="00714BCB">
              <w:rPr>
                <w:rFonts w:ascii="Arial" w:hAnsi="Arial" w:cs="Arial"/>
                <w:szCs w:val="24"/>
              </w:rPr>
              <w:t>26</w:t>
            </w:r>
          </w:p>
        </w:tc>
      </w:tr>
      <w:tr w:rsidR="00714BCB" w:rsidRPr="00714BCB">
        <w:trPr>
          <w:jc w:val="center"/>
        </w:trPr>
        <w:tc>
          <w:tcPr>
            <w:tcW w:w="2402" w:type="dxa"/>
            <w:vAlign w:val="center"/>
          </w:tcPr>
          <w:p w:rsidR="00714BCB" w:rsidRPr="00714BCB" w:rsidRDefault="00714BCB">
            <w:pPr>
              <w:rPr>
                <w:rFonts w:ascii="Arial" w:hAnsi="Arial" w:cs="Arial"/>
                <w:szCs w:val="24"/>
              </w:rPr>
            </w:pPr>
          </w:p>
        </w:tc>
        <w:tc>
          <w:tcPr>
            <w:tcW w:w="483" w:type="dxa"/>
            <w:vAlign w:val="center"/>
          </w:tcPr>
          <w:p w:rsidR="00714BCB" w:rsidRPr="00714BCB" w:rsidRDefault="00714BCB">
            <w:pPr>
              <w:jc w:val="right"/>
              <w:rPr>
                <w:rFonts w:ascii="Arial" w:hAnsi="Arial" w:cs="Arial"/>
                <w:szCs w:val="24"/>
              </w:rPr>
            </w:pPr>
          </w:p>
        </w:tc>
      </w:tr>
    </w:tbl>
    <w:p w:rsidR="002E3959" w:rsidRPr="00714BCB" w:rsidRDefault="002E3959">
      <w:pPr>
        <w:pStyle w:val="BodyText"/>
        <w:rPr>
          <w:rFonts w:ascii="Arial" w:hAnsi="Arial" w:cs="Arial"/>
          <w:color w:val="auto"/>
          <w:szCs w:val="24"/>
        </w:rPr>
      </w:pPr>
      <w:r w:rsidRPr="00714BCB">
        <w:rPr>
          <w:rFonts w:ascii="Arial" w:hAnsi="Arial" w:cs="Arial"/>
          <w:color w:val="auto"/>
          <w:szCs w:val="24"/>
        </w:rPr>
        <w:t xml:space="preserve">3.  The survey is the latest in the CSFI’s long-running Banana Skins series on financial risk.  Previous </w:t>
      </w:r>
      <w:r w:rsidR="0082757B">
        <w:rPr>
          <w:rFonts w:ascii="Arial" w:hAnsi="Arial" w:cs="Arial"/>
          <w:i/>
          <w:color w:val="auto"/>
          <w:szCs w:val="24"/>
        </w:rPr>
        <w:t>Insurance B</w:t>
      </w:r>
      <w:r w:rsidRPr="00714BCB">
        <w:rPr>
          <w:rFonts w:ascii="Arial" w:hAnsi="Arial" w:cs="Arial"/>
          <w:i/>
          <w:color w:val="auto"/>
          <w:szCs w:val="24"/>
        </w:rPr>
        <w:t>anana Skins</w:t>
      </w:r>
      <w:r w:rsidRPr="00714BCB">
        <w:rPr>
          <w:rFonts w:ascii="Arial" w:hAnsi="Arial" w:cs="Arial"/>
          <w:color w:val="auto"/>
          <w:szCs w:val="24"/>
        </w:rPr>
        <w:t xml:space="preserve"> surveys were in 200</w:t>
      </w:r>
      <w:r w:rsidR="00810474">
        <w:rPr>
          <w:rFonts w:ascii="Arial" w:hAnsi="Arial" w:cs="Arial"/>
          <w:color w:val="auto"/>
          <w:szCs w:val="24"/>
        </w:rPr>
        <w:t>7</w:t>
      </w:r>
      <w:r w:rsidR="00714BCB" w:rsidRPr="00714BCB">
        <w:rPr>
          <w:rFonts w:ascii="Arial" w:hAnsi="Arial" w:cs="Arial"/>
          <w:color w:val="auto"/>
          <w:szCs w:val="24"/>
        </w:rPr>
        <w:t>,</w:t>
      </w:r>
      <w:r w:rsidRPr="00714BCB">
        <w:rPr>
          <w:rFonts w:ascii="Arial" w:hAnsi="Arial" w:cs="Arial"/>
          <w:color w:val="auto"/>
          <w:szCs w:val="24"/>
        </w:rPr>
        <w:t xml:space="preserve"> 2009</w:t>
      </w:r>
      <w:r w:rsidR="00714BCB" w:rsidRPr="00714BCB">
        <w:rPr>
          <w:rFonts w:ascii="Arial" w:hAnsi="Arial" w:cs="Arial"/>
          <w:color w:val="auto"/>
          <w:szCs w:val="24"/>
        </w:rPr>
        <w:t xml:space="preserve"> and 2011</w:t>
      </w:r>
      <w:r w:rsidRPr="00714BCB">
        <w:rPr>
          <w:rFonts w:ascii="Arial" w:hAnsi="Arial" w:cs="Arial"/>
          <w:color w:val="auto"/>
          <w:szCs w:val="24"/>
        </w:rPr>
        <w:t xml:space="preserve">.  </w:t>
      </w:r>
      <w:r w:rsidR="00774E1F">
        <w:rPr>
          <w:rFonts w:ascii="Arial" w:hAnsi="Arial" w:cs="Arial"/>
          <w:color w:val="auto"/>
          <w:szCs w:val="24"/>
        </w:rPr>
        <w:t xml:space="preserve"> It can be downloaded from the CSFI website: </w:t>
      </w:r>
      <w:hyperlink r:id="rId8" w:history="1">
        <w:r w:rsidR="00A04806" w:rsidRPr="003259A6">
          <w:rPr>
            <w:rStyle w:val="Hyperlink"/>
            <w:rFonts w:ascii="Arial" w:hAnsi="Arial" w:cs="Arial"/>
            <w:szCs w:val="24"/>
          </w:rPr>
          <w:t>www.csfi.org</w:t>
        </w:r>
      </w:hyperlink>
      <w:r w:rsidR="00A04806">
        <w:rPr>
          <w:rFonts w:ascii="Arial" w:hAnsi="Arial" w:cs="Arial"/>
          <w:color w:val="auto"/>
          <w:szCs w:val="24"/>
        </w:rPr>
        <w:t xml:space="preserve"> or from the PwC website: www.pwc.com.</w:t>
      </w:r>
    </w:p>
    <w:p w:rsidR="002E3959" w:rsidRPr="00714BCB" w:rsidRDefault="002E3959">
      <w:pPr>
        <w:pStyle w:val="BodyText"/>
        <w:rPr>
          <w:rFonts w:ascii="Arial" w:hAnsi="Arial" w:cs="Arial"/>
          <w:color w:val="auto"/>
          <w:szCs w:val="24"/>
        </w:rPr>
      </w:pPr>
    </w:p>
    <w:p w:rsidR="002E3959" w:rsidRPr="00714BCB" w:rsidRDefault="002E3959">
      <w:pPr>
        <w:pStyle w:val="BodyText"/>
        <w:rPr>
          <w:rFonts w:ascii="Arial" w:hAnsi="Arial" w:cs="Arial"/>
          <w:color w:val="auto"/>
          <w:szCs w:val="24"/>
        </w:rPr>
      </w:pPr>
      <w:r w:rsidRPr="00714BCB">
        <w:rPr>
          <w:rFonts w:ascii="Arial" w:hAnsi="Arial" w:cs="Arial"/>
          <w:color w:val="auto"/>
          <w:szCs w:val="24"/>
        </w:rPr>
        <w:t>4.  The CSFI (Centre for the Study of Financial Innovation) is a non-profit think-tank, founded in 1993, which looks at challenges and opportunities for the financial sector. It has an affiliate organisation in New York, the New York CSFI.</w:t>
      </w:r>
    </w:p>
    <w:p w:rsidR="002E3959" w:rsidRPr="00F407B7" w:rsidRDefault="002E3959">
      <w:pPr>
        <w:pStyle w:val="BodyText"/>
        <w:rPr>
          <w:rFonts w:ascii="Arial" w:hAnsi="Arial" w:cs="Arial"/>
          <w:b/>
          <w:color w:val="auto"/>
          <w:szCs w:val="24"/>
          <w:lang w:eastAsia="en-GB"/>
        </w:rPr>
      </w:pPr>
    </w:p>
    <w:p w:rsidR="002E3959" w:rsidRPr="00F407B7" w:rsidRDefault="002E3959" w:rsidP="00F407B7">
      <w:pPr>
        <w:tabs>
          <w:tab w:val="left" w:pos="0"/>
          <w:tab w:val="left" w:pos="720"/>
          <w:tab w:val="left" w:pos="1440"/>
          <w:tab w:val="left" w:pos="2160"/>
          <w:tab w:val="left" w:pos="2880"/>
          <w:tab w:val="left" w:pos="3600"/>
          <w:tab w:val="left" w:pos="4320"/>
        </w:tabs>
        <w:autoSpaceDE w:val="0"/>
        <w:autoSpaceDN w:val="0"/>
        <w:adjustRightInd w:val="0"/>
        <w:rPr>
          <w:rFonts w:ascii="Arial" w:hAnsi="Arial" w:cs="Arial"/>
          <w:szCs w:val="24"/>
          <w:lang w:eastAsia="en-GB"/>
        </w:rPr>
      </w:pPr>
      <w:r w:rsidRPr="00F407B7">
        <w:rPr>
          <w:rFonts w:ascii="Arial" w:hAnsi="Arial" w:cs="Arial"/>
          <w:szCs w:val="24"/>
        </w:rPr>
        <w:t>5</w:t>
      </w:r>
      <w:r w:rsidRPr="00F407B7">
        <w:rPr>
          <w:rFonts w:ascii="Arial" w:hAnsi="Arial" w:cs="Arial"/>
          <w:i/>
          <w:szCs w:val="24"/>
        </w:rPr>
        <w:t>.</w:t>
      </w:r>
      <w:r w:rsidRPr="00F407B7">
        <w:rPr>
          <w:rFonts w:ascii="Arial" w:eastAsia="SimSun" w:hAnsi="Arial" w:cs="Arial"/>
          <w:i/>
          <w:szCs w:val="24"/>
          <w:lang w:eastAsia="zh-CN"/>
        </w:rPr>
        <w:t xml:space="preserve">  </w:t>
      </w:r>
      <w:r w:rsidR="00F407B7" w:rsidRPr="00F407B7">
        <w:rPr>
          <w:rFonts w:ascii="Arial" w:hAnsi="Arial" w:cs="Arial"/>
        </w:rPr>
        <w:t>PwC is a network of firms in 158 countries with more than 180,000 people who are committed to delivering quality in assurance, tax and advisory services. More information is available at the firm's website, </w:t>
      </w:r>
      <w:r w:rsidR="00F407B7" w:rsidRPr="00F407B7">
        <w:rPr>
          <w:rFonts w:ascii="Arial" w:hAnsi="Arial" w:cs="Arial"/>
          <w:u w:val="single"/>
        </w:rPr>
        <w:t>www.pwc.com</w:t>
      </w:r>
      <w:r w:rsidR="00F407B7" w:rsidRPr="00F407B7">
        <w:rPr>
          <w:rFonts w:ascii="Arial" w:hAnsi="Arial" w:cs="Arial"/>
        </w:rPr>
        <w:t>.</w:t>
      </w:r>
    </w:p>
    <w:sectPr w:rsidR="002E3959" w:rsidRPr="00F407B7" w:rsidSect="00356283">
      <w:headerReference w:type="default" r:id="rId9"/>
      <w:footerReference w:type="even" r:id="rId10"/>
      <w:footerReference w:type="default" r:id="rId11"/>
      <w:headerReference w:type="first" r:id="rId12"/>
      <w:footerReference w:type="first" r:id="rId13"/>
      <w:pgSz w:w="11906" w:h="16838" w:code="9"/>
      <w:pgMar w:top="1440" w:right="1797" w:bottom="1440" w:left="1797" w:header="595" w:footer="59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FD6" w:rsidRDefault="00952FD6">
      <w:r>
        <w:separator/>
      </w:r>
    </w:p>
  </w:endnote>
  <w:endnote w:type="continuationSeparator" w:id="0">
    <w:p w:rsidR="00952FD6" w:rsidRDefault="00952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59" w:rsidRDefault="00BB5FF9">
    <w:pPr>
      <w:pStyle w:val="Footer"/>
      <w:framePr w:wrap="around" w:vAnchor="text" w:hAnchor="margin" w:xAlign="center" w:y="1"/>
      <w:rPr>
        <w:rStyle w:val="PageNumber"/>
      </w:rPr>
    </w:pPr>
    <w:r>
      <w:rPr>
        <w:rStyle w:val="PageNumber"/>
      </w:rPr>
      <w:fldChar w:fldCharType="begin"/>
    </w:r>
    <w:r w:rsidR="002E3959">
      <w:rPr>
        <w:rStyle w:val="PageNumber"/>
      </w:rPr>
      <w:instrText xml:space="preserve">PAGE  </w:instrText>
    </w:r>
    <w:r>
      <w:rPr>
        <w:rStyle w:val="PageNumber"/>
      </w:rPr>
      <w:fldChar w:fldCharType="separate"/>
    </w:r>
    <w:r w:rsidR="002E3959">
      <w:rPr>
        <w:rStyle w:val="PageNumber"/>
        <w:noProof/>
      </w:rPr>
      <w:t>4</w:t>
    </w:r>
    <w:r>
      <w:rPr>
        <w:rStyle w:val="PageNumber"/>
      </w:rPr>
      <w:fldChar w:fldCharType="end"/>
    </w:r>
  </w:p>
  <w:p w:rsidR="002E3959" w:rsidRDefault="002E39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59" w:rsidRDefault="002E3959">
    <w:pPr>
      <w:pStyle w:val="Footer"/>
      <w:framePr w:wrap="around" w:vAnchor="text" w:hAnchor="margin" w:xAlign="center" w:y="1"/>
      <w:rPr>
        <w:rStyle w:val="PageNumber"/>
      </w:rPr>
    </w:pPr>
  </w:p>
  <w:p w:rsidR="002E3959" w:rsidRDefault="002E39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59" w:rsidRDefault="00BB5FF9">
    <w:pPr>
      <w:pStyle w:val="Footer"/>
      <w:jc w:val="center"/>
    </w:pPr>
    <w:fldSimple w:instr=" PAGE   \* MERGEFORMAT ">
      <w:r w:rsidR="00051D97">
        <w:rPr>
          <w:noProof/>
        </w:rPr>
        <w:t>1</w:t>
      </w:r>
    </w:fldSimple>
  </w:p>
  <w:p w:rsidR="002E3959" w:rsidRDefault="002E3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FD6" w:rsidRDefault="00952FD6">
      <w:r>
        <w:separator/>
      </w:r>
    </w:p>
  </w:footnote>
  <w:footnote w:type="continuationSeparator" w:id="0">
    <w:p w:rsidR="00952FD6" w:rsidRDefault="00952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59" w:rsidRDefault="002E3959">
    <w:pPr>
      <w:pStyle w:val="Header"/>
      <w:rPr>
        <w:i/>
      </w:rPr>
    </w:pPr>
    <w:r>
      <w:rPr>
        <w:i/>
      </w:rPr>
      <w:t xml:space="preserve">Insurance Banana Skins </w:t>
    </w:r>
    <w:r w:rsidR="00BB5FF9">
      <w:rPr>
        <w:i/>
      </w:rPr>
      <w:fldChar w:fldCharType="begin"/>
    </w:r>
    <w:r>
      <w:rPr>
        <w:i/>
      </w:rPr>
      <w:instrText xml:space="preserve"> PAGE   \* MERGEFORMAT </w:instrText>
    </w:r>
    <w:r w:rsidR="00BB5FF9">
      <w:rPr>
        <w:i/>
      </w:rPr>
      <w:fldChar w:fldCharType="separate"/>
    </w:r>
    <w:r w:rsidR="00051D97">
      <w:rPr>
        <w:i/>
        <w:noProof/>
      </w:rPr>
      <w:t>2</w:t>
    </w:r>
    <w:r w:rsidR="00BB5FF9">
      <w:rPr>
        <w: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59" w:rsidRDefault="002E3959">
    <w:pPr>
      <w:pStyle w:val="Header"/>
      <w:rPr>
        <w:sz w:val="96"/>
        <w:szCs w:val="96"/>
      </w:rPr>
    </w:pPr>
    <w:r>
      <w:rPr>
        <w:sz w:val="96"/>
        <w:szCs w:val="96"/>
      </w:rPr>
      <w:t>CSFI</w:t>
    </w:r>
    <w:r w:rsidR="00397CAD">
      <w:rPr>
        <w:noProof/>
        <w:sz w:val="96"/>
        <w:szCs w:val="96"/>
        <w:lang w:val="en-US"/>
      </w:rPr>
      <w:drawing>
        <wp:anchor distT="0" distB="0" distL="114300" distR="114300" simplePos="0" relativeHeight="251657728" behindDoc="0" locked="1" layoutInCell="1" allowOverlap="1">
          <wp:simplePos x="0" y="0"/>
          <wp:positionH relativeFrom="page">
            <wp:posOffset>5292725</wp:posOffset>
          </wp:positionH>
          <wp:positionV relativeFrom="page">
            <wp:posOffset>3175</wp:posOffset>
          </wp:positionV>
          <wp:extent cx="1412875" cy="126746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2875" cy="1267460"/>
                  </a:xfrm>
                  <a:prstGeom prst="rect">
                    <a:avLst/>
                  </a:prstGeom>
                  <a:noFill/>
                  <a:ln w="9525">
                    <a:noFill/>
                    <a:miter lim="800000"/>
                    <a:headEnd/>
                    <a:tailEnd/>
                  </a:ln>
                </pic:spPr>
              </pic:pic>
            </a:graphicData>
          </a:graphic>
        </wp:anchor>
      </w:drawing>
    </w:r>
  </w:p>
  <w:p w:rsidR="002E3959" w:rsidRDefault="002E3959">
    <w:pPr>
      <w:pStyle w:val="Header"/>
      <w:rPr>
        <w:b/>
        <w:sz w:val="28"/>
        <w:szCs w:val="36"/>
      </w:rPr>
    </w:pPr>
    <w:r>
      <w:rPr>
        <w:b/>
        <w:sz w:val="28"/>
        <w:szCs w:val="36"/>
      </w:rPr>
      <w:t>CENTRE FOR THE STUDY OF FINANCIAL INNOVATION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585"/>
    <w:multiLevelType w:val="singleLevel"/>
    <w:tmpl w:val="0809000F"/>
    <w:lvl w:ilvl="0">
      <w:start w:val="1"/>
      <w:numFmt w:val="decimal"/>
      <w:pStyle w:val="Heading7"/>
      <w:lvlText w:val="%1."/>
      <w:lvlJc w:val="left"/>
      <w:pPr>
        <w:tabs>
          <w:tab w:val="num" w:pos="360"/>
        </w:tabs>
        <w:ind w:left="360" w:hanging="360"/>
      </w:pPr>
    </w:lvl>
  </w:abstractNum>
  <w:abstractNum w:abstractNumId="1">
    <w:nsid w:val="0078337B"/>
    <w:multiLevelType w:val="singleLevel"/>
    <w:tmpl w:val="6616F224"/>
    <w:lvl w:ilvl="0">
      <w:start w:val="4"/>
      <w:numFmt w:val="decimal"/>
      <w:pStyle w:val="Heading6"/>
      <w:lvlText w:val="%1."/>
      <w:lvlJc w:val="left"/>
      <w:pPr>
        <w:tabs>
          <w:tab w:val="num" w:pos="709"/>
        </w:tabs>
        <w:ind w:left="709" w:hanging="720"/>
      </w:pPr>
      <w:rPr>
        <w:rFonts w:hint="default"/>
      </w:rPr>
    </w:lvl>
  </w:abstractNum>
  <w:abstractNum w:abstractNumId="2">
    <w:nsid w:val="09D02A00"/>
    <w:multiLevelType w:val="singleLevel"/>
    <w:tmpl w:val="6616F224"/>
    <w:lvl w:ilvl="0">
      <w:start w:val="4"/>
      <w:numFmt w:val="decimal"/>
      <w:pStyle w:val="Heading5"/>
      <w:lvlText w:val="%1."/>
      <w:lvlJc w:val="left"/>
      <w:pPr>
        <w:tabs>
          <w:tab w:val="num" w:pos="709"/>
        </w:tabs>
        <w:ind w:left="709" w:hanging="720"/>
      </w:pPr>
      <w:rPr>
        <w:rFonts w:hint="default"/>
      </w:rPr>
    </w:lvl>
  </w:abstractNum>
  <w:abstractNum w:abstractNumId="3">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4">
    <w:nsid w:val="12B60594"/>
    <w:multiLevelType w:val="multilevel"/>
    <w:tmpl w:val="02F0F144"/>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5">
    <w:nsid w:val="2DA24E03"/>
    <w:multiLevelType w:val="hybridMultilevel"/>
    <w:tmpl w:val="979CDE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7">
    <w:nsid w:val="37CF44F5"/>
    <w:multiLevelType w:val="singleLevel"/>
    <w:tmpl w:val="08090001"/>
    <w:lvl w:ilvl="0">
      <w:start w:val="1"/>
      <w:numFmt w:val="bullet"/>
      <w:pStyle w:val="Heading9"/>
      <w:lvlText w:val=""/>
      <w:lvlJc w:val="left"/>
      <w:pPr>
        <w:tabs>
          <w:tab w:val="num" w:pos="360"/>
        </w:tabs>
        <w:ind w:left="360" w:hanging="360"/>
      </w:pPr>
      <w:rPr>
        <w:rFonts w:ascii="Symbol" w:hAnsi="Symbol" w:hint="default"/>
      </w:rPr>
    </w:lvl>
  </w:abstractNum>
  <w:abstractNum w:abstractNumId="8">
    <w:nsid w:val="39F8219C"/>
    <w:multiLevelType w:val="singleLevel"/>
    <w:tmpl w:val="0809000F"/>
    <w:lvl w:ilvl="0">
      <w:start w:val="1"/>
      <w:numFmt w:val="decimal"/>
      <w:pStyle w:val="Heading8"/>
      <w:lvlText w:val="%1."/>
      <w:lvlJc w:val="left"/>
      <w:pPr>
        <w:tabs>
          <w:tab w:val="num" w:pos="360"/>
        </w:tabs>
        <w:ind w:left="360" w:hanging="360"/>
      </w:pPr>
    </w:lvl>
  </w:abstractNum>
  <w:abstractNum w:abstractNumId="9">
    <w:nsid w:val="3DE65D55"/>
    <w:multiLevelType w:val="hybridMultilevel"/>
    <w:tmpl w:val="C35E6C94"/>
    <w:lvl w:ilvl="0" w:tplc="00D420AE">
      <w:start w:val="1"/>
      <w:numFmt w:val="decimal"/>
      <w:lvlText w:val="%1."/>
      <w:lvlJc w:val="left"/>
      <w:pPr>
        <w:tabs>
          <w:tab w:val="num" w:pos="720"/>
        </w:tabs>
        <w:ind w:left="720" w:hanging="360"/>
      </w:pPr>
    </w:lvl>
    <w:lvl w:ilvl="1" w:tplc="017A0088" w:tentative="1">
      <w:start w:val="1"/>
      <w:numFmt w:val="decimal"/>
      <w:lvlText w:val="%2."/>
      <w:lvlJc w:val="left"/>
      <w:pPr>
        <w:tabs>
          <w:tab w:val="num" w:pos="1440"/>
        </w:tabs>
        <w:ind w:left="1440" w:hanging="360"/>
      </w:pPr>
    </w:lvl>
    <w:lvl w:ilvl="2" w:tplc="DFF44204" w:tentative="1">
      <w:start w:val="1"/>
      <w:numFmt w:val="decimal"/>
      <w:lvlText w:val="%3."/>
      <w:lvlJc w:val="left"/>
      <w:pPr>
        <w:tabs>
          <w:tab w:val="num" w:pos="2160"/>
        </w:tabs>
        <w:ind w:left="2160" w:hanging="360"/>
      </w:pPr>
    </w:lvl>
    <w:lvl w:ilvl="3" w:tplc="284E87C0" w:tentative="1">
      <w:start w:val="1"/>
      <w:numFmt w:val="decimal"/>
      <w:lvlText w:val="%4."/>
      <w:lvlJc w:val="left"/>
      <w:pPr>
        <w:tabs>
          <w:tab w:val="num" w:pos="2880"/>
        </w:tabs>
        <w:ind w:left="2880" w:hanging="360"/>
      </w:pPr>
    </w:lvl>
    <w:lvl w:ilvl="4" w:tplc="73F4CBC6" w:tentative="1">
      <w:start w:val="1"/>
      <w:numFmt w:val="decimal"/>
      <w:lvlText w:val="%5."/>
      <w:lvlJc w:val="left"/>
      <w:pPr>
        <w:tabs>
          <w:tab w:val="num" w:pos="3600"/>
        </w:tabs>
        <w:ind w:left="3600" w:hanging="360"/>
      </w:pPr>
    </w:lvl>
    <w:lvl w:ilvl="5" w:tplc="22E40108" w:tentative="1">
      <w:start w:val="1"/>
      <w:numFmt w:val="decimal"/>
      <w:lvlText w:val="%6."/>
      <w:lvlJc w:val="left"/>
      <w:pPr>
        <w:tabs>
          <w:tab w:val="num" w:pos="4320"/>
        </w:tabs>
        <w:ind w:left="4320" w:hanging="360"/>
      </w:pPr>
    </w:lvl>
    <w:lvl w:ilvl="6" w:tplc="DC622846" w:tentative="1">
      <w:start w:val="1"/>
      <w:numFmt w:val="decimal"/>
      <w:lvlText w:val="%7."/>
      <w:lvlJc w:val="left"/>
      <w:pPr>
        <w:tabs>
          <w:tab w:val="num" w:pos="5040"/>
        </w:tabs>
        <w:ind w:left="5040" w:hanging="360"/>
      </w:pPr>
    </w:lvl>
    <w:lvl w:ilvl="7" w:tplc="81B47BBE" w:tentative="1">
      <w:start w:val="1"/>
      <w:numFmt w:val="decimal"/>
      <w:lvlText w:val="%8."/>
      <w:lvlJc w:val="left"/>
      <w:pPr>
        <w:tabs>
          <w:tab w:val="num" w:pos="5760"/>
        </w:tabs>
        <w:ind w:left="5760" w:hanging="360"/>
      </w:pPr>
    </w:lvl>
    <w:lvl w:ilvl="8" w:tplc="BBBC9AF2" w:tentative="1">
      <w:start w:val="1"/>
      <w:numFmt w:val="decimal"/>
      <w:lvlText w:val="%9."/>
      <w:lvlJc w:val="left"/>
      <w:pPr>
        <w:tabs>
          <w:tab w:val="num" w:pos="6480"/>
        </w:tabs>
        <w:ind w:left="6480" w:hanging="360"/>
      </w:pPr>
    </w:lvl>
  </w:abstractNum>
  <w:abstractNum w:abstractNumId="10">
    <w:nsid w:val="5D095D54"/>
    <w:multiLevelType w:val="multilevel"/>
    <w:tmpl w:val="5E14954C"/>
    <w:name w:val="PwCHeadingListTemplate"/>
    <w:lvl w:ilvl="0">
      <w:start w:val="1"/>
      <w:numFmt w:val="decimal"/>
      <w:lvlText w:val="%1"/>
      <w:lvlJc w:val="right"/>
      <w:pPr>
        <w:tabs>
          <w:tab w:val="num" w:pos="0"/>
        </w:tabs>
        <w:ind w:left="0" w:hanging="280"/>
      </w:pPr>
      <w:rPr>
        <w:rFonts w:ascii="Times New Roman" w:hAnsi="Times New Roman"/>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11">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abstractNumId w:val="2"/>
  </w:num>
  <w:num w:numId="2">
    <w:abstractNumId w:val="1"/>
  </w:num>
  <w:num w:numId="3">
    <w:abstractNumId w:val="0"/>
  </w:num>
  <w:num w:numId="4">
    <w:abstractNumId w:val="8"/>
  </w:num>
  <w:num w:numId="5">
    <w:abstractNumId w:val="7"/>
  </w:num>
  <w:num w:numId="6">
    <w:abstractNumId w:val="11"/>
  </w:num>
  <w:num w:numId="7">
    <w:abstractNumId w:val="4"/>
  </w:num>
  <w:num w:numId="8">
    <w:abstractNumId w:val="3"/>
  </w:num>
  <w:num w:numId="9">
    <w:abstractNumId w:val="6"/>
  </w:num>
  <w:num w:numId="10">
    <w:abstractNumId w:val="5"/>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2">
      <o:colormenu v:ext="edit" fillcolor="none"/>
    </o:shapedefaults>
  </w:hdrShapeDefaults>
  <w:footnotePr>
    <w:footnote w:id="-1"/>
    <w:footnote w:id="0"/>
  </w:footnotePr>
  <w:endnotePr>
    <w:endnote w:id="-1"/>
    <w:endnote w:id="0"/>
  </w:endnotePr>
  <w:compat/>
  <w:rsids>
    <w:rsidRoot w:val="00BA3F27"/>
    <w:rsid w:val="0001148C"/>
    <w:rsid w:val="00021BFE"/>
    <w:rsid w:val="00051D97"/>
    <w:rsid w:val="00063837"/>
    <w:rsid w:val="000B32A2"/>
    <w:rsid w:val="0011422A"/>
    <w:rsid w:val="001605BA"/>
    <w:rsid w:val="001B31E2"/>
    <w:rsid w:val="002E3959"/>
    <w:rsid w:val="002F53D9"/>
    <w:rsid w:val="0034077F"/>
    <w:rsid w:val="0034450C"/>
    <w:rsid w:val="00351706"/>
    <w:rsid w:val="00356283"/>
    <w:rsid w:val="00397CAD"/>
    <w:rsid w:val="004C2554"/>
    <w:rsid w:val="005119D5"/>
    <w:rsid w:val="0051760F"/>
    <w:rsid w:val="00536F0D"/>
    <w:rsid w:val="005C6EAE"/>
    <w:rsid w:val="005C763D"/>
    <w:rsid w:val="006145E3"/>
    <w:rsid w:val="00616291"/>
    <w:rsid w:val="006B2C49"/>
    <w:rsid w:val="006F6313"/>
    <w:rsid w:val="00714BCB"/>
    <w:rsid w:val="00774E1F"/>
    <w:rsid w:val="007D0BE8"/>
    <w:rsid w:val="00810474"/>
    <w:rsid w:val="0082757B"/>
    <w:rsid w:val="008A5894"/>
    <w:rsid w:val="008E3F76"/>
    <w:rsid w:val="00952FD6"/>
    <w:rsid w:val="00A04806"/>
    <w:rsid w:val="00A25A23"/>
    <w:rsid w:val="00A85EF2"/>
    <w:rsid w:val="00AD37B0"/>
    <w:rsid w:val="00AE560B"/>
    <w:rsid w:val="00B5387F"/>
    <w:rsid w:val="00BA3F27"/>
    <w:rsid w:val="00BB5FF9"/>
    <w:rsid w:val="00C2351A"/>
    <w:rsid w:val="00C50F2C"/>
    <w:rsid w:val="00D52482"/>
    <w:rsid w:val="00D9472F"/>
    <w:rsid w:val="00E433D9"/>
    <w:rsid w:val="00ED59BA"/>
    <w:rsid w:val="00EF1FA3"/>
    <w:rsid w:val="00F407B7"/>
    <w:rsid w:val="00F60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283"/>
    <w:rPr>
      <w:sz w:val="24"/>
      <w:lang w:eastAsia="en-US"/>
    </w:rPr>
  </w:style>
  <w:style w:type="paragraph" w:styleId="Heading1">
    <w:name w:val="heading 1"/>
    <w:basedOn w:val="Normal"/>
    <w:next w:val="Normal"/>
    <w:qFormat/>
    <w:rsid w:val="00356283"/>
    <w:pPr>
      <w:keepNext/>
      <w:outlineLvl w:val="0"/>
    </w:pPr>
    <w:rPr>
      <w:b/>
    </w:rPr>
  </w:style>
  <w:style w:type="paragraph" w:styleId="Heading2">
    <w:name w:val="heading 2"/>
    <w:basedOn w:val="Normal"/>
    <w:next w:val="Normal"/>
    <w:qFormat/>
    <w:rsid w:val="00356283"/>
    <w:pPr>
      <w:keepNext/>
      <w:spacing w:line="240" w:lineRule="atLeast"/>
      <w:outlineLvl w:val="1"/>
    </w:pPr>
    <w:rPr>
      <w:b/>
      <w:snapToGrid w:val="0"/>
      <w:color w:val="000000"/>
    </w:rPr>
  </w:style>
  <w:style w:type="paragraph" w:styleId="Heading3">
    <w:name w:val="heading 3"/>
    <w:aliases w:val="Minor"/>
    <w:basedOn w:val="Normal"/>
    <w:next w:val="Normal"/>
    <w:qFormat/>
    <w:rsid w:val="00356283"/>
    <w:pPr>
      <w:keepNext/>
      <w:outlineLvl w:val="2"/>
    </w:pPr>
  </w:style>
  <w:style w:type="paragraph" w:styleId="Heading4">
    <w:name w:val="heading 4"/>
    <w:basedOn w:val="Normal"/>
    <w:next w:val="Normal"/>
    <w:qFormat/>
    <w:rsid w:val="00356283"/>
    <w:pPr>
      <w:keepNext/>
      <w:tabs>
        <w:tab w:val="left" w:pos="357"/>
        <w:tab w:val="left" w:pos="720"/>
        <w:tab w:val="left" w:pos="1440"/>
        <w:tab w:val="left" w:pos="2304"/>
      </w:tabs>
      <w:spacing w:after="240" w:line="240" w:lineRule="atLeast"/>
      <w:jc w:val="both"/>
      <w:outlineLvl w:val="3"/>
    </w:pPr>
    <w:rPr>
      <w:rFonts w:ascii="ZapfHumnst BT" w:hAnsi="ZapfHumnst BT"/>
      <w:color w:val="C0C0C0"/>
      <w:sz w:val="104"/>
    </w:rPr>
  </w:style>
  <w:style w:type="paragraph" w:styleId="Heading5">
    <w:name w:val="heading 5"/>
    <w:basedOn w:val="Normal"/>
    <w:next w:val="BodyText"/>
    <w:qFormat/>
    <w:rsid w:val="00356283"/>
    <w:pPr>
      <w:keepNext/>
      <w:numPr>
        <w:ilvl w:val="4"/>
        <w:numId w:val="1"/>
      </w:numPr>
      <w:spacing w:after="60" w:line="260" w:lineRule="atLeast"/>
      <w:outlineLvl w:val="4"/>
    </w:pPr>
    <w:rPr>
      <w:sz w:val="20"/>
    </w:rPr>
  </w:style>
  <w:style w:type="paragraph" w:styleId="Heading6">
    <w:name w:val="heading 6"/>
    <w:basedOn w:val="Normal"/>
    <w:next w:val="BodyText"/>
    <w:qFormat/>
    <w:rsid w:val="00356283"/>
    <w:pPr>
      <w:keepNext/>
      <w:numPr>
        <w:ilvl w:val="5"/>
        <w:numId w:val="2"/>
      </w:numPr>
      <w:spacing w:after="60" w:line="260" w:lineRule="atLeast"/>
      <w:ind w:hanging="278"/>
      <w:outlineLvl w:val="5"/>
    </w:pPr>
    <w:rPr>
      <w:sz w:val="20"/>
    </w:rPr>
  </w:style>
  <w:style w:type="paragraph" w:styleId="Heading7">
    <w:name w:val="heading 7"/>
    <w:basedOn w:val="Normal"/>
    <w:next w:val="BodyText"/>
    <w:qFormat/>
    <w:rsid w:val="00356283"/>
    <w:pPr>
      <w:keepNext/>
      <w:numPr>
        <w:ilvl w:val="6"/>
        <w:numId w:val="3"/>
      </w:numPr>
      <w:spacing w:after="60" w:line="260" w:lineRule="atLeast"/>
      <w:ind w:hanging="278"/>
      <w:outlineLvl w:val="6"/>
    </w:pPr>
    <w:rPr>
      <w:sz w:val="20"/>
    </w:rPr>
  </w:style>
  <w:style w:type="paragraph" w:styleId="Heading8">
    <w:name w:val="heading 8"/>
    <w:basedOn w:val="Normal"/>
    <w:next w:val="BodyText"/>
    <w:qFormat/>
    <w:rsid w:val="00356283"/>
    <w:pPr>
      <w:keepNext/>
      <w:numPr>
        <w:ilvl w:val="7"/>
        <w:numId w:val="4"/>
      </w:numPr>
      <w:spacing w:after="60" w:line="260" w:lineRule="atLeast"/>
      <w:ind w:hanging="278"/>
      <w:outlineLvl w:val="7"/>
    </w:pPr>
    <w:rPr>
      <w:sz w:val="20"/>
    </w:rPr>
  </w:style>
  <w:style w:type="paragraph" w:styleId="Heading9">
    <w:name w:val="heading 9"/>
    <w:basedOn w:val="Normal"/>
    <w:next w:val="BodyText"/>
    <w:qFormat/>
    <w:rsid w:val="00356283"/>
    <w:pPr>
      <w:keepNext/>
      <w:numPr>
        <w:ilvl w:val="8"/>
        <w:numId w:val="5"/>
      </w:numPr>
      <w:spacing w:after="60" w:line="260" w:lineRule="atLeast"/>
      <w:ind w:hanging="278"/>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6283"/>
    <w:pPr>
      <w:spacing w:line="240" w:lineRule="atLeast"/>
    </w:pPr>
    <w:rPr>
      <w:snapToGrid w:val="0"/>
      <w:color w:val="000000"/>
    </w:rPr>
  </w:style>
  <w:style w:type="character" w:styleId="Hyperlink">
    <w:name w:val="Hyperlink"/>
    <w:basedOn w:val="DefaultParagraphFont"/>
    <w:rsid w:val="00356283"/>
    <w:rPr>
      <w:color w:val="0000FF"/>
      <w:u w:val="single"/>
    </w:rPr>
  </w:style>
  <w:style w:type="paragraph" w:styleId="Header">
    <w:name w:val="header"/>
    <w:basedOn w:val="Normal"/>
    <w:link w:val="HeaderChar"/>
    <w:uiPriority w:val="99"/>
    <w:rsid w:val="00356283"/>
    <w:pPr>
      <w:tabs>
        <w:tab w:val="center" w:pos="4153"/>
        <w:tab w:val="right" w:pos="8306"/>
      </w:tabs>
    </w:pPr>
  </w:style>
  <w:style w:type="paragraph" w:styleId="Footer">
    <w:name w:val="footer"/>
    <w:basedOn w:val="Normal"/>
    <w:link w:val="FooterChar"/>
    <w:uiPriority w:val="99"/>
    <w:rsid w:val="00356283"/>
    <w:pPr>
      <w:tabs>
        <w:tab w:val="center" w:pos="4153"/>
        <w:tab w:val="right" w:pos="8306"/>
      </w:tabs>
    </w:pPr>
  </w:style>
  <w:style w:type="paragraph" w:styleId="BodyTextIndent">
    <w:name w:val="Body Text Indent"/>
    <w:basedOn w:val="Normal"/>
    <w:rsid w:val="00356283"/>
    <w:pPr>
      <w:ind w:left="720"/>
    </w:pPr>
    <w:rPr>
      <w:sz w:val="20"/>
    </w:rPr>
  </w:style>
  <w:style w:type="paragraph" w:styleId="BodyText2">
    <w:name w:val="Body Text 2"/>
    <w:basedOn w:val="Normal"/>
    <w:rsid w:val="00356283"/>
    <w:rPr>
      <w:b/>
    </w:rPr>
  </w:style>
  <w:style w:type="paragraph" w:styleId="BodyTextIndent2">
    <w:name w:val="Body Text Indent 2"/>
    <w:basedOn w:val="Normal"/>
    <w:rsid w:val="00356283"/>
    <w:pPr>
      <w:ind w:left="720"/>
    </w:pPr>
  </w:style>
  <w:style w:type="paragraph" w:styleId="BodyText3">
    <w:name w:val="Body Text 3"/>
    <w:basedOn w:val="Normal"/>
    <w:rsid w:val="00356283"/>
    <w:rPr>
      <w:sz w:val="22"/>
    </w:rPr>
  </w:style>
  <w:style w:type="character" w:styleId="FollowedHyperlink">
    <w:name w:val="FollowedHyperlink"/>
    <w:basedOn w:val="DefaultParagraphFont"/>
    <w:rsid w:val="00356283"/>
    <w:rPr>
      <w:color w:val="800080"/>
      <w:u w:val="single"/>
    </w:rPr>
  </w:style>
  <w:style w:type="character" w:customStyle="1" w:styleId="smalltext1">
    <w:name w:val="smalltext1"/>
    <w:basedOn w:val="DefaultParagraphFont"/>
    <w:rsid w:val="00356283"/>
    <w:rPr>
      <w:rFonts w:ascii="Arial" w:hAnsi="Arial" w:cs="Arial" w:hint="default"/>
      <w:color w:val="000000"/>
      <w:sz w:val="18"/>
      <w:szCs w:val="18"/>
    </w:rPr>
  </w:style>
  <w:style w:type="paragraph" w:styleId="BalloonText">
    <w:name w:val="Balloon Text"/>
    <w:basedOn w:val="Normal"/>
    <w:semiHidden/>
    <w:rsid w:val="00356283"/>
    <w:rPr>
      <w:rFonts w:ascii="Tahoma" w:hAnsi="Tahoma" w:cs="Tahoma"/>
      <w:sz w:val="16"/>
      <w:szCs w:val="16"/>
    </w:rPr>
  </w:style>
  <w:style w:type="paragraph" w:customStyle="1" w:styleId="StyleLinespacing10lines">
    <w:name w:val="Style Line spacing:  1.0 lines"/>
    <w:basedOn w:val="Normal"/>
    <w:rsid w:val="00356283"/>
    <w:pPr>
      <w:spacing w:line="360" w:lineRule="auto"/>
    </w:pPr>
  </w:style>
  <w:style w:type="paragraph" w:styleId="List2">
    <w:name w:val="List 2"/>
    <w:basedOn w:val="Normal"/>
    <w:rsid w:val="00356283"/>
    <w:pPr>
      <w:ind w:left="566" w:hanging="283"/>
    </w:pPr>
  </w:style>
  <w:style w:type="paragraph" w:styleId="MessageHeader">
    <w:name w:val="Message Header"/>
    <w:basedOn w:val="Normal"/>
    <w:rsid w:val="003562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lockText">
    <w:name w:val="Block Text"/>
    <w:basedOn w:val="Normal"/>
    <w:next w:val="BodyText"/>
    <w:rsid w:val="00356283"/>
    <w:pPr>
      <w:spacing w:line="240" w:lineRule="atLeast"/>
      <w:ind w:left="595" w:right="595"/>
    </w:pPr>
    <w:rPr>
      <w:rFonts w:ascii="Arial" w:hAnsi="Arial"/>
      <w:sz w:val="20"/>
    </w:rPr>
  </w:style>
  <w:style w:type="paragraph" w:customStyle="1" w:styleId="BodySingle">
    <w:name w:val="Body Single"/>
    <w:basedOn w:val="BodyText"/>
    <w:rsid w:val="00356283"/>
    <w:rPr>
      <w:rFonts w:ascii="Arial" w:hAnsi="Arial"/>
      <w:snapToGrid/>
      <w:color w:val="auto"/>
      <w:sz w:val="20"/>
    </w:rPr>
  </w:style>
  <w:style w:type="paragraph" w:styleId="BodyTextFirstIndent">
    <w:name w:val="Body Text First Indent"/>
    <w:basedOn w:val="BodyText"/>
    <w:rsid w:val="00356283"/>
    <w:pPr>
      <w:spacing w:after="240"/>
      <w:ind w:firstLine="595"/>
    </w:pPr>
    <w:rPr>
      <w:rFonts w:ascii="Arial" w:hAnsi="Arial"/>
      <w:snapToGrid/>
      <w:color w:val="auto"/>
      <w:sz w:val="20"/>
    </w:rPr>
  </w:style>
  <w:style w:type="paragraph" w:styleId="BodyTextFirstIndent2">
    <w:name w:val="Body Text First Indent 2"/>
    <w:basedOn w:val="BodyText2"/>
    <w:rsid w:val="00356283"/>
    <w:pPr>
      <w:spacing w:after="240" w:line="480" w:lineRule="auto"/>
      <w:ind w:firstLine="595"/>
    </w:pPr>
    <w:rPr>
      <w:rFonts w:ascii="Arial" w:hAnsi="Arial"/>
      <w:b w:val="0"/>
      <w:sz w:val="20"/>
    </w:rPr>
  </w:style>
  <w:style w:type="paragraph" w:styleId="BodyTextIndent3">
    <w:name w:val="Body Text Indent 3"/>
    <w:basedOn w:val="BodyText3"/>
    <w:rsid w:val="00356283"/>
    <w:pPr>
      <w:spacing w:after="220" w:line="220" w:lineRule="atLeast"/>
      <w:ind w:left="595"/>
    </w:pPr>
    <w:rPr>
      <w:rFonts w:ascii="Arial" w:hAnsi="Arial"/>
      <w:sz w:val="16"/>
    </w:rPr>
  </w:style>
  <w:style w:type="paragraph" w:styleId="Closing">
    <w:name w:val="Closing"/>
    <w:basedOn w:val="Normal"/>
    <w:rsid w:val="00356283"/>
    <w:pPr>
      <w:spacing w:line="240" w:lineRule="atLeast"/>
    </w:pPr>
    <w:rPr>
      <w:rFonts w:ascii="Arial" w:hAnsi="Arial"/>
      <w:sz w:val="20"/>
    </w:rPr>
  </w:style>
  <w:style w:type="paragraph" w:styleId="Date">
    <w:name w:val="Date"/>
    <w:basedOn w:val="Normal"/>
    <w:next w:val="Normal"/>
    <w:rsid w:val="00356283"/>
    <w:pPr>
      <w:spacing w:line="240" w:lineRule="atLeast"/>
    </w:pPr>
    <w:rPr>
      <w:rFonts w:ascii="Arial" w:hAnsi="Arial"/>
      <w:sz w:val="20"/>
    </w:rPr>
  </w:style>
  <w:style w:type="paragraph" w:styleId="EnvelopeAddress">
    <w:name w:val="envelope address"/>
    <w:basedOn w:val="Normal"/>
    <w:rsid w:val="00356283"/>
    <w:pPr>
      <w:framePr w:w="7920" w:h="1980" w:hRule="exact" w:hSpace="180" w:wrap="auto" w:hAnchor="page" w:xAlign="center" w:yAlign="bottom"/>
      <w:spacing w:line="240" w:lineRule="atLeast"/>
      <w:ind w:left="2976"/>
    </w:pPr>
    <w:rPr>
      <w:rFonts w:ascii="Arial" w:hAnsi="Arial"/>
      <w:sz w:val="20"/>
    </w:rPr>
  </w:style>
  <w:style w:type="paragraph" w:styleId="EnvelopeReturn">
    <w:name w:val="envelope return"/>
    <w:basedOn w:val="Normal"/>
    <w:rsid w:val="00356283"/>
    <w:pPr>
      <w:spacing w:line="240" w:lineRule="atLeast"/>
    </w:pPr>
    <w:rPr>
      <w:rFonts w:ascii="Arial" w:hAnsi="Arial"/>
      <w:sz w:val="20"/>
    </w:rPr>
  </w:style>
  <w:style w:type="paragraph" w:styleId="List">
    <w:name w:val="List"/>
    <w:basedOn w:val="Normal"/>
    <w:rsid w:val="00356283"/>
    <w:pPr>
      <w:spacing w:after="240" w:line="240" w:lineRule="atLeast"/>
      <w:ind w:left="595" w:hanging="595"/>
    </w:pPr>
    <w:rPr>
      <w:rFonts w:ascii="Arial" w:hAnsi="Arial"/>
      <w:sz w:val="20"/>
    </w:rPr>
  </w:style>
  <w:style w:type="paragraph" w:styleId="List3">
    <w:name w:val="List 3"/>
    <w:basedOn w:val="Normal"/>
    <w:rsid w:val="00356283"/>
    <w:pPr>
      <w:spacing w:after="240" w:line="240" w:lineRule="atLeast"/>
      <w:ind w:left="1786" w:hanging="595"/>
    </w:pPr>
    <w:rPr>
      <w:rFonts w:ascii="Arial" w:hAnsi="Arial"/>
      <w:sz w:val="20"/>
    </w:rPr>
  </w:style>
  <w:style w:type="paragraph" w:styleId="List4">
    <w:name w:val="List 4"/>
    <w:basedOn w:val="Normal"/>
    <w:rsid w:val="00356283"/>
    <w:pPr>
      <w:spacing w:after="240" w:line="240" w:lineRule="atLeast"/>
      <w:ind w:left="2381" w:hanging="595"/>
    </w:pPr>
    <w:rPr>
      <w:rFonts w:ascii="Arial" w:hAnsi="Arial"/>
      <w:sz w:val="20"/>
    </w:rPr>
  </w:style>
  <w:style w:type="paragraph" w:styleId="List5">
    <w:name w:val="List 5"/>
    <w:basedOn w:val="Normal"/>
    <w:rsid w:val="00356283"/>
    <w:pPr>
      <w:spacing w:after="260" w:line="240" w:lineRule="atLeast"/>
      <w:ind w:left="2976" w:hanging="595"/>
    </w:pPr>
    <w:rPr>
      <w:rFonts w:ascii="Arial" w:hAnsi="Arial"/>
      <w:sz w:val="20"/>
    </w:rPr>
  </w:style>
  <w:style w:type="paragraph" w:styleId="ListBullet">
    <w:name w:val="List Bullet"/>
    <w:basedOn w:val="Normal"/>
    <w:rsid w:val="00356283"/>
    <w:pPr>
      <w:numPr>
        <w:numId w:val="6"/>
      </w:numPr>
      <w:spacing w:after="240" w:line="240" w:lineRule="atLeast"/>
    </w:pPr>
    <w:rPr>
      <w:rFonts w:ascii="Arial" w:hAnsi="Arial"/>
      <w:sz w:val="20"/>
    </w:rPr>
  </w:style>
  <w:style w:type="paragraph" w:styleId="ListBullet2">
    <w:name w:val="List Bullet 2"/>
    <w:basedOn w:val="Normal"/>
    <w:rsid w:val="00356283"/>
    <w:pPr>
      <w:numPr>
        <w:ilvl w:val="1"/>
        <w:numId w:val="6"/>
      </w:numPr>
      <w:spacing w:after="240" w:line="240" w:lineRule="atLeast"/>
    </w:pPr>
    <w:rPr>
      <w:rFonts w:ascii="Arial" w:hAnsi="Arial"/>
      <w:sz w:val="20"/>
    </w:rPr>
  </w:style>
  <w:style w:type="paragraph" w:styleId="ListBullet3">
    <w:name w:val="List Bullet 3"/>
    <w:basedOn w:val="Normal"/>
    <w:rsid w:val="00356283"/>
    <w:pPr>
      <w:numPr>
        <w:ilvl w:val="2"/>
        <w:numId w:val="6"/>
      </w:numPr>
      <w:spacing w:after="240" w:line="240" w:lineRule="atLeast"/>
    </w:pPr>
    <w:rPr>
      <w:rFonts w:ascii="Arial" w:hAnsi="Arial"/>
      <w:sz w:val="20"/>
    </w:rPr>
  </w:style>
  <w:style w:type="paragraph" w:styleId="ListBullet4">
    <w:name w:val="List Bullet 4"/>
    <w:basedOn w:val="Normal"/>
    <w:rsid w:val="00356283"/>
    <w:pPr>
      <w:numPr>
        <w:ilvl w:val="3"/>
        <w:numId w:val="6"/>
      </w:numPr>
      <w:spacing w:after="240" w:line="240" w:lineRule="atLeast"/>
    </w:pPr>
    <w:rPr>
      <w:rFonts w:ascii="Arial" w:hAnsi="Arial"/>
      <w:sz w:val="20"/>
    </w:rPr>
  </w:style>
  <w:style w:type="paragraph" w:styleId="ListBullet5">
    <w:name w:val="List Bullet 5"/>
    <w:basedOn w:val="Normal"/>
    <w:rsid w:val="00356283"/>
    <w:pPr>
      <w:numPr>
        <w:ilvl w:val="4"/>
        <w:numId w:val="6"/>
      </w:numPr>
      <w:spacing w:after="240" w:line="240" w:lineRule="atLeast"/>
    </w:pPr>
    <w:rPr>
      <w:rFonts w:ascii="Arial" w:hAnsi="Arial"/>
      <w:sz w:val="20"/>
    </w:rPr>
  </w:style>
  <w:style w:type="paragraph" w:styleId="ListContinue">
    <w:name w:val="List Continue"/>
    <w:basedOn w:val="Normal"/>
    <w:rsid w:val="00356283"/>
    <w:pPr>
      <w:spacing w:after="240" w:line="240" w:lineRule="atLeast"/>
      <w:ind w:left="595"/>
    </w:pPr>
    <w:rPr>
      <w:rFonts w:ascii="Arial" w:hAnsi="Arial"/>
      <w:sz w:val="20"/>
    </w:rPr>
  </w:style>
  <w:style w:type="paragraph" w:styleId="ListContinue2">
    <w:name w:val="List Continue 2"/>
    <w:basedOn w:val="Normal"/>
    <w:rsid w:val="00356283"/>
    <w:pPr>
      <w:spacing w:after="240" w:line="240" w:lineRule="atLeast"/>
      <w:ind w:left="1191"/>
    </w:pPr>
    <w:rPr>
      <w:rFonts w:ascii="Arial" w:hAnsi="Arial"/>
      <w:sz w:val="20"/>
    </w:rPr>
  </w:style>
  <w:style w:type="paragraph" w:styleId="ListContinue3">
    <w:name w:val="List Continue 3"/>
    <w:basedOn w:val="Normal"/>
    <w:rsid w:val="00356283"/>
    <w:pPr>
      <w:spacing w:after="240" w:line="240" w:lineRule="atLeast"/>
      <w:ind w:left="1786"/>
    </w:pPr>
    <w:rPr>
      <w:rFonts w:ascii="Arial" w:hAnsi="Arial"/>
      <w:sz w:val="20"/>
    </w:rPr>
  </w:style>
  <w:style w:type="paragraph" w:styleId="ListContinue4">
    <w:name w:val="List Continue 4"/>
    <w:basedOn w:val="Normal"/>
    <w:rsid w:val="00356283"/>
    <w:pPr>
      <w:spacing w:after="240" w:line="240" w:lineRule="atLeast"/>
      <w:ind w:left="2381"/>
    </w:pPr>
    <w:rPr>
      <w:rFonts w:ascii="Arial" w:hAnsi="Arial"/>
      <w:sz w:val="20"/>
    </w:rPr>
  </w:style>
  <w:style w:type="paragraph" w:styleId="ListContinue5">
    <w:name w:val="List Continue 5"/>
    <w:basedOn w:val="Normal"/>
    <w:rsid w:val="00356283"/>
    <w:pPr>
      <w:spacing w:after="240" w:line="240" w:lineRule="atLeast"/>
      <w:ind w:left="2977"/>
    </w:pPr>
    <w:rPr>
      <w:rFonts w:ascii="Arial" w:hAnsi="Arial"/>
      <w:sz w:val="20"/>
    </w:rPr>
  </w:style>
  <w:style w:type="paragraph" w:styleId="ListNumber">
    <w:name w:val="List Number"/>
    <w:basedOn w:val="Normal"/>
    <w:rsid w:val="00356283"/>
    <w:pPr>
      <w:numPr>
        <w:numId w:val="7"/>
      </w:numPr>
      <w:spacing w:after="240" w:line="240" w:lineRule="atLeast"/>
    </w:pPr>
    <w:rPr>
      <w:rFonts w:ascii="Arial" w:hAnsi="Arial"/>
      <w:sz w:val="20"/>
    </w:rPr>
  </w:style>
  <w:style w:type="paragraph" w:styleId="ListNumber2">
    <w:name w:val="List Number 2"/>
    <w:basedOn w:val="Normal"/>
    <w:rsid w:val="00356283"/>
    <w:pPr>
      <w:numPr>
        <w:ilvl w:val="1"/>
        <w:numId w:val="7"/>
      </w:numPr>
      <w:spacing w:after="240" w:line="240" w:lineRule="atLeast"/>
    </w:pPr>
    <w:rPr>
      <w:rFonts w:ascii="Arial" w:hAnsi="Arial"/>
      <w:sz w:val="20"/>
    </w:rPr>
  </w:style>
  <w:style w:type="paragraph" w:styleId="ListNumber3">
    <w:name w:val="List Number 3"/>
    <w:basedOn w:val="Normal"/>
    <w:rsid w:val="00356283"/>
    <w:pPr>
      <w:numPr>
        <w:ilvl w:val="2"/>
        <w:numId w:val="7"/>
      </w:numPr>
      <w:spacing w:after="240" w:line="240" w:lineRule="atLeast"/>
    </w:pPr>
    <w:rPr>
      <w:rFonts w:ascii="Arial" w:hAnsi="Arial"/>
      <w:sz w:val="20"/>
    </w:rPr>
  </w:style>
  <w:style w:type="paragraph" w:styleId="ListNumber4">
    <w:name w:val="List Number 4"/>
    <w:basedOn w:val="Normal"/>
    <w:rsid w:val="00356283"/>
    <w:pPr>
      <w:numPr>
        <w:ilvl w:val="3"/>
        <w:numId w:val="7"/>
      </w:numPr>
      <w:spacing w:after="240" w:line="240" w:lineRule="atLeast"/>
    </w:pPr>
    <w:rPr>
      <w:rFonts w:ascii="Arial" w:hAnsi="Arial"/>
      <w:sz w:val="20"/>
    </w:rPr>
  </w:style>
  <w:style w:type="paragraph" w:styleId="ListNumber5">
    <w:name w:val="List Number 5"/>
    <w:basedOn w:val="Normal"/>
    <w:rsid w:val="00356283"/>
    <w:pPr>
      <w:numPr>
        <w:ilvl w:val="4"/>
        <w:numId w:val="7"/>
      </w:numPr>
      <w:spacing w:after="240" w:line="240" w:lineRule="atLeast"/>
    </w:pPr>
    <w:rPr>
      <w:rFonts w:ascii="Arial" w:hAnsi="Arial"/>
      <w:sz w:val="20"/>
    </w:rPr>
  </w:style>
  <w:style w:type="paragraph" w:styleId="NormalIndent">
    <w:name w:val="Normal Indent"/>
    <w:basedOn w:val="Normal"/>
    <w:rsid w:val="00356283"/>
    <w:pPr>
      <w:spacing w:line="240" w:lineRule="atLeast"/>
      <w:ind w:left="595"/>
    </w:pPr>
    <w:rPr>
      <w:rFonts w:ascii="Arial" w:hAnsi="Arial"/>
      <w:sz w:val="20"/>
    </w:rPr>
  </w:style>
  <w:style w:type="paragraph" w:styleId="NoteHeading">
    <w:name w:val="Note Heading"/>
    <w:basedOn w:val="Normal"/>
    <w:next w:val="Normal"/>
    <w:rsid w:val="00356283"/>
    <w:pPr>
      <w:spacing w:line="240" w:lineRule="atLeast"/>
    </w:pPr>
    <w:rPr>
      <w:rFonts w:ascii="Arial" w:hAnsi="Arial"/>
      <w:sz w:val="20"/>
    </w:rPr>
  </w:style>
  <w:style w:type="character" w:styleId="PageNumber">
    <w:name w:val="page number"/>
    <w:basedOn w:val="DefaultParagraphFont"/>
    <w:rsid w:val="00356283"/>
  </w:style>
  <w:style w:type="paragraph" w:styleId="PlainText">
    <w:name w:val="Plain Text"/>
    <w:basedOn w:val="Normal"/>
    <w:rsid w:val="00356283"/>
    <w:pPr>
      <w:spacing w:line="240" w:lineRule="atLeast"/>
    </w:pPr>
    <w:rPr>
      <w:rFonts w:ascii="Courier New" w:hAnsi="Courier New"/>
      <w:sz w:val="20"/>
    </w:rPr>
  </w:style>
  <w:style w:type="paragraph" w:styleId="Salutation">
    <w:name w:val="Salutation"/>
    <w:basedOn w:val="Normal"/>
    <w:next w:val="Normal"/>
    <w:rsid w:val="00356283"/>
    <w:pPr>
      <w:spacing w:line="240" w:lineRule="atLeast"/>
    </w:pPr>
    <w:rPr>
      <w:rFonts w:ascii="Arial" w:hAnsi="Arial"/>
      <w:sz w:val="20"/>
    </w:rPr>
  </w:style>
  <w:style w:type="paragraph" w:styleId="Signature">
    <w:name w:val="Signature"/>
    <w:basedOn w:val="Normal"/>
    <w:rsid w:val="00356283"/>
    <w:pPr>
      <w:spacing w:line="240" w:lineRule="atLeast"/>
    </w:pPr>
    <w:rPr>
      <w:rFonts w:ascii="Arial" w:hAnsi="Arial"/>
      <w:sz w:val="20"/>
    </w:rPr>
  </w:style>
  <w:style w:type="paragraph" w:styleId="Subtitle">
    <w:name w:val="Subtitle"/>
    <w:basedOn w:val="Normal"/>
    <w:next w:val="Heading2"/>
    <w:qFormat/>
    <w:rsid w:val="00356283"/>
    <w:pPr>
      <w:keepNext/>
      <w:spacing w:after="600" w:line="360" w:lineRule="atLeast"/>
    </w:pPr>
    <w:rPr>
      <w:rFonts w:ascii="Arial" w:hAnsi="Arial"/>
      <w:i/>
      <w:sz w:val="30"/>
    </w:rPr>
  </w:style>
  <w:style w:type="paragraph" w:customStyle="1" w:styleId="TableText">
    <w:name w:val="Table Text"/>
    <w:basedOn w:val="Normal"/>
    <w:rsid w:val="00356283"/>
    <w:pPr>
      <w:spacing w:before="120" w:after="170" w:line="240" w:lineRule="atLeast"/>
    </w:pPr>
    <w:rPr>
      <w:rFonts w:ascii="Arial" w:hAnsi="Arial"/>
      <w:sz w:val="20"/>
    </w:rPr>
  </w:style>
  <w:style w:type="paragraph" w:customStyle="1" w:styleId="TableBullet">
    <w:name w:val="Table Bullet"/>
    <w:basedOn w:val="TableText"/>
    <w:rsid w:val="00356283"/>
    <w:pPr>
      <w:numPr>
        <w:numId w:val="8"/>
      </w:numPr>
    </w:pPr>
  </w:style>
  <w:style w:type="paragraph" w:customStyle="1" w:styleId="TableColumnHeader">
    <w:name w:val="Table Column Header"/>
    <w:basedOn w:val="TableText"/>
    <w:rsid w:val="00356283"/>
    <w:rPr>
      <w:b/>
    </w:rPr>
  </w:style>
  <w:style w:type="paragraph" w:customStyle="1" w:styleId="TableFigure">
    <w:name w:val="Table Figure"/>
    <w:basedOn w:val="TableText"/>
    <w:rsid w:val="00356283"/>
    <w:pPr>
      <w:tabs>
        <w:tab w:val="decimal" w:pos="595"/>
      </w:tabs>
    </w:pPr>
  </w:style>
  <w:style w:type="paragraph" w:customStyle="1" w:styleId="TableFigure2">
    <w:name w:val="Table Figure 2"/>
    <w:basedOn w:val="TableFigure"/>
    <w:rsid w:val="00356283"/>
    <w:rPr>
      <w:b/>
    </w:rPr>
  </w:style>
  <w:style w:type="paragraph" w:customStyle="1" w:styleId="TableListNumber">
    <w:name w:val="Table List Number"/>
    <w:basedOn w:val="TableText"/>
    <w:rsid w:val="00356283"/>
    <w:pPr>
      <w:numPr>
        <w:numId w:val="9"/>
      </w:numPr>
      <w:tabs>
        <w:tab w:val="left" w:pos="298"/>
      </w:tabs>
    </w:pPr>
  </w:style>
  <w:style w:type="paragraph" w:customStyle="1" w:styleId="TableRowHeader">
    <w:name w:val="Table Row Header"/>
    <w:basedOn w:val="TableText"/>
    <w:rsid w:val="00356283"/>
  </w:style>
  <w:style w:type="paragraph" w:customStyle="1" w:styleId="TableSubTotal">
    <w:name w:val="Table SubTotal"/>
    <w:basedOn w:val="TableFigure"/>
    <w:rsid w:val="00356283"/>
    <w:pPr>
      <w:pBdr>
        <w:top w:val="single" w:sz="2" w:space="2" w:color="auto"/>
      </w:pBdr>
    </w:pPr>
  </w:style>
  <w:style w:type="paragraph" w:customStyle="1" w:styleId="TableSubtotal2">
    <w:name w:val="Table Subtotal 2"/>
    <w:basedOn w:val="TableSubTotal"/>
    <w:rsid w:val="00356283"/>
    <w:rPr>
      <w:b/>
    </w:rPr>
  </w:style>
  <w:style w:type="paragraph" w:customStyle="1" w:styleId="TableTotal">
    <w:name w:val="Table Total"/>
    <w:basedOn w:val="TableFigure"/>
    <w:rsid w:val="00356283"/>
    <w:pPr>
      <w:pBdr>
        <w:top w:val="single" w:sz="2" w:space="2" w:color="auto"/>
        <w:bottom w:val="single" w:sz="12" w:space="2" w:color="auto"/>
      </w:pBdr>
    </w:pPr>
  </w:style>
  <w:style w:type="paragraph" w:customStyle="1" w:styleId="TableTotal2">
    <w:name w:val="Table Total 2"/>
    <w:basedOn w:val="TableTotal"/>
    <w:rsid w:val="00356283"/>
    <w:rPr>
      <w:b/>
    </w:rPr>
  </w:style>
  <w:style w:type="paragraph" w:styleId="Title">
    <w:name w:val="Title"/>
    <w:basedOn w:val="Normal"/>
    <w:next w:val="Subtitle"/>
    <w:qFormat/>
    <w:rsid w:val="00356283"/>
    <w:pPr>
      <w:keepNext/>
      <w:pageBreakBefore/>
      <w:spacing w:after="600" w:line="600" w:lineRule="atLeast"/>
      <w:outlineLvl w:val="0"/>
    </w:pPr>
    <w:rPr>
      <w:rFonts w:ascii="Arial" w:hAnsi="Arial"/>
      <w:b/>
      <w:kern w:val="28"/>
      <w:sz w:val="50"/>
    </w:rPr>
  </w:style>
  <w:style w:type="table" w:styleId="TableGrid">
    <w:name w:val="Table Grid"/>
    <w:basedOn w:val="TableNormal"/>
    <w:rsid w:val="00356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56283"/>
    <w:rPr>
      <w:sz w:val="16"/>
      <w:szCs w:val="16"/>
    </w:rPr>
  </w:style>
  <w:style w:type="paragraph" w:styleId="CommentText">
    <w:name w:val="annotation text"/>
    <w:basedOn w:val="Normal"/>
    <w:semiHidden/>
    <w:rsid w:val="00356283"/>
    <w:rPr>
      <w:sz w:val="20"/>
    </w:rPr>
  </w:style>
  <w:style w:type="paragraph" w:styleId="CommentSubject">
    <w:name w:val="annotation subject"/>
    <w:basedOn w:val="CommentText"/>
    <w:next w:val="CommentText"/>
    <w:semiHidden/>
    <w:rsid w:val="00356283"/>
    <w:rPr>
      <w:b/>
      <w:bCs/>
    </w:rPr>
  </w:style>
  <w:style w:type="paragraph" w:customStyle="1" w:styleId="Standardheading">
    <w:name w:val="Standard heading"/>
    <w:basedOn w:val="Normal"/>
    <w:rsid w:val="00356283"/>
    <w:rPr>
      <w:rFonts w:ascii="Arial" w:hAnsi="Arial" w:cs="Arial"/>
      <w:b/>
      <w:sz w:val="20"/>
    </w:rPr>
  </w:style>
  <w:style w:type="paragraph" w:styleId="DocumentMap">
    <w:name w:val="Document Map"/>
    <w:basedOn w:val="Normal"/>
    <w:link w:val="DocumentMapChar"/>
    <w:rsid w:val="00356283"/>
    <w:rPr>
      <w:rFonts w:ascii="Tahoma" w:hAnsi="Tahoma" w:cs="Tahoma"/>
      <w:sz w:val="16"/>
      <w:szCs w:val="16"/>
    </w:rPr>
  </w:style>
  <w:style w:type="character" w:customStyle="1" w:styleId="DocumentMapChar">
    <w:name w:val="Document Map Char"/>
    <w:basedOn w:val="DefaultParagraphFont"/>
    <w:link w:val="DocumentMap"/>
    <w:rsid w:val="00356283"/>
    <w:rPr>
      <w:rFonts w:ascii="Tahoma" w:hAnsi="Tahoma" w:cs="Tahoma"/>
      <w:sz w:val="16"/>
      <w:szCs w:val="16"/>
      <w:lang w:eastAsia="en-US"/>
    </w:rPr>
  </w:style>
  <w:style w:type="character" w:customStyle="1" w:styleId="FooterChar">
    <w:name w:val="Footer Char"/>
    <w:basedOn w:val="DefaultParagraphFont"/>
    <w:link w:val="Footer"/>
    <w:uiPriority w:val="99"/>
    <w:rsid w:val="00356283"/>
    <w:rPr>
      <w:sz w:val="24"/>
      <w:lang w:eastAsia="en-US"/>
    </w:rPr>
  </w:style>
  <w:style w:type="character" w:customStyle="1" w:styleId="HeaderChar">
    <w:name w:val="Header Char"/>
    <w:basedOn w:val="DefaultParagraphFont"/>
    <w:link w:val="Header"/>
    <w:uiPriority w:val="99"/>
    <w:rsid w:val="00356283"/>
    <w:rPr>
      <w:sz w:val="24"/>
      <w:lang w:eastAsia="en-US"/>
    </w:rPr>
  </w:style>
</w:styles>
</file>

<file path=word/webSettings.xml><?xml version="1.0" encoding="utf-8"?>
<w:webSettings xmlns:r="http://schemas.openxmlformats.org/officeDocument/2006/relationships" xmlns:w="http://schemas.openxmlformats.org/wordprocessingml/2006/main">
  <w:divs>
    <w:div w:id="716508189">
      <w:bodyDiv w:val="1"/>
      <w:marLeft w:val="0"/>
      <w:marRight w:val="0"/>
      <w:marTop w:val="0"/>
      <w:marBottom w:val="0"/>
      <w:divBdr>
        <w:top w:val="none" w:sz="0" w:space="0" w:color="auto"/>
        <w:left w:val="none" w:sz="0" w:space="0" w:color="auto"/>
        <w:bottom w:val="none" w:sz="0" w:space="0" w:color="auto"/>
        <w:right w:val="none" w:sz="0" w:space="0" w:color="auto"/>
      </w:divBdr>
      <w:divsChild>
        <w:div w:id="1221283800">
          <w:marLeft w:val="0"/>
          <w:marRight w:val="0"/>
          <w:marTop w:val="0"/>
          <w:marBottom w:val="0"/>
          <w:divBdr>
            <w:top w:val="none" w:sz="0" w:space="0" w:color="auto"/>
            <w:left w:val="none" w:sz="0" w:space="0" w:color="auto"/>
            <w:bottom w:val="none" w:sz="0" w:space="0" w:color="auto"/>
            <w:right w:val="none" w:sz="0" w:space="0" w:color="auto"/>
          </w:divBdr>
          <w:divsChild>
            <w:div w:id="88624979">
              <w:marLeft w:val="0"/>
              <w:marRight w:val="0"/>
              <w:marTop w:val="0"/>
              <w:marBottom w:val="0"/>
              <w:divBdr>
                <w:top w:val="none" w:sz="0" w:space="0" w:color="auto"/>
                <w:left w:val="none" w:sz="0" w:space="0" w:color="auto"/>
                <w:bottom w:val="none" w:sz="0" w:space="0" w:color="auto"/>
                <w:right w:val="none" w:sz="0" w:space="0" w:color="auto"/>
              </w:divBdr>
            </w:div>
            <w:div w:id="642000221">
              <w:marLeft w:val="0"/>
              <w:marRight w:val="0"/>
              <w:marTop w:val="0"/>
              <w:marBottom w:val="0"/>
              <w:divBdr>
                <w:top w:val="none" w:sz="0" w:space="0" w:color="auto"/>
                <w:left w:val="none" w:sz="0" w:space="0" w:color="auto"/>
                <w:bottom w:val="none" w:sz="0" w:space="0" w:color="auto"/>
                <w:right w:val="none" w:sz="0" w:space="0" w:color="auto"/>
              </w:divBdr>
            </w:div>
            <w:div w:id="1196769457">
              <w:marLeft w:val="0"/>
              <w:marRight w:val="0"/>
              <w:marTop w:val="0"/>
              <w:marBottom w:val="0"/>
              <w:divBdr>
                <w:top w:val="none" w:sz="0" w:space="0" w:color="auto"/>
                <w:left w:val="none" w:sz="0" w:space="0" w:color="auto"/>
                <w:bottom w:val="none" w:sz="0" w:space="0" w:color="auto"/>
                <w:right w:val="none" w:sz="0" w:space="0" w:color="auto"/>
              </w:divBdr>
            </w:div>
            <w:div w:id="1441798861">
              <w:marLeft w:val="0"/>
              <w:marRight w:val="0"/>
              <w:marTop w:val="0"/>
              <w:marBottom w:val="0"/>
              <w:divBdr>
                <w:top w:val="none" w:sz="0" w:space="0" w:color="auto"/>
                <w:left w:val="none" w:sz="0" w:space="0" w:color="auto"/>
                <w:bottom w:val="none" w:sz="0" w:space="0" w:color="auto"/>
                <w:right w:val="none" w:sz="0" w:space="0" w:color="auto"/>
              </w:divBdr>
            </w:div>
            <w:div w:id="18829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6078">
      <w:bodyDiv w:val="1"/>
      <w:marLeft w:val="0"/>
      <w:marRight w:val="0"/>
      <w:marTop w:val="0"/>
      <w:marBottom w:val="0"/>
      <w:divBdr>
        <w:top w:val="none" w:sz="0" w:space="0" w:color="auto"/>
        <w:left w:val="none" w:sz="0" w:space="0" w:color="auto"/>
        <w:bottom w:val="none" w:sz="0" w:space="0" w:color="auto"/>
        <w:right w:val="none" w:sz="0" w:space="0" w:color="auto"/>
      </w:divBdr>
      <w:divsChild>
        <w:div w:id="989023214">
          <w:marLeft w:val="0"/>
          <w:marRight w:val="0"/>
          <w:marTop w:val="0"/>
          <w:marBottom w:val="0"/>
          <w:divBdr>
            <w:top w:val="none" w:sz="0" w:space="0" w:color="auto"/>
            <w:left w:val="none" w:sz="0" w:space="0" w:color="auto"/>
            <w:bottom w:val="none" w:sz="0" w:space="0" w:color="auto"/>
            <w:right w:val="none" w:sz="0" w:space="0" w:color="auto"/>
          </w:divBdr>
          <w:divsChild>
            <w:div w:id="605583226">
              <w:marLeft w:val="0"/>
              <w:marRight w:val="0"/>
              <w:marTop w:val="0"/>
              <w:marBottom w:val="0"/>
              <w:divBdr>
                <w:top w:val="none" w:sz="0" w:space="0" w:color="auto"/>
                <w:left w:val="none" w:sz="0" w:space="0" w:color="auto"/>
                <w:bottom w:val="none" w:sz="0" w:space="0" w:color="auto"/>
                <w:right w:val="none" w:sz="0" w:space="0" w:color="auto"/>
              </w:divBdr>
            </w:div>
            <w:div w:id="18387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fi.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vid@davidlascelle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Professional Services</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Colin Mayes</dc:creator>
  <cp:lastModifiedBy>shelly</cp:lastModifiedBy>
  <cp:revision>2</cp:revision>
  <cp:lastPrinted>2013-06-21T16:01:00Z</cp:lastPrinted>
  <dcterms:created xsi:type="dcterms:W3CDTF">2013-07-08T14:28:00Z</dcterms:created>
  <dcterms:modified xsi:type="dcterms:W3CDTF">2013-07-08T14:28:00Z</dcterms:modified>
</cp:coreProperties>
</file>