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97" w:rsidRDefault="00FB3850">
      <w:pPr>
        <w:tabs>
          <w:tab w:val="center" w:pos="4536"/>
        </w:tabs>
      </w:pPr>
      <w:r>
        <w:rPr>
          <w:noProof/>
          <w:lang w:val="en-US"/>
        </w:rPr>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w:r>
    </w:p>
    <w:p w:rsidR="00071D97" w:rsidRDefault="00AE55E5">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tblPr>
      <w:tblGrid>
        <w:gridCol w:w="2268"/>
        <w:gridCol w:w="4645"/>
      </w:tblGrid>
      <w:tr w:rsidR="00071D97">
        <w:tc>
          <w:tcPr>
            <w:tcW w:w="2268" w:type="dxa"/>
            <w:shd w:val="clear" w:color="auto" w:fill="auto"/>
          </w:tcPr>
          <w:p w:rsidR="00071D97" w:rsidRDefault="00AE55E5">
            <w:pPr>
              <w:rPr>
                <w:i/>
              </w:rPr>
            </w:pPr>
            <w:r>
              <w:rPr>
                <w:i/>
              </w:rPr>
              <w:t>Date</w:t>
            </w:r>
          </w:p>
        </w:tc>
        <w:tc>
          <w:tcPr>
            <w:tcW w:w="4645" w:type="dxa"/>
            <w:shd w:val="clear" w:color="auto" w:fill="auto"/>
          </w:tcPr>
          <w:p w:rsidR="00071D97" w:rsidRDefault="00164E96">
            <w:r>
              <w:t>Embargoed until 00:01</w:t>
            </w:r>
            <w:r w:rsidR="007D03D1">
              <w:t xml:space="preserve"> UK time on</w:t>
            </w:r>
            <w:bookmarkStart w:id="0" w:name="_GoBack"/>
            <w:bookmarkEnd w:id="0"/>
            <w:r>
              <w:t xml:space="preserve"> Monday 1 July </w:t>
            </w:r>
            <w:r w:rsidR="007417D0">
              <w:t>2013</w:t>
            </w:r>
          </w:p>
          <w:p w:rsidR="00071D97" w:rsidRDefault="00071D97"/>
        </w:tc>
      </w:tr>
      <w:tr w:rsidR="00071D97" w:rsidRPr="002F33B2">
        <w:tc>
          <w:tcPr>
            <w:tcW w:w="2268" w:type="dxa"/>
            <w:shd w:val="clear" w:color="auto" w:fill="auto"/>
          </w:tcPr>
          <w:p w:rsidR="00071D97" w:rsidRDefault="00AE55E5">
            <w:pPr>
              <w:contextualSpacing/>
              <w:rPr>
                <w:i/>
              </w:rPr>
            </w:pPr>
            <w:r>
              <w:rPr>
                <w:i/>
              </w:rPr>
              <w:t>Contact</w:t>
            </w:r>
          </w:p>
        </w:tc>
        <w:tc>
          <w:tcPr>
            <w:tcW w:w="4645" w:type="dxa"/>
            <w:shd w:val="clear" w:color="auto" w:fill="auto"/>
          </w:tcPr>
          <w:p w:rsidR="00071D97" w:rsidRDefault="00AE55E5">
            <w:pPr>
              <w:pStyle w:val="Header"/>
              <w:tabs>
                <w:tab w:val="left" w:pos="1440"/>
              </w:tabs>
              <w:ind w:left="1440" w:hanging="1440"/>
              <w:contextualSpacing/>
              <w:rPr>
                <w:rFonts w:cs="Arial"/>
                <w:bCs/>
                <w:lang w:val="it-IT"/>
              </w:rPr>
            </w:pPr>
            <w:r>
              <w:rPr>
                <w:rFonts w:cs="Arial"/>
                <w:bCs/>
                <w:lang w:val="it-IT"/>
              </w:rPr>
              <w:t>Stephanie Howel, media relations, PwC</w:t>
            </w:r>
          </w:p>
          <w:p w:rsidR="00071D97" w:rsidRDefault="00AE55E5">
            <w:pPr>
              <w:pStyle w:val="Header"/>
              <w:tabs>
                <w:tab w:val="left" w:pos="1440"/>
              </w:tabs>
              <w:ind w:left="1440" w:hanging="1440"/>
              <w:contextualSpacing/>
              <w:rPr>
                <w:rFonts w:cs="Arial"/>
                <w:bCs/>
                <w:lang w:val="it-IT"/>
              </w:rPr>
            </w:pPr>
            <w:r>
              <w:rPr>
                <w:rFonts w:cs="Arial"/>
                <w:bCs/>
                <w:lang w:val="it-IT"/>
              </w:rPr>
              <w:t xml:space="preserve">Tel: </w:t>
            </w:r>
            <w:r w:rsidR="002F33B2">
              <w:rPr>
                <w:rFonts w:cs="Arial"/>
                <w:bCs/>
                <w:lang w:val="it-IT"/>
              </w:rPr>
              <w:t xml:space="preserve">+44 </w:t>
            </w:r>
            <w:r>
              <w:rPr>
                <w:rFonts w:cs="Arial"/>
                <w:bCs/>
                <w:lang w:val="it-IT"/>
              </w:rPr>
              <w:t>7734 456098</w:t>
            </w:r>
          </w:p>
          <w:p w:rsidR="00071D97" w:rsidRPr="002F33B2" w:rsidRDefault="00AE55E5" w:rsidP="00A52895">
            <w:pPr>
              <w:pStyle w:val="Header"/>
              <w:tabs>
                <w:tab w:val="left" w:pos="1440"/>
              </w:tabs>
              <w:ind w:left="1440" w:hanging="1440"/>
              <w:contextualSpacing/>
              <w:rPr>
                <w:lang w:val="de-DE"/>
              </w:rPr>
            </w:pPr>
            <w:r>
              <w:rPr>
                <w:rFonts w:cs="Arial"/>
                <w:bCs/>
                <w:lang w:val="it-IT"/>
              </w:rPr>
              <w:t xml:space="preserve">e-mail: </w:t>
            </w:r>
            <w:hyperlink r:id="rId8" w:history="1">
              <w:r>
                <w:rPr>
                  <w:rStyle w:val="Hyperlink"/>
                  <w:rFonts w:cs="Arial"/>
                  <w:bCs/>
                  <w:lang w:val="it-IT"/>
                </w:rPr>
                <w:t>stephanie.howel@uk.pwc.com</w:t>
              </w:r>
            </w:hyperlink>
          </w:p>
          <w:p w:rsidR="00A52895" w:rsidRPr="00A52895" w:rsidRDefault="00A52895" w:rsidP="00A52895">
            <w:pPr>
              <w:pStyle w:val="Header"/>
              <w:tabs>
                <w:tab w:val="left" w:pos="1440"/>
              </w:tabs>
              <w:ind w:left="1440" w:hanging="1440"/>
              <w:contextualSpacing/>
              <w:rPr>
                <w:rFonts w:cs="Arial"/>
                <w:bCs/>
                <w:lang w:val="it-IT"/>
              </w:rPr>
            </w:pPr>
          </w:p>
        </w:tc>
      </w:tr>
      <w:tr w:rsidR="00071D97">
        <w:tc>
          <w:tcPr>
            <w:tcW w:w="2268" w:type="dxa"/>
            <w:shd w:val="clear" w:color="auto" w:fill="auto"/>
          </w:tcPr>
          <w:p w:rsidR="00071D97" w:rsidRDefault="00546A25">
            <w:pPr>
              <w:rPr>
                <w:i/>
              </w:rPr>
            </w:pPr>
            <w:r w:rsidRPr="00FB3850">
              <w:rPr>
                <w:rFonts w:ascii="Arial" w:hAnsi="Arial"/>
                <w:noProof/>
                <w:sz w:val="24"/>
                <w:lang w:val="en-US"/>
              </w:rPr>
              <w:pict>
                <v:line id="Line 3" o:spid="_x0000_s1027" style="position:absolute;z-index:251660288;visibility:visible;mso-position-horizontal-relative:page;mso-position-vertical-relative:page" from="7.4pt,22.25pt" to="462.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" strokecolor="#e36c0a [2409]">
                  <w10:wrap anchorx="page" anchory="page"/>
                </v:line>
              </w:pict>
            </w:r>
            <w:r w:rsidR="00AE55E5">
              <w:rPr>
                <w:i/>
              </w:rPr>
              <w:t xml:space="preserve">Pages </w:t>
            </w:r>
          </w:p>
        </w:tc>
        <w:tc>
          <w:tcPr>
            <w:tcW w:w="4645" w:type="dxa"/>
            <w:shd w:val="clear" w:color="auto" w:fill="auto"/>
          </w:tcPr>
          <w:p w:rsidR="00071D97" w:rsidRDefault="00195895">
            <w:r>
              <w:t>2</w:t>
            </w:r>
          </w:p>
          <w:p w:rsidR="00546A25" w:rsidRDefault="00546A25"/>
        </w:tc>
      </w:tr>
    </w:tbl>
    <w:p w:rsidR="00071D97" w:rsidRDefault="00AE55E5" w:rsidP="00546A25">
      <w:pPr>
        <w:rPr>
          <w:rFonts w:cs="Arial"/>
          <w:b/>
          <w:i/>
          <w:iCs/>
        </w:rPr>
      </w:pPr>
      <w:r>
        <w:rPr>
          <w:rFonts w:cs="Arial"/>
          <w:b/>
          <w:i/>
          <w:iCs/>
        </w:rPr>
        <w:br w:type="textWrapping" w:clear="all"/>
      </w:r>
    </w:p>
    <w:p w:rsidR="00071D97" w:rsidRPr="007417D0" w:rsidRDefault="00071D97" w:rsidP="00546A25">
      <w:pPr>
        <w:pStyle w:val="Heading"/>
        <w:rPr>
          <w:rFonts w:ascii="Georgia" w:hAnsi="Georgia"/>
          <w:sz w:val="20"/>
        </w:rPr>
      </w:pPr>
    </w:p>
    <w:p w:rsidR="00125C2C" w:rsidRPr="00546A25" w:rsidRDefault="00164E96" w:rsidP="00546A25">
      <w:pPr>
        <w:autoSpaceDE w:val="0"/>
        <w:autoSpaceDN w:val="0"/>
        <w:adjustRightInd w:val="0"/>
        <w:spacing w:line="240" w:lineRule="auto"/>
        <w:jc w:val="center"/>
        <w:rPr>
          <w:b/>
          <w:sz w:val="24"/>
          <w:szCs w:val="24"/>
        </w:rPr>
      </w:pPr>
      <w:r w:rsidRPr="00546A25">
        <w:rPr>
          <w:b/>
          <w:sz w:val="24"/>
          <w:szCs w:val="24"/>
        </w:rPr>
        <w:t>Businesses are sitting on a potential €3.7 trillion of free cash</w:t>
      </w:r>
    </w:p>
    <w:p w:rsidR="00125C2C" w:rsidRDefault="00125C2C" w:rsidP="00164E96">
      <w:pPr>
        <w:autoSpaceDE w:val="0"/>
        <w:autoSpaceDN w:val="0"/>
        <w:adjustRightInd w:val="0"/>
        <w:spacing w:line="240" w:lineRule="auto"/>
        <w:rPr>
          <w:b/>
          <w:szCs w:val="20"/>
        </w:rPr>
      </w:pPr>
    </w:p>
    <w:p w:rsidR="00125C2C" w:rsidRPr="00125C2C" w:rsidRDefault="00125C2C" w:rsidP="00B769A2">
      <w:pPr>
        <w:pStyle w:val="ListParagraph"/>
        <w:numPr>
          <w:ilvl w:val="0"/>
          <w:numId w:val="4"/>
        </w:numPr>
        <w:autoSpaceDE w:val="0"/>
        <w:autoSpaceDN w:val="0"/>
        <w:adjustRightInd w:val="0"/>
        <w:spacing w:line="240" w:lineRule="auto"/>
        <w:ind w:left="426" w:hanging="426"/>
        <w:rPr>
          <w:szCs w:val="20"/>
        </w:rPr>
      </w:pPr>
      <w:r w:rsidRPr="00125C2C">
        <w:rPr>
          <w:szCs w:val="20"/>
        </w:rPr>
        <w:t>Companies struggling with levels of</w:t>
      </w:r>
      <w:r w:rsidR="00693BE0">
        <w:rPr>
          <w:szCs w:val="20"/>
        </w:rPr>
        <w:t xml:space="preserve"> working capital as they see a </w:t>
      </w:r>
      <w:r w:rsidRPr="00125C2C">
        <w:rPr>
          <w:szCs w:val="20"/>
        </w:rPr>
        <w:t>2% rise globally</w:t>
      </w:r>
      <w:r w:rsidR="00B769A2">
        <w:rPr>
          <w:szCs w:val="20"/>
        </w:rPr>
        <w:t>.</w:t>
      </w:r>
    </w:p>
    <w:p w:rsidR="00125C2C" w:rsidRPr="00125C2C" w:rsidRDefault="00125C2C" w:rsidP="00B769A2">
      <w:pPr>
        <w:pStyle w:val="ListParagraph"/>
        <w:numPr>
          <w:ilvl w:val="0"/>
          <w:numId w:val="4"/>
        </w:numPr>
        <w:autoSpaceDE w:val="0"/>
        <w:autoSpaceDN w:val="0"/>
        <w:adjustRightInd w:val="0"/>
        <w:spacing w:line="240" w:lineRule="auto"/>
        <w:ind w:left="426" w:hanging="426"/>
        <w:rPr>
          <w:szCs w:val="20"/>
        </w:rPr>
      </w:pPr>
      <w:r>
        <w:rPr>
          <w:szCs w:val="20"/>
        </w:rPr>
        <w:t>But</w:t>
      </w:r>
      <w:r w:rsidRPr="00125C2C">
        <w:rPr>
          <w:szCs w:val="20"/>
        </w:rPr>
        <w:t xml:space="preserve"> European companies showing an improving trend as correlation between working capital and GDP is found.</w:t>
      </w:r>
    </w:p>
    <w:p w:rsidR="00164E96" w:rsidRPr="00164E96" w:rsidRDefault="00164E96" w:rsidP="00164E96">
      <w:pPr>
        <w:autoSpaceDE w:val="0"/>
        <w:autoSpaceDN w:val="0"/>
        <w:adjustRightInd w:val="0"/>
        <w:spacing w:line="240" w:lineRule="auto"/>
        <w:rPr>
          <w:b/>
          <w:szCs w:val="20"/>
        </w:rPr>
      </w:pPr>
    </w:p>
    <w:p w:rsidR="005127AD" w:rsidRDefault="005127AD" w:rsidP="00164E96">
      <w:pPr>
        <w:autoSpaceDE w:val="0"/>
        <w:autoSpaceDN w:val="0"/>
        <w:adjustRightInd w:val="0"/>
        <w:spacing w:line="240" w:lineRule="auto"/>
        <w:rPr>
          <w:szCs w:val="20"/>
        </w:rPr>
      </w:pPr>
      <w:r>
        <w:rPr>
          <w:szCs w:val="20"/>
        </w:rPr>
        <w:t>Pw</w:t>
      </w:r>
      <w:r w:rsidR="00125C2C">
        <w:rPr>
          <w:szCs w:val="20"/>
        </w:rPr>
        <w:t>C’s latest analysis</w:t>
      </w:r>
      <w:r>
        <w:rPr>
          <w:szCs w:val="20"/>
        </w:rPr>
        <w:t xml:space="preserve"> has found that w</w:t>
      </w:r>
      <w:r w:rsidR="00164E96" w:rsidRPr="00164E96">
        <w:rPr>
          <w:szCs w:val="20"/>
        </w:rPr>
        <w:t>orking c</w:t>
      </w:r>
      <w:r w:rsidR="00164E96">
        <w:rPr>
          <w:szCs w:val="20"/>
        </w:rPr>
        <w:t>apital levels</w:t>
      </w:r>
      <w:r>
        <w:rPr>
          <w:szCs w:val="20"/>
        </w:rPr>
        <w:t xml:space="preserve"> have</w:t>
      </w:r>
      <w:r w:rsidR="00164E96">
        <w:rPr>
          <w:szCs w:val="20"/>
        </w:rPr>
        <w:t xml:space="preserve"> increase</w:t>
      </w:r>
      <w:r>
        <w:rPr>
          <w:szCs w:val="20"/>
        </w:rPr>
        <w:t>d by al</w:t>
      </w:r>
      <w:r w:rsidR="00125C2C">
        <w:rPr>
          <w:szCs w:val="20"/>
        </w:rPr>
        <w:t>most 2% globally year on year and that if companies</w:t>
      </w:r>
      <w:r>
        <w:rPr>
          <w:szCs w:val="20"/>
        </w:rPr>
        <w:t xml:space="preserve"> took action to handle their working capital more effectively, they could release some €3.7 trillion in cash from their businesses</w:t>
      </w:r>
      <w:r w:rsidR="00125C2C">
        <w:rPr>
          <w:szCs w:val="20"/>
        </w:rPr>
        <w:t>. This would equate</w:t>
      </w:r>
      <w:r>
        <w:rPr>
          <w:szCs w:val="20"/>
        </w:rPr>
        <w:t xml:space="preserve"> to an average</w:t>
      </w:r>
      <w:r w:rsidR="00125C2C">
        <w:rPr>
          <w:szCs w:val="20"/>
        </w:rPr>
        <w:t xml:space="preserve"> of 11% of </w:t>
      </w:r>
      <w:r w:rsidR="00B769A2">
        <w:rPr>
          <w:szCs w:val="20"/>
        </w:rPr>
        <w:t xml:space="preserve">turnover by company. </w:t>
      </w:r>
    </w:p>
    <w:p w:rsidR="005127AD" w:rsidRDefault="005127AD" w:rsidP="00164E96">
      <w:pPr>
        <w:autoSpaceDE w:val="0"/>
        <w:autoSpaceDN w:val="0"/>
        <w:adjustRightInd w:val="0"/>
        <w:spacing w:line="240" w:lineRule="auto"/>
        <w:rPr>
          <w:szCs w:val="20"/>
        </w:rPr>
      </w:pPr>
    </w:p>
    <w:p w:rsidR="005127AD" w:rsidRPr="00164E96" w:rsidRDefault="005127AD" w:rsidP="005127AD">
      <w:pPr>
        <w:autoSpaceDE w:val="0"/>
        <w:autoSpaceDN w:val="0"/>
        <w:adjustRightInd w:val="0"/>
        <w:spacing w:line="240" w:lineRule="auto"/>
        <w:rPr>
          <w:szCs w:val="20"/>
        </w:rPr>
      </w:pPr>
      <w:r w:rsidRPr="00164E96">
        <w:rPr>
          <w:szCs w:val="20"/>
        </w:rPr>
        <w:t xml:space="preserve">Robert Smid, Head of Working Capital practice, PwC said: </w:t>
      </w:r>
    </w:p>
    <w:p w:rsidR="005127AD" w:rsidRPr="00164E96" w:rsidRDefault="005127AD" w:rsidP="005127AD">
      <w:pPr>
        <w:autoSpaceDE w:val="0"/>
        <w:autoSpaceDN w:val="0"/>
        <w:adjustRightInd w:val="0"/>
        <w:spacing w:line="240" w:lineRule="auto"/>
        <w:rPr>
          <w:szCs w:val="20"/>
        </w:rPr>
      </w:pPr>
    </w:p>
    <w:p w:rsidR="005127AD" w:rsidRPr="00164E96" w:rsidRDefault="005127AD" w:rsidP="005127AD">
      <w:pPr>
        <w:autoSpaceDE w:val="0"/>
        <w:autoSpaceDN w:val="0"/>
        <w:adjustRightInd w:val="0"/>
        <w:spacing w:line="240" w:lineRule="auto"/>
        <w:ind w:left="720"/>
        <w:rPr>
          <w:rFonts w:eastAsia="ITCCharterCom-Regular" w:cs="ITCCharterCom-Regular"/>
          <w:szCs w:val="20"/>
        </w:rPr>
      </w:pPr>
      <w:r w:rsidRPr="00164E96">
        <w:rPr>
          <w:rFonts w:eastAsia="ITCCharterCom-Regular" w:cs="ITCCharterCom-Regular"/>
          <w:szCs w:val="20"/>
        </w:rPr>
        <w:t>“While the pursuit of growth remains vital for companies, working capital and cash flow management has become a primary focus. This reflects the difficult economic environment which has put companies under pressure to manage their liquid</w:t>
      </w:r>
      <w:r w:rsidR="00B759A9">
        <w:rPr>
          <w:rFonts w:eastAsia="ITCCharterCom-Regular" w:cs="ITCCharterCom-Regular"/>
          <w:szCs w:val="20"/>
        </w:rPr>
        <w:t>ity as effectively as possible.</w:t>
      </w:r>
      <w:r w:rsidR="00B769A2">
        <w:rPr>
          <w:rFonts w:eastAsia="ITCCharterCom-Regular" w:cs="ITCCharterCom-Regular"/>
          <w:szCs w:val="20"/>
        </w:rPr>
        <w:t>”</w:t>
      </w:r>
    </w:p>
    <w:p w:rsidR="005127AD" w:rsidRPr="00164E96" w:rsidRDefault="005127AD" w:rsidP="005127AD">
      <w:pPr>
        <w:autoSpaceDE w:val="0"/>
        <w:autoSpaceDN w:val="0"/>
        <w:adjustRightInd w:val="0"/>
        <w:spacing w:line="240" w:lineRule="auto"/>
        <w:ind w:left="709"/>
        <w:rPr>
          <w:rFonts w:cs="ITCCharterCom-BlackItalic"/>
          <w:iCs/>
          <w:szCs w:val="20"/>
        </w:rPr>
      </w:pPr>
    </w:p>
    <w:p w:rsidR="005127AD" w:rsidRPr="00164E96" w:rsidRDefault="005127AD" w:rsidP="005127AD">
      <w:pPr>
        <w:autoSpaceDE w:val="0"/>
        <w:autoSpaceDN w:val="0"/>
        <w:adjustRightInd w:val="0"/>
        <w:spacing w:line="240" w:lineRule="auto"/>
        <w:ind w:left="720"/>
        <w:rPr>
          <w:szCs w:val="20"/>
        </w:rPr>
      </w:pPr>
      <w:r w:rsidRPr="00164E96">
        <w:rPr>
          <w:szCs w:val="20"/>
        </w:rPr>
        <w:t>“Some businesses tried to ride out the storm, relying on the good will of suppliers and lenders, whilst others have taken the opportunity to take decisive action to reduce working capital. Those businesses that have taken short term measures to shore up their balance sheets must now explore ways of implementing sustainable changes to business practices that will make them leaner and fitter to weather this</w:t>
      </w:r>
      <w:r w:rsidR="00B759A9">
        <w:rPr>
          <w:szCs w:val="20"/>
        </w:rPr>
        <w:t xml:space="preserve"> ongoing period of uncertainty.</w:t>
      </w:r>
      <w:r w:rsidR="00B769A2">
        <w:rPr>
          <w:szCs w:val="20"/>
        </w:rPr>
        <w:t>”</w:t>
      </w:r>
    </w:p>
    <w:p w:rsidR="005127AD" w:rsidRPr="00164E96" w:rsidRDefault="005127AD" w:rsidP="005127AD">
      <w:pPr>
        <w:autoSpaceDE w:val="0"/>
        <w:autoSpaceDN w:val="0"/>
        <w:adjustRightInd w:val="0"/>
        <w:spacing w:line="240" w:lineRule="auto"/>
        <w:ind w:left="709"/>
        <w:rPr>
          <w:rFonts w:cs="ITCCharterCom-BlackItalic"/>
          <w:iCs/>
          <w:szCs w:val="20"/>
        </w:rPr>
      </w:pPr>
    </w:p>
    <w:p w:rsidR="005127AD" w:rsidRPr="00164E96" w:rsidRDefault="005127AD" w:rsidP="005127AD">
      <w:pPr>
        <w:autoSpaceDE w:val="0"/>
        <w:autoSpaceDN w:val="0"/>
        <w:adjustRightInd w:val="0"/>
        <w:spacing w:line="240" w:lineRule="auto"/>
        <w:ind w:left="709"/>
        <w:rPr>
          <w:rFonts w:cs="ITCCharterCom-BlackItalic"/>
          <w:iCs/>
          <w:szCs w:val="20"/>
        </w:rPr>
      </w:pPr>
      <w:r w:rsidRPr="00164E96">
        <w:rPr>
          <w:rFonts w:cs="ITCCharterCom-BlackItalic"/>
          <w:iCs/>
          <w:szCs w:val="20"/>
        </w:rPr>
        <w:t xml:space="preserve">“If companies </w:t>
      </w:r>
      <w:r w:rsidR="00125C2C">
        <w:rPr>
          <w:rFonts w:cs="ITCCharterCom-BlackItalic"/>
          <w:iCs/>
          <w:szCs w:val="20"/>
        </w:rPr>
        <w:t>can take this approach</w:t>
      </w:r>
      <w:r w:rsidRPr="00164E96">
        <w:rPr>
          <w:rFonts w:cs="ITCCharterCom-BlackItalic"/>
          <w:iCs/>
          <w:szCs w:val="20"/>
        </w:rPr>
        <w:t xml:space="preserve">, a staggering €3.7 trillion of cash from working capital could be released globally. European companies could release a total of </w:t>
      </w:r>
      <w:r w:rsidRPr="00164E96">
        <w:rPr>
          <w:rFonts w:eastAsia="ITCCharterCom-Regular" w:cs="ITCCharterCom-Regular"/>
          <w:szCs w:val="20"/>
        </w:rPr>
        <w:t>€</w:t>
      </w:r>
      <w:r w:rsidRPr="00164E96">
        <w:rPr>
          <w:rFonts w:cs="ITCCharterCom-BlackItalic"/>
          <w:iCs/>
          <w:szCs w:val="20"/>
        </w:rPr>
        <w:t xml:space="preserve">997 billion or </w:t>
      </w:r>
      <w:r w:rsidRPr="00164E96">
        <w:rPr>
          <w:rFonts w:eastAsia="ITCCharterCom-Regular" w:cs="ITCCharterCom-Regular"/>
          <w:szCs w:val="20"/>
        </w:rPr>
        <w:t>€</w:t>
      </w:r>
      <w:r w:rsidRPr="00164E96">
        <w:rPr>
          <w:rFonts w:cs="ITCCharterCom-BlackItalic"/>
          <w:iCs/>
          <w:szCs w:val="20"/>
        </w:rPr>
        <w:t xml:space="preserve">370 million on average by company. For the Americas this equates to </w:t>
      </w:r>
      <w:r w:rsidRPr="00164E96">
        <w:rPr>
          <w:rFonts w:eastAsia="ITCCharterCom-Regular" w:cs="ITCCharterCom-Regular"/>
          <w:szCs w:val="20"/>
        </w:rPr>
        <w:t>€</w:t>
      </w:r>
      <w:r w:rsidRPr="00164E96">
        <w:rPr>
          <w:rFonts w:cs="ITCCharterCom-BlackItalic"/>
          <w:iCs/>
          <w:szCs w:val="20"/>
        </w:rPr>
        <w:t xml:space="preserve">1,248 billion and </w:t>
      </w:r>
      <w:r w:rsidRPr="00164E96">
        <w:rPr>
          <w:rFonts w:eastAsia="ITCCharterCom-Regular" w:cs="ITCCharterCom-Regular"/>
          <w:szCs w:val="20"/>
        </w:rPr>
        <w:t>€</w:t>
      </w:r>
      <w:r w:rsidRPr="00164E96">
        <w:rPr>
          <w:rFonts w:cs="ITCCharterCom-BlackItalic"/>
          <w:iCs/>
          <w:szCs w:val="20"/>
        </w:rPr>
        <w:t xml:space="preserve">300 million respectively. For </w:t>
      </w:r>
      <w:r w:rsidRPr="00164E96">
        <w:rPr>
          <w:rFonts w:eastAsia="ITCCharterCom-Regular" w:cs="ITCCharterCom-Regular"/>
          <w:szCs w:val="20"/>
        </w:rPr>
        <w:t xml:space="preserve">African, Asian and Australasian </w:t>
      </w:r>
      <w:r w:rsidRPr="00164E96">
        <w:rPr>
          <w:rFonts w:cs="ITCCharterCom-BlackItalic"/>
          <w:iCs/>
          <w:szCs w:val="20"/>
        </w:rPr>
        <w:t xml:space="preserve">companies the numbers are </w:t>
      </w:r>
      <w:r w:rsidRPr="00164E96">
        <w:rPr>
          <w:rFonts w:eastAsia="ITCCharterCom-Regular" w:cs="ITCCharterCom-Regular"/>
          <w:szCs w:val="20"/>
        </w:rPr>
        <w:t>€</w:t>
      </w:r>
      <w:r w:rsidRPr="00164E96">
        <w:rPr>
          <w:rFonts w:cs="ITCCharterCom-BlackItalic"/>
          <w:iCs/>
          <w:szCs w:val="20"/>
        </w:rPr>
        <w:t xml:space="preserve">1,511 billion in total and </w:t>
      </w:r>
      <w:r w:rsidRPr="00164E96">
        <w:rPr>
          <w:rFonts w:eastAsia="ITCCharterCom-Regular" w:cs="ITCCharterCom-Regular"/>
          <w:szCs w:val="20"/>
        </w:rPr>
        <w:t>€</w:t>
      </w:r>
      <w:r w:rsidR="00B769A2">
        <w:rPr>
          <w:rFonts w:cs="ITCCharterCom-BlackItalic"/>
          <w:iCs/>
          <w:szCs w:val="20"/>
        </w:rPr>
        <w:t>170 million on average.”</w:t>
      </w:r>
    </w:p>
    <w:p w:rsidR="005127AD" w:rsidRDefault="005127AD" w:rsidP="00164E96">
      <w:pPr>
        <w:autoSpaceDE w:val="0"/>
        <w:autoSpaceDN w:val="0"/>
        <w:adjustRightInd w:val="0"/>
        <w:spacing w:line="240" w:lineRule="auto"/>
        <w:rPr>
          <w:szCs w:val="20"/>
        </w:rPr>
      </w:pPr>
    </w:p>
    <w:p w:rsidR="005127AD" w:rsidRDefault="005127AD" w:rsidP="00164E96">
      <w:pPr>
        <w:autoSpaceDE w:val="0"/>
        <w:autoSpaceDN w:val="0"/>
        <w:adjustRightInd w:val="0"/>
        <w:spacing w:line="240" w:lineRule="auto"/>
        <w:rPr>
          <w:rFonts w:cs="ITCCharterCom-BlackItalic"/>
          <w:iCs/>
          <w:szCs w:val="20"/>
        </w:rPr>
      </w:pPr>
      <w:r>
        <w:rPr>
          <w:szCs w:val="20"/>
        </w:rPr>
        <w:t xml:space="preserve">The </w:t>
      </w:r>
      <w:r w:rsidR="00125C2C">
        <w:rPr>
          <w:szCs w:val="20"/>
        </w:rPr>
        <w:t xml:space="preserve">PwC working capital </w:t>
      </w:r>
      <w:r>
        <w:rPr>
          <w:szCs w:val="20"/>
        </w:rPr>
        <w:t>survey, which analyses the accounts of 15,763 publicly listed companies across the world,</w:t>
      </w:r>
      <w:r w:rsidR="00125C2C">
        <w:rPr>
          <w:szCs w:val="20"/>
        </w:rPr>
        <w:t xml:space="preserve"> also</w:t>
      </w:r>
      <w:r>
        <w:rPr>
          <w:szCs w:val="20"/>
        </w:rPr>
        <w:t xml:space="preserve"> found that </w:t>
      </w:r>
      <w:r w:rsidR="00164E96" w:rsidRPr="00164E96">
        <w:rPr>
          <w:rFonts w:cs="ITCCharterCom-BlackItalic"/>
          <w:iCs/>
          <w:szCs w:val="20"/>
        </w:rPr>
        <w:t xml:space="preserve">13 out of 21 country clusters have actually shown a reduction in working capital levels. </w:t>
      </w:r>
      <w:r>
        <w:rPr>
          <w:rFonts w:cs="ITCCharterCom-BlackItalic"/>
          <w:iCs/>
          <w:szCs w:val="20"/>
        </w:rPr>
        <w:t>European companies are showing an improving trend which highlights a correlation between GDP and working capital.</w:t>
      </w:r>
    </w:p>
    <w:p w:rsidR="005127AD" w:rsidRDefault="005127AD" w:rsidP="00164E96">
      <w:pPr>
        <w:autoSpaceDE w:val="0"/>
        <w:autoSpaceDN w:val="0"/>
        <w:adjustRightInd w:val="0"/>
        <w:spacing w:line="240" w:lineRule="auto"/>
        <w:rPr>
          <w:rFonts w:cs="ITCCharterCom-BlackItalic"/>
          <w:iCs/>
          <w:szCs w:val="20"/>
        </w:rPr>
      </w:pPr>
    </w:p>
    <w:p w:rsidR="00164E96" w:rsidRPr="00164E96" w:rsidRDefault="00164E96" w:rsidP="00164E96">
      <w:pPr>
        <w:autoSpaceDE w:val="0"/>
        <w:autoSpaceDN w:val="0"/>
        <w:adjustRightInd w:val="0"/>
        <w:spacing w:line="240" w:lineRule="auto"/>
        <w:rPr>
          <w:rFonts w:eastAsia="ITCCharterCom-Regular" w:cs="ITCCharterCom-Regular"/>
          <w:szCs w:val="20"/>
        </w:rPr>
      </w:pPr>
      <w:r w:rsidRPr="00164E96">
        <w:rPr>
          <w:rFonts w:eastAsia="ITCCharterCom-Regular" w:cs="ITCCharterCom-Regular"/>
          <w:szCs w:val="20"/>
        </w:rPr>
        <w:t>Andrew Sentance, Senior Economic Adviser, PwC said:</w:t>
      </w:r>
    </w:p>
    <w:p w:rsidR="00164E96" w:rsidRPr="00164E96" w:rsidRDefault="00164E96" w:rsidP="00164E96">
      <w:pPr>
        <w:autoSpaceDE w:val="0"/>
        <w:autoSpaceDN w:val="0"/>
        <w:adjustRightInd w:val="0"/>
        <w:spacing w:line="240" w:lineRule="auto"/>
        <w:rPr>
          <w:rFonts w:eastAsia="ITCCharterCom-Regular" w:cs="ITCCharterCom-Regular"/>
          <w:szCs w:val="20"/>
        </w:rPr>
      </w:pPr>
    </w:p>
    <w:p w:rsidR="00164E96" w:rsidRPr="00164E96" w:rsidRDefault="00164E96" w:rsidP="00164E96">
      <w:pPr>
        <w:autoSpaceDE w:val="0"/>
        <w:autoSpaceDN w:val="0"/>
        <w:adjustRightInd w:val="0"/>
        <w:spacing w:line="240" w:lineRule="auto"/>
        <w:ind w:left="720"/>
        <w:rPr>
          <w:rFonts w:cs="ITCCharterCom-BlackItalic"/>
          <w:iCs/>
          <w:szCs w:val="20"/>
        </w:rPr>
      </w:pPr>
      <w:r w:rsidRPr="00164E96">
        <w:rPr>
          <w:rFonts w:cs="ITCCharterCom-BlackItalic"/>
          <w:iCs/>
          <w:szCs w:val="20"/>
        </w:rPr>
        <w:t xml:space="preserve">“Whilst </w:t>
      </w:r>
      <w:r w:rsidR="00B759A9">
        <w:rPr>
          <w:rFonts w:cs="ITCCharterCom-BlackItalic"/>
          <w:iCs/>
          <w:szCs w:val="20"/>
        </w:rPr>
        <w:t>American and Asian companies have seen</w:t>
      </w:r>
      <w:r w:rsidRPr="00164E96">
        <w:rPr>
          <w:rFonts w:cs="ITCCharterCom-BlackItalic"/>
          <w:iCs/>
          <w:szCs w:val="20"/>
        </w:rPr>
        <w:t xml:space="preserve"> their wor</w:t>
      </w:r>
      <w:r w:rsidR="005127AD">
        <w:rPr>
          <w:rFonts w:cs="ITCCharterCom-BlackItalic"/>
          <w:iCs/>
          <w:szCs w:val="20"/>
        </w:rPr>
        <w:t>king capital increase</w:t>
      </w:r>
      <w:r w:rsidRPr="00164E96">
        <w:rPr>
          <w:rFonts w:cs="ITCCharterCom-BlackItalic"/>
          <w:iCs/>
          <w:szCs w:val="20"/>
        </w:rPr>
        <w:t xml:space="preserve">, European countries have shown an improving trend. This highlights the correlation between GDP and </w:t>
      </w:r>
      <w:r w:rsidRPr="00164E96">
        <w:rPr>
          <w:rFonts w:cs="ITCCharterCom-BlackItalic"/>
          <w:iCs/>
          <w:szCs w:val="20"/>
        </w:rPr>
        <w:lastRenderedPageBreak/>
        <w:t>working capital; countries experiencing the highest increases in GDP have also seen the gr</w:t>
      </w:r>
      <w:r w:rsidR="00B759A9">
        <w:rPr>
          <w:rFonts w:cs="ITCCharterCom-BlackItalic"/>
          <w:iCs/>
          <w:szCs w:val="20"/>
        </w:rPr>
        <w:t xml:space="preserve">eatest increases </w:t>
      </w:r>
      <w:r w:rsidRPr="00164E96">
        <w:rPr>
          <w:rFonts w:cs="ITCCharterCom-BlackItalic"/>
          <w:iCs/>
          <w:szCs w:val="20"/>
        </w:rPr>
        <w:t xml:space="preserve"> in working capital.”</w:t>
      </w:r>
    </w:p>
    <w:p w:rsidR="00164E96" w:rsidRPr="00164E96" w:rsidRDefault="00164E96" w:rsidP="00164E96">
      <w:pPr>
        <w:autoSpaceDE w:val="0"/>
        <w:autoSpaceDN w:val="0"/>
        <w:adjustRightInd w:val="0"/>
        <w:spacing w:line="240" w:lineRule="auto"/>
        <w:ind w:left="720"/>
        <w:rPr>
          <w:rFonts w:eastAsia="ITCCharterCom-Regular" w:cs="ITCCharterCom-Regular"/>
          <w:szCs w:val="20"/>
        </w:rPr>
      </w:pPr>
    </w:p>
    <w:p w:rsidR="00164E96" w:rsidRPr="00164E96" w:rsidRDefault="00164E96" w:rsidP="00164E96">
      <w:pPr>
        <w:autoSpaceDE w:val="0"/>
        <w:autoSpaceDN w:val="0"/>
        <w:adjustRightInd w:val="0"/>
        <w:spacing w:line="240" w:lineRule="auto"/>
        <w:ind w:left="720"/>
        <w:rPr>
          <w:rFonts w:eastAsia="ITCCharterCom-Regular" w:cs="ITCCharterCom-Regular"/>
          <w:szCs w:val="20"/>
        </w:rPr>
      </w:pPr>
      <w:r w:rsidRPr="00164E96">
        <w:rPr>
          <w:rFonts w:eastAsia="ITCCharterCom-Regular" w:cs="ITCCharterCom-Regular"/>
          <w:szCs w:val="20"/>
        </w:rPr>
        <w:t>“With availability of debt funding still tight and banks under continual pressure to protect their assets, it is likely that funding will continue to be difficult to obtain for the foreseeable future. Relatively low growth and economic volatility are also likely to persist through the mid- 2010s. This highlights the need for working capital management to remain high on the corporate agenda, so that companies can tap the cheapest source of cash.”</w:t>
      </w:r>
    </w:p>
    <w:p w:rsidR="00164E96" w:rsidRPr="00164E96" w:rsidRDefault="00164E96" w:rsidP="00164E96">
      <w:pPr>
        <w:autoSpaceDE w:val="0"/>
        <w:autoSpaceDN w:val="0"/>
        <w:adjustRightInd w:val="0"/>
        <w:spacing w:line="240" w:lineRule="auto"/>
        <w:rPr>
          <w:rFonts w:cs="ITCCharterCom-BlackItalic"/>
          <w:iCs/>
          <w:szCs w:val="20"/>
        </w:rPr>
      </w:pPr>
    </w:p>
    <w:p w:rsidR="00164E96" w:rsidRPr="00164E96" w:rsidRDefault="00125C2C" w:rsidP="00164E96">
      <w:pPr>
        <w:autoSpaceDE w:val="0"/>
        <w:autoSpaceDN w:val="0"/>
        <w:adjustRightInd w:val="0"/>
        <w:spacing w:line="240" w:lineRule="auto"/>
        <w:rPr>
          <w:rFonts w:eastAsia="ITCCharterCom-Regular" w:cs="ITCCharterCom-Regular"/>
          <w:szCs w:val="20"/>
        </w:rPr>
      </w:pPr>
      <w:r>
        <w:rPr>
          <w:rFonts w:eastAsia="ITCCharterCom-Regular" w:cs="ITCCharterCom-Regular"/>
          <w:szCs w:val="20"/>
        </w:rPr>
        <w:t>The survey also</w:t>
      </w:r>
      <w:r w:rsidR="00164E96" w:rsidRPr="00164E96">
        <w:rPr>
          <w:rFonts w:eastAsia="ITCCharterCom-Regular" w:cs="ITCCharterCom-Regular"/>
          <w:szCs w:val="20"/>
        </w:rPr>
        <w:t xml:space="preserve"> found that globally the highest levels of working capital are seen in Pharmaceuticals and Manufacturing, driven by both high levels of inventory and debtors. At the other end of the scale, Retail, Telecoms and Oil and Gas show the lowest levels of working capital. </w:t>
      </w:r>
    </w:p>
    <w:p w:rsidR="00164E96" w:rsidRPr="003F1EB9" w:rsidRDefault="00164E96" w:rsidP="00164E96">
      <w:pPr>
        <w:autoSpaceDE w:val="0"/>
        <w:autoSpaceDN w:val="0"/>
        <w:adjustRightInd w:val="0"/>
        <w:spacing w:line="240" w:lineRule="auto"/>
        <w:rPr>
          <w:rFonts w:eastAsia="ITCCharterCom-Regular" w:cs="ITCCharterCom-Regular"/>
          <w:sz w:val="22"/>
          <w:szCs w:val="24"/>
        </w:rPr>
      </w:pPr>
    </w:p>
    <w:p w:rsidR="00164E96" w:rsidRPr="00164E96" w:rsidRDefault="00164E96" w:rsidP="00164E96">
      <w:pPr>
        <w:autoSpaceDE w:val="0"/>
        <w:autoSpaceDN w:val="0"/>
        <w:adjustRightInd w:val="0"/>
        <w:spacing w:line="240" w:lineRule="auto"/>
        <w:rPr>
          <w:rFonts w:eastAsia="ITCCharterCom-Regular" w:cs="ITCCharterCom-Regular"/>
          <w:b/>
          <w:sz w:val="22"/>
          <w:szCs w:val="24"/>
        </w:rPr>
      </w:pPr>
      <w:r w:rsidRPr="00164E96">
        <w:rPr>
          <w:rFonts w:eastAsia="ITCCharterCom-Regular" w:cs="ITCCharterCom-Regular"/>
          <w:b/>
          <w:sz w:val="22"/>
          <w:szCs w:val="24"/>
        </w:rPr>
        <w:t>ENDS</w:t>
      </w:r>
    </w:p>
    <w:p w:rsidR="00071D97" w:rsidRPr="007417D0" w:rsidRDefault="00071D97">
      <w:pPr>
        <w:autoSpaceDE w:val="0"/>
        <w:autoSpaceDN w:val="0"/>
        <w:adjustRightInd w:val="0"/>
        <w:spacing w:line="240" w:lineRule="auto"/>
        <w:rPr>
          <w:rFonts w:cs="Georgia"/>
          <w:color w:val="000000"/>
          <w:szCs w:val="20"/>
          <w:lang w:eastAsia="en-GB"/>
        </w:rPr>
      </w:pPr>
    </w:p>
    <w:p w:rsidR="00071D97" w:rsidRDefault="00AE55E5">
      <w:pPr>
        <w:spacing w:line="240" w:lineRule="auto"/>
        <w:rPr>
          <w:rFonts w:cs="Georgia"/>
          <w:b/>
          <w:color w:val="000000"/>
          <w:szCs w:val="20"/>
          <w:lang w:eastAsia="en-GB"/>
        </w:rPr>
      </w:pPr>
      <w:r w:rsidRPr="007417D0">
        <w:rPr>
          <w:rFonts w:cs="Georgia"/>
          <w:b/>
          <w:color w:val="000000"/>
          <w:szCs w:val="20"/>
          <w:lang w:eastAsia="en-GB"/>
        </w:rPr>
        <w:t>Notes to Editor</w:t>
      </w:r>
    </w:p>
    <w:p w:rsidR="00164E96" w:rsidRDefault="00164E96">
      <w:pPr>
        <w:spacing w:line="240" w:lineRule="auto"/>
        <w:rPr>
          <w:rFonts w:cs="Georgia"/>
          <w:b/>
          <w:color w:val="000000"/>
          <w:szCs w:val="20"/>
          <w:lang w:eastAsia="en-GB"/>
        </w:rPr>
      </w:pPr>
    </w:p>
    <w:p w:rsidR="00164E96" w:rsidRPr="00C735D3" w:rsidRDefault="00164E96">
      <w:pPr>
        <w:spacing w:line="240" w:lineRule="auto"/>
        <w:rPr>
          <w:rFonts w:cs="Georgia"/>
          <w:color w:val="000000"/>
          <w:szCs w:val="20"/>
          <w:lang w:eastAsia="en-GB"/>
        </w:rPr>
      </w:pPr>
      <w:r>
        <w:rPr>
          <w:rFonts w:cs="Georgia"/>
          <w:color w:val="000000"/>
          <w:szCs w:val="20"/>
          <w:lang w:eastAsia="en-GB"/>
        </w:rPr>
        <w:t>To download the full report</w:t>
      </w:r>
      <w:r w:rsidR="00C735D3">
        <w:rPr>
          <w:rFonts w:cs="Georgia"/>
          <w:color w:val="000000"/>
          <w:szCs w:val="20"/>
          <w:lang w:eastAsia="en-GB"/>
        </w:rPr>
        <w:t>,</w:t>
      </w:r>
      <w:r>
        <w:rPr>
          <w:rFonts w:cs="Georgia"/>
          <w:color w:val="000000"/>
          <w:szCs w:val="20"/>
          <w:lang w:eastAsia="en-GB"/>
        </w:rPr>
        <w:t xml:space="preserve"> please go to </w:t>
      </w:r>
      <w:hyperlink r:id="rId9" w:history="1">
        <w:r w:rsidR="00C735D3" w:rsidRPr="00C735D3">
          <w:rPr>
            <w:rFonts w:ascii="Tms Rmn" w:hAnsi="Tms Rmn" w:cs="Tms Rmn"/>
            <w:color w:val="0000FF"/>
            <w:szCs w:val="20"/>
            <w:u w:val="single"/>
            <w:lang w:eastAsia="en-GB"/>
          </w:rPr>
          <w:t xml:space="preserve"> http://www.pwc.com/en_GX/gx/financial-services/publications/global-working-capital-annual-review.jhtml</w:t>
        </w:r>
      </w:hyperlink>
    </w:p>
    <w:p w:rsidR="00D808E0" w:rsidRPr="007417D0" w:rsidRDefault="00D808E0">
      <w:pPr>
        <w:spacing w:line="240" w:lineRule="auto"/>
        <w:rPr>
          <w:rFonts w:cs="Georgia"/>
          <w:b/>
          <w:color w:val="000000"/>
          <w:szCs w:val="20"/>
          <w:lang w:eastAsia="en-GB"/>
        </w:rPr>
      </w:pPr>
    </w:p>
    <w:p w:rsidR="007417D0" w:rsidRDefault="007417D0" w:rsidP="007417D0">
      <w:pPr>
        <w:rPr>
          <w:rFonts w:eastAsia="Arial Unicode MS" w:cs="Helv"/>
          <w:b/>
          <w:color w:val="000000"/>
          <w:lang w:val="en-US" w:eastAsia="en-GB"/>
        </w:rPr>
      </w:pPr>
      <w:r>
        <w:rPr>
          <w:rFonts w:eastAsia="Arial Unicode MS" w:cs="Helv"/>
          <w:b/>
          <w:color w:val="000000"/>
          <w:lang w:val="en-US" w:eastAsia="en-GB"/>
        </w:rPr>
        <w:t>About PwC</w:t>
      </w:r>
    </w:p>
    <w:p w:rsidR="007417D0" w:rsidRDefault="007417D0" w:rsidP="007417D0">
      <w:pPr>
        <w:rPr>
          <w:rFonts w:eastAsia="Arial Unicode MS" w:cs="Helv"/>
          <w:color w:val="000000"/>
          <w:lang w:val="en-US" w:eastAsia="en-GB"/>
        </w:rPr>
      </w:pPr>
    </w:p>
    <w:p w:rsidR="002F33B2" w:rsidRPr="002F33B2" w:rsidRDefault="002F33B2" w:rsidP="002F33B2">
      <w:pPr>
        <w:rPr>
          <w:rFonts w:eastAsia="Arial Unicode MS" w:cs="Helv"/>
          <w:color w:val="000000"/>
          <w:lang w:val="en-US" w:eastAsia="en-GB"/>
        </w:rPr>
      </w:pPr>
      <w:r w:rsidRPr="002F33B2">
        <w:rPr>
          <w:rFonts w:eastAsia="Arial Unicode MS" w:cs="Helv"/>
          <w:color w:val="000000"/>
          <w:lang w:val="en-US"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F33B2" w:rsidRPr="002F33B2" w:rsidRDefault="002F33B2" w:rsidP="002F33B2">
      <w:pPr>
        <w:rPr>
          <w:rFonts w:eastAsia="Arial Unicode MS" w:cs="Helv"/>
          <w:color w:val="000000"/>
          <w:lang w:val="en-US" w:eastAsia="en-GB"/>
        </w:rPr>
      </w:pPr>
    </w:p>
    <w:p w:rsidR="002F33B2" w:rsidRPr="002F33B2" w:rsidRDefault="002F33B2" w:rsidP="002F33B2">
      <w:pPr>
        <w:rPr>
          <w:rFonts w:eastAsia="Arial Unicode MS" w:cs="Helv"/>
          <w:color w:val="000000"/>
          <w:lang w:val="en-US" w:eastAsia="en-GB"/>
        </w:rPr>
      </w:pPr>
      <w:r w:rsidRPr="002F33B2">
        <w:rPr>
          <w:rFonts w:eastAsia="Arial Unicode MS" w:cs="Helv"/>
          <w:color w:val="000000"/>
          <w:lang w:val="en-US" w:eastAsia="en-GB"/>
        </w:rPr>
        <w:t>© 2013 PwC. All rights reserved</w:t>
      </w:r>
    </w:p>
    <w:p w:rsidR="002F33B2" w:rsidRPr="002F33B2" w:rsidRDefault="002F33B2" w:rsidP="002F33B2">
      <w:pPr>
        <w:rPr>
          <w:rFonts w:eastAsia="Arial Unicode MS" w:cs="Helv"/>
          <w:color w:val="000000"/>
          <w:lang w:val="en-US" w:eastAsia="en-GB"/>
        </w:rPr>
      </w:pPr>
    </w:p>
    <w:p w:rsidR="007417D0" w:rsidRDefault="002F33B2" w:rsidP="002F33B2">
      <w:pPr>
        <w:rPr>
          <w:rFonts w:cs="Arial"/>
          <w:bCs/>
        </w:rPr>
      </w:pPr>
      <w:r w:rsidRPr="002F33B2">
        <w:rPr>
          <w:rFonts w:eastAsia="Arial Unicode MS" w:cs="Helv"/>
          <w:color w:val="000000"/>
          <w:lang w:val="en-US" w:eastAsia="en-GB"/>
        </w:rPr>
        <w:t>PwC refers to the PwC network and/or one or more of its member firms, each of which is a separate legal entity. Please see www.pwc.com/structure for further details.</w:t>
      </w:r>
    </w:p>
    <w:p w:rsidR="00071D97" w:rsidRDefault="00071D97">
      <w:pPr>
        <w:rPr>
          <w:rFonts w:cs="Arial"/>
          <w:bCs/>
        </w:rPr>
      </w:pPr>
    </w:p>
    <w:p w:rsidR="00D808E0" w:rsidRDefault="00D808E0">
      <w:pPr>
        <w:rPr>
          <w:rFonts w:cs="Arial"/>
          <w:bCs/>
        </w:rPr>
      </w:pPr>
    </w:p>
    <w:sectPr w:rsidR="00D808E0" w:rsidSect="00071D97">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1D" w:rsidRDefault="00B6101D">
      <w:pPr>
        <w:spacing w:line="240" w:lineRule="auto"/>
      </w:pPr>
      <w:r>
        <w:separator/>
      </w:r>
    </w:p>
  </w:endnote>
  <w:endnote w:type="continuationSeparator" w:id="0">
    <w:p w:rsidR="00B6101D" w:rsidRDefault="00B61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harterCom-Regular">
    <w:altName w:val="MS Mincho"/>
    <w:panose1 w:val="00000000000000000000"/>
    <w:charset w:val="80"/>
    <w:family w:val="auto"/>
    <w:notTrueType/>
    <w:pitch w:val="default"/>
    <w:sig w:usb0="00000003" w:usb1="08070000" w:usb2="00000010" w:usb3="00000000" w:csb0="00020001" w:csb1="00000000"/>
  </w:font>
  <w:font w:name="ITCCharterCom-BlackItalic">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5" w:rsidRDefault="00FB3850">
    <w:pPr>
      <w:pStyle w:val="Footer"/>
    </w:pPr>
    <w:r>
      <w:fldChar w:fldCharType="begin"/>
    </w:r>
    <w:r w:rsidR="00160EAA">
      <w:instrText xml:space="preserve"> PAGE  \* MERGEFORMAT </w:instrText>
    </w:r>
    <w:r>
      <w:fldChar w:fldCharType="separate"/>
    </w:r>
    <w:r w:rsidR="003F1EB9">
      <w:rPr>
        <w:noProof/>
      </w:rPr>
      <w:t>2</w:t>
    </w:r>
    <w:r>
      <w:rPr>
        <w:noProof/>
      </w:rPr>
      <w:fldChar w:fldCharType="end"/>
    </w:r>
    <w:r w:rsidR="00195895">
      <w:t xml:space="preserve"> of </w:t>
    </w:r>
    <w:fldSimple w:instr=" NUMPAGES  \* MERGEFORMAT ">
      <w:r w:rsidR="003F1EB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5" w:rsidRDefault="00FB3850">
    <w:pPr>
      <w:pStyle w:val="Footer"/>
    </w:pPr>
    <w:r>
      <w:fldChar w:fldCharType="begin"/>
    </w:r>
    <w:r w:rsidR="00160EAA">
      <w:instrText xml:space="preserve"> PAGE  \* MERGEFORMAT </w:instrText>
    </w:r>
    <w:r>
      <w:fldChar w:fldCharType="separate"/>
    </w:r>
    <w:r w:rsidR="00195895">
      <w:rPr>
        <w:noProof/>
      </w:rPr>
      <w:t>3</w:t>
    </w:r>
    <w:r>
      <w:rPr>
        <w:noProof/>
      </w:rPr>
      <w:fldChar w:fldCharType="end"/>
    </w:r>
    <w:r w:rsidR="00195895">
      <w:t xml:space="preserve"> of </w:t>
    </w:r>
    <w:fldSimple w:instr=" NUMPAGES  \* MERGEFORMAT ">
      <w:r w:rsidR="00546A2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1D" w:rsidRDefault="00B6101D">
      <w:pPr>
        <w:spacing w:line="240" w:lineRule="auto"/>
      </w:pPr>
      <w:r>
        <w:separator/>
      </w:r>
    </w:p>
  </w:footnote>
  <w:footnote w:type="continuationSeparator" w:id="0">
    <w:p w:rsidR="00B6101D" w:rsidRDefault="00B610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5" w:rsidRDefault="00195895">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95895" w:rsidRDefault="00195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5" w:rsidRDefault="00195895">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95895" w:rsidRDefault="001958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5" w:rsidRDefault="00195895">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BAB6FC"/>
    <w:lvl w:ilvl="0">
      <w:numFmt w:val="bullet"/>
      <w:lvlText w:val="*"/>
      <w:lvlJc w:val="left"/>
    </w:lvl>
  </w:abstractNum>
  <w:abstractNum w:abstractNumId="1">
    <w:nsid w:val="36A3401D"/>
    <w:multiLevelType w:val="hybridMultilevel"/>
    <w:tmpl w:val="D052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302166"/>
    <w:multiLevelType w:val="hybridMultilevel"/>
    <w:tmpl w:val="178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5561E"/>
    <w:multiLevelType w:val="hybridMultilevel"/>
    <w:tmpl w:val="1F1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Helv" w:hAnsi="Helv"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71D97"/>
    <w:rsid w:val="00071D97"/>
    <w:rsid w:val="00125C2C"/>
    <w:rsid w:val="00160EAA"/>
    <w:rsid w:val="00164E96"/>
    <w:rsid w:val="00173FB5"/>
    <w:rsid w:val="00195895"/>
    <w:rsid w:val="002F33B2"/>
    <w:rsid w:val="00307472"/>
    <w:rsid w:val="00331F22"/>
    <w:rsid w:val="00357880"/>
    <w:rsid w:val="003F1EB9"/>
    <w:rsid w:val="003F316C"/>
    <w:rsid w:val="005127AD"/>
    <w:rsid w:val="00546A25"/>
    <w:rsid w:val="00693BE0"/>
    <w:rsid w:val="00740CA5"/>
    <w:rsid w:val="007417D0"/>
    <w:rsid w:val="00767904"/>
    <w:rsid w:val="007D03D1"/>
    <w:rsid w:val="008F4806"/>
    <w:rsid w:val="00A52895"/>
    <w:rsid w:val="00A710B7"/>
    <w:rsid w:val="00AC56E5"/>
    <w:rsid w:val="00AE55E5"/>
    <w:rsid w:val="00B06F3D"/>
    <w:rsid w:val="00B6101D"/>
    <w:rsid w:val="00B759A9"/>
    <w:rsid w:val="00B769A2"/>
    <w:rsid w:val="00C735D3"/>
    <w:rsid w:val="00D808E0"/>
    <w:rsid w:val="00E52C42"/>
    <w:rsid w:val="00E91070"/>
    <w:rsid w:val="00FB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7"/>
    <w:pPr>
      <w:spacing w:line="240" w:lineRule="atLeast"/>
    </w:pPr>
    <w:rPr>
      <w:rFonts w:ascii="Georgia" w:hAnsi="Georgia"/>
      <w:szCs w:val="22"/>
      <w:lang w:eastAsia="en-US"/>
    </w:rPr>
  </w:style>
  <w:style w:type="paragraph" w:styleId="Heading1">
    <w:name w:val="heading 1"/>
    <w:basedOn w:val="Normal"/>
    <w:next w:val="Normal"/>
    <w:link w:val="Heading1Char"/>
    <w:qFormat/>
    <w:rsid w:val="00071D9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97"/>
    <w:pPr>
      <w:tabs>
        <w:tab w:val="center" w:pos="4513"/>
        <w:tab w:val="right" w:pos="9026"/>
      </w:tabs>
      <w:spacing w:line="240" w:lineRule="auto"/>
    </w:pPr>
  </w:style>
  <w:style w:type="character" w:customStyle="1" w:styleId="HeaderChar">
    <w:name w:val="Header Char"/>
    <w:basedOn w:val="DefaultParagraphFont"/>
    <w:link w:val="Header"/>
    <w:uiPriority w:val="99"/>
    <w:rsid w:val="00071D97"/>
  </w:style>
  <w:style w:type="paragraph" w:styleId="Footer">
    <w:name w:val="footer"/>
    <w:basedOn w:val="Normal"/>
    <w:link w:val="FooterChar"/>
    <w:uiPriority w:val="99"/>
    <w:semiHidden/>
    <w:unhideWhenUsed/>
    <w:rsid w:val="00071D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1D97"/>
  </w:style>
  <w:style w:type="paragraph" w:styleId="BodyText">
    <w:name w:val="Body Text"/>
    <w:basedOn w:val="Normal"/>
    <w:link w:val="BodyTextChar"/>
    <w:uiPriority w:val="99"/>
    <w:semiHidden/>
    <w:unhideWhenUsed/>
    <w:rsid w:val="00071D97"/>
    <w:pPr>
      <w:spacing w:after="240"/>
    </w:pPr>
  </w:style>
  <w:style w:type="character" w:customStyle="1" w:styleId="BodyTextChar">
    <w:name w:val="Body Text Char"/>
    <w:basedOn w:val="DefaultParagraphFont"/>
    <w:link w:val="BodyText"/>
    <w:uiPriority w:val="99"/>
    <w:semiHidden/>
    <w:rsid w:val="00071D97"/>
    <w:rPr>
      <w:rFonts w:ascii="Georgia" w:hAnsi="Georgia"/>
      <w:sz w:val="20"/>
    </w:rPr>
  </w:style>
  <w:style w:type="paragraph" w:styleId="Title">
    <w:name w:val="Title"/>
    <w:basedOn w:val="Normal"/>
    <w:next w:val="Normal"/>
    <w:link w:val="TitleChar"/>
    <w:uiPriority w:val="10"/>
    <w:qFormat/>
    <w:rsid w:val="00071D9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071D9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071D97"/>
    <w:pPr>
      <w:spacing w:line="200" w:lineRule="atLeast"/>
    </w:pPr>
    <w:rPr>
      <w:i/>
      <w:sz w:val="18"/>
    </w:rPr>
  </w:style>
  <w:style w:type="character" w:customStyle="1" w:styleId="AddressChar">
    <w:name w:val="Address Char"/>
    <w:basedOn w:val="DefaultParagraphFont"/>
    <w:link w:val="Address"/>
    <w:rsid w:val="00071D97"/>
    <w:rPr>
      <w:rFonts w:ascii="Georgia" w:hAnsi="Georgia"/>
      <w:i/>
      <w:sz w:val="18"/>
    </w:rPr>
  </w:style>
  <w:style w:type="paragraph" w:customStyle="1" w:styleId="Disclaimer">
    <w:name w:val="Disclaimer"/>
    <w:basedOn w:val="Normal"/>
    <w:link w:val="DisclaimerChar"/>
    <w:rsid w:val="00071D97"/>
    <w:pPr>
      <w:spacing w:line="140" w:lineRule="atLeast"/>
    </w:pPr>
    <w:rPr>
      <w:rFonts w:ascii="Arial" w:hAnsi="Arial" w:cs="Arial"/>
      <w:sz w:val="12"/>
    </w:rPr>
  </w:style>
  <w:style w:type="character" w:customStyle="1" w:styleId="DisclaimerChar">
    <w:name w:val="Disclaimer Char"/>
    <w:basedOn w:val="DefaultParagraphFont"/>
    <w:link w:val="Disclaimer"/>
    <w:rsid w:val="00071D97"/>
    <w:rPr>
      <w:rFonts w:ascii="Arial" w:hAnsi="Arial" w:cs="Arial"/>
      <w:sz w:val="12"/>
    </w:rPr>
  </w:style>
  <w:style w:type="character" w:customStyle="1" w:styleId="Heading1Char">
    <w:name w:val="Heading 1 Char"/>
    <w:basedOn w:val="DefaultParagraphFont"/>
    <w:link w:val="Heading1"/>
    <w:rsid w:val="00071D97"/>
    <w:rPr>
      <w:rFonts w:ascii="Cambria" w:eastAsia="Times New Roman" w:hAnsi="Cambria" w:cs="Times New Roman"/>
      <w:b/>
      <w:bCs/>
      <w:kern w:val="32"/>
      <w:sz w:val="32"/>
      <w:szCs w:val="32"/>
    </w:rPr>
  </w:style>
  <w:style w:type="paragraph" w:customStyle="1" w:styleId="ReleaseBodyText">
    <w:name w:val="Release Body Text"/>
    <w:rsid w:val="00071D97"/>
    <w:rPr>
      <w:rFonts w:ascii="Arial" w:eastAsia="Times New Roman" w:hAnsi="Arial" w:cs="Arial"/>
      <w:lang w:eastAsia="en-US"/>
    </w:rPr>
  </w:style>
  <w:style w:type="paragraph" w:customStyle="1" w:styleId="Heading">
    <w:name w:val="Heading"/>
    <w:basedOn w:val="Normal"/>
    <w:rsid w:val="00071D97"/>
    <w:pPr>
      <w:spacing w:line="240" w:lineRule="auto"/>
    </w:pPr>
    <w:rPr>
      <w:rFonts w:ascii="Arial" w:eastAsia="Times New Roman" w:hAnsi="Arial"/>
      <w:b/>
      <w:sz w:val="24"/>
      <w:szCs w:val="20"/>
    </w:rPr>
  </w:style>
  <w:style w:type="paragraph" w:styleId="ListParagraph">
    <w:name w:val="List Paragraph"/>
    <w:basedOn w:val="Normal"/>
    <w:uiPriority w:val="34"/>
    <w:qFormat/>
    <w:rsid w:val="00071D97"/>
    <w:pPr>
      <w:ind w:left="720"/>
      <w:contextualSpacing/>
    </w:pPr>
  </w:style>
  <w:style w:type="paragraph" w:styleId="BalloonText">
    <w:name w:val="Balloon Text"/>
    <w:basedOn w:val="Normal"/>
    <w:link w:val="BalloonTextChar"/>
    <w:uiPriority w:val="99"/>
    <w:semiHidden/>
    <w:unhideWhenUsed/>
    <w:rsid w:val="0007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97"/>
    <w:rPr>
      <w:rFonts w:ascii="Tahoma" w:hAnsi="Tahoma" w:cs="Tahoma"/>
      <w:sz w:val="16"/>
      <w:szCs w:val="16"/>
      <w:lang w:eastAsia="en-US"/>
    </w:rPr>
  </w:style>
  <w:style w:type="character" w:styleId="Hyperlink">
    <w:name w:val="Hyperlink"/>
    <w:basedOn w:val="DefaultParagraphFont"/>
    <w:uiPriority w:val="99"/>
    <w:unhideWhenUsed/>
    <w:rsid w:val="00071D97"/>
    <w:rPr>
      <w:color w:val="0000FF" w:themeColor="hyperlink"/>
      <w:u w:val="single"/>
    </w:rPr>
  </w:style>
  <w:style w:type="paragraph" w:styleId="NormalWeb">
    <w:name w:val="Normal (Web)"/>
    <w:basedOn w:val="Normal"/>
    <w:uiPriority w:val="99"/>
    <w:unhideWhenUsed/>
    <w:rsid w:val="00071D9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7"/>
    <w:pPr>
      <w:spacing w:line="240" w:lineRule="atLeast"/>
    </w:pPr>
    <w:rPr>
      <w:rFonts w:ascii="Georgia" w:hAnsi="Georgia"/>
      <w:szCs w:val="22"/>
      <w:lang w:eastAsia="en-US"/>
    </w:rPr>
  </w:style>
  <w:style w:type="paragraph" w:styleId="Heading1">
    <w:name w:val="heading 1"/>
    <w:basedOn w:val="Normal"/>
    <w:next w:val="Normal"/>
    <w:link w:val="Heading1Char"/>
    <w:qFormat/>
    <w:rsid w:val="00071D9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97"/>
    <w:pPr>
      <w:tabs>
        <w:tab w:val="center" w:pos="4513"/>
        <w:tab w:val="right" w:pos="9026"/>
      </w:tabs>
      <w:spacing w:line="240" w:lineRule="auto"/>
    </w:pPr>
  </w:style>
  <w:style w:type="character" w:customStyle="1" w:styleId="HeaderChar">
    <w:name w:val="Header Char"/>
    <w:basedOn w:val="DefaultParagraphFont"/>
    <w:link w:val="Header"/>
    <w:uiPriority w:val="99"/>
    <w:rsid w:val="00071D97"/>
  </w:style>
  <w:style w:type="paragraph" w:styleId="Footer">
    <w:name w:val="footer"/>
    <w:basedOn w:val="Normal"/>
    <w:link w:val="FooterChar"/>
    <w:uiPriority w:val="99"/>
    <w:semiHidden/>
    <w:unhideWhenUsed/>
    <w:rsid w:val="00071D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1D97"/>
  </w:style>
  <w:style w:type="paragraph" w:styleId="BodyText">
    <w:name w:val="Body Text"/>
    <w:basedOn w:val="Normal"/>
    <w:link w:val="BodyTextChar"/>
    <w:uiPriority w:val="99"/>
    <w:semiHidden/>
    <w:unhideWhenUsed/>
    <w:rsid w:val="00071D97"/>
    <w:pPr>
      <w:spacing w:after="240"/>
    </w:pPr>
  </w:style>
  <w:style w:type="character" w:customStyle="1" w:styleId="BodyTextChar">
    <w:name w:val="Body Text Char"/>
    <w:basedOn w:val="DefaultParagraphFont"/>
    <w:link w:val="BodyText"/>
    <w:uiPriority w:val="99"/>
    <w:semiHidden/>
    <w:rsid w:val="00071D97"/>
    <w:rPr>
      <w:rFonts w:ascii="Georgia" w:hAnsi="Georgia"/>
      <w:sz w:val="20"/>
    </w:rPr>
  </w:style>
  <w:style w:type="paragraph" w:styleId="Title">
    <w:name w:val="Title"/>
    <w:basedOn w:val="Normal"/>
    <w:next w:val="Normal"/>
    <w:link w:val="TitleChar"/>
    <w:uiPriority w:val="10"/>
    <w:qFormat/>
    <w:rsid w:val="00071D9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071D9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071D97"/>
    <w:pPr>
      <w:spacing w:line="200" w:lineRule="atLeast"/>
    </w:pPr>
    <w:rPr>
      <w:i/>
      <w:sz w:val="18"/>
    </w:rPr>
  </w:style>
  <w:style w:type="character" w:customStyle="1" w:styleId="AddressChar">
    <w:name w:val="Address Char"/>
    <w:basedOn w:val="DefaultParagraphFont"/>
    <w:link w:val="Address"/>
    <w:rsid w:val="00071D97"/>
    <w:rPr>
      <w:rFonts w:ascii="Georgia" w:hAnsi="Georgia"/>
      <w:i/>
      <w:sz w:val="18"/>
    </w:rPr>
  </w:style>
  <w:style w:type="paragraph" w:customStyle="1" w:styleId="Disclaimer">
    <w:name w:val="Disclaimer"/>
    <w:basedOn w:val="Normal"/>
    <w:link w:val="DisclaimerChar"/>
    <w:rsid w:val="00071D97"/>
    <w:pPr>
      <w:spacing w:line="140" w:lineRule="atLeast"/>
    </w:pPr>
    <w:rPr>
      <w:rFonts w:ascii="Arial" w:hAnsi="Arial" w:cs="Arial"/>
      <w:sz w:val="12"/>
    </w:rPr>
  </w:style>
  <w:style w:type="character" w:customStyle="1" w:styleId="DisclaimerChar">
    <w:name w:val="Disclaimer Char"/>
    <w:basedOn w:val="DefaultParagraphFont"/>
    <w:link w:val="Disclaimer"/>
    <w:rsid w:val="00071D97"/>
    <w:rPr>
      <w:rFonts w:ascii="Arial" w:hAnsi="Arial" w:cs="Arial"/>
      <w:sz w:val="12"/>
    </w:rPr>
  </w:style>
  <w:style w:type="character" w:customStyle="1" w:styleId="Heading1Char">
    <w:name w:val="Heading 1 Char"/>
    <w:basedOn w:val="DefaultParagraphFont"/>
    <w:link w:val="Heading1"/>
    <w:rsid w:val="00071D97"/>
    <w:rPr>
      <w:rFonts w:ascii="Cambria" w:eastAsia="Times New Roman" w:hAnsi="Cambria" w:cs="Times New Roman"/>
      <w:b/>
      <w:bCs/>
      <w:kern w:val="32"/>
      <w:sz w:val="32"/>
      <w:szCs w:val="32"/>
    </w:rPr>
  </w:style>
  <w:style w:type="paragraph" w:customStyle="1" w:styleId="ReleaseBodyText">
    <w:name w:val="Release Body Text"/>
    <w:rsid w:val="00071D97"/>
    <w:rPr>
      <w:rFonts w:ascii="Arial" w:eastAsia="Times New Roman" w:hAnsi="Arial" w:cs="Arial"/>
      <w:lang w:eastAsia="en-US"/>
    </w:rPr>
  </w:style>
  <w:style w:type="paragraph" w:customStyle="1" w:styleId="Heading">
    <w:name w:val="Heading"/>
    <w:basedOn w:val="Normal"/>
    <w:rsid w:val="00071D97"/>
    <w:pPr>
      <w:spacing w:line="240" w:lineRule="auto"/>
    </w:pPr>
    <w:rPr>
      <w:rFonts w:ascii="Arial" w:eastAsia="Times New Roman" w:hAnsi="Arial"/>
      <w:b/>
      <w:sz w:val="24"/>
      <w:szCs w:val="20"/>
    </w:rPr>
  </w:style>
  <w:style w:type="paragraph" w:styleId="ListParagraph">
    <w:name w:val="List Paragraph"/>
    <w:basedOn w:val="Normal"/>
    <w:uiPriority w:val="34"/>
    <w:qFormat/>
    <w:rsid w:val="00071D97"/>
    <w:pPr>
      <w:ind w:left="720"/>
      <w:contextualSpacing/>
    </w:pPr>
  </w:style>
  <w:style w:type="paragraph" w:styleId="BalloonText">
    <w:name w:val="Balloon Text"/>
    <w:basedOn w:val="Normal"/>
    <w:link w:val="BalloonTextChar"/>
    <w:uiPriority w:val="99"/>
    <w:semiHidden/>
    <w:unhideWhenUsed/>
    <w:rsid w:val="0007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97"/>
    <w:rPr>
      <w:rFonts w:ascii="Tahoma" w:hAnsi="Tahoma" w:cs="Tahoma"/>
      <w:sz w:val="16"/>
      <w:szCs w:val="16"/>
      <w:lang w:eastAsia="en-US"/>
    </w:rPr>
  </w:style>
  <w:style w:type="character" w:styleId="Hyperlink">
    <w:name w:val="Hyperlink"/>
    <w:basedOn w:val="DefaultParagraphFont"/>
    <w:uiPriority w:val="99"/>
    <w:unhideWhenUsed/>
    <w:rsid w:val="00071D97"/>
    <w:rPr>
      <w:color w:val="0000FF" w:themeColor="hyperlink"/>
      <w:u w:val="single"/>
    </w:rPr>
  </w:style>
  <w:style w:type="paragraph" w:styleId="NormalWeb">
    <w:name w:val="Normal (Web)"/>
    <w:basedOn w:val="Normal"/>
    <w:uiPriority w:val="99"/>
    <w:unhideWhenUsed/>
    <w:rsid w:val="00071D9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539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owel@uk.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en_GX/gx/financial-services/publications/global-working-capital-annual-review.j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B5F8-BBB2-4051-8786-6FF849DA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195</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4</cp:revision>
  <cp:lastPrinted>2013-07-08T13:52:00Z</cp:lastPrinted>
  <dcterms:created xsi:type="dcterms:W3CDTF">2013-07-08T13:52:00Z</dcterms:created>
  <dcterms:modified xsi:type="dcterms:W3CDTF">2013-07-08T18:17:00Z</dcterms:modified>
</cp:coreProperties>
</file>