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2B3" w:rsidRPr="00311D83" w:rsidRDefault="00A35B79">
      <w:pPr>
        <w:tabs>
          <w:tab w:val="center" w:pos="4536"/>
        </w:tabs>
        <w:rPr>
          <w:i/>
          <w:szCs w:val="20"/>
        </w:rPr>
      </w:pPr>
      <w:r w:rsidRPr="00A35B79">
        <w:rPr>
          <w:i/>
          <w:noProof/>
          <w:szCs w:val="20"/>
          <w:lang w:eastAsia="en-GB"/>
        </w:rPr>
        <w:pict>
          <v:shape id="_x0000_s1026" style="position:absolute;margin-left:87.85pt;margin-top:771.05pt;width:465pt;height:11.35pt;z-index:251657216;mso-position-horizontal:absolute;mso-position-horizontal-relative:page;mso-position-vertical:absolute;mso-position-vertical-relative:page" coordsize="9301,228" path="m,228l,,9301,e" filled="f" strokecolor="#dc6900" strokeweight="1pt">
            <v:stroke dashstyle="1 1" endcap="round"/>
            <v:path arrowok="t"/>
            <o:lock v:ext="edit" aspectratio="t"/>
            <w10:wrap anchorx="page" anchory="page"/>
            <w10:anchorlock/>
          </v:shape>
        </w:pict>
      </w:r>
      <w:r w:rsidR="00410893" w:rsidRPr="00311D83">
        <w:rPr>
          <w:i/>
          <w:szCs w:val="20"/>
        </w:rPr>
        <w:tab/>
      </w:r>
    </w:p>
    <w:p w:rsidR="006A72B3" w:rsidRPr="00311D83" w:rsidRDefault="00410893">
      <w:pPr>
        <w:pStyle w:val="Title"/>
        <w:rPr>
          <w:rFonts w:ascii="Georgia" w:hAnsi="Georgia"/>
          <w:sz w:val="20"/>
          <w:szCs w:val="20"/>
        </w:rPr>
      </w:pPr>
      <w:r w:rsidRPr="00311D83">
        <w:rPr>
          <w:rFonts w:ascii="Georgia" w:hAnsi="Georgia"/>
          <w:sz w:val="20"/>
          <w:szCs w:val="20"/>
        </w:rPr>
        <w:t>Press Release</w:t>
      </w:r>
    </w:p>
    <w:tbl>
      <w:tblPr>
        <w:tblpPr w:leftFromText="180" w:rightFromText="180" w:vertAnchor="text" w:tblpY="1"/>
        <w:tblOverlap w:val="never"/>
        <w:tblW w:w="0" w:type="auto"/>
        <w:tblLayout w:type="fixed"/>
        <w:tblLook w:val="0000"/>
      </w:tblPr>
      <w:tblGrid>
        <w:gridCol w:w="2268"/>
        <w:gridCol w:w="5211"/>
      </w:tblGrid>
      <w:tr w:rsidR="006A72B3" w:rsidRPr="00311D83">
        <w:tc>
          <w:tcPr>
            <w:tcW w:w="2268" w:type="dxa"/>
            <w:shd w:val="clear" w:color="auto" w:fill="auto"/>
          </w:tcPr>
          <w:p w:rsidR="006A72B3" w:rsidRPr="00311D83" w:rsidRDefault="00410893">
            <w:pPr>
              <w:rPr>
                <w:i/>
                <w:szCs w:val="20"/>
              </w:rPr>
            </w:pPr>
            <w:r w:rsidRPr="00311D83">
              <w:rPr>
                <w:i/>
                <w:szCs w:val="20"/>
              </w:rPr>
              <w:t>Date</w:t>
            </w:r>
          </w:p>
        </w:tc>
        <w:tc>
          <w:tcPr>
            <w:tcW w:w="5211" w:type="dxa"/>
            <w:shd w:val="clear" w:color="auto" w:fill="auto"/>
          </w:tcPr>
          <w:p w:rsidR="006A72B3" w:rsidRPr="00E746B8" w:rsidRDefault="009A1E3E">
            <w:pPr>
              <w:rPr>
                <w:color w:val="FF0000"/>
                <w:szCs w:val="20"/>
              </w:rPr>
            </w:pPr>
            <w:r>
              <w:rPr>
                <w:b/>
                <w:color w:val="FF0000"/>
                <w:szCs w:val="20"/>
              </w:rPr>
              <w:t xml:space="preserve">Thursday </w:t>
            </w:r>
            <w:r w:rsidR="00E746B8" w:rsidRPr="00E746B8">
              <w:rPr>
                <w:b/>
                <w:color w:val="FF0000"/>
                <w:szCs w:val="20"/>
              </w:rPr>
              <w:t xml:space="preserve">13 </w:t>
            </w:r>
            <w:r w:rsidR="00E746B8">
              <w:rPr>
                <w:b/>
                <w:color w:val="FF0000"/>
                <w:szCs w:val="20"/>
              </w:rPr>
              <w:t>JUNE</w:t>
            </w:r>
            <w:r w:rsidR="00410893" w:rsidRPr="00E746B8">
              <w:rPr>
                <w:b/>
                <w:color w:val="FF0000"/>
                <w:szCs w:val="20"/>
              </w:rPr>
              <w:t xml:space="preserve"> 2013</w:t>
            </w:r>
          </w:p>
          <w:p w:rsidR="006A72B3" w:rsidRPr="00311D83" w:rsidRDefault="006A72B3">
            <w:pPr>
              <w:rPr>
                <w:b/>
                <w:szCs w:val="20"/>
              </w:rPr>
            </w:pPr>
          </w:p>
        </w:tc>
      </w:tr>
      <w:tr w:rsidR="006A72B3" w:rsidRPr="00311D83">
        <w:tc>
          <w:tcPr>
            <w:tcW w:w="2268" w:type="dxa"/>
            <w:shd w:val="clear" w:color="auto" w:fill="auto"/>
          </w:tcPr>
          <w:p w:rsidR="006A72B3" w:rsidRPr="00311D83" w:rsidRDefault="00410893">
            <w:pPr>
              <w:rPr>
                <w:i/>
                <w:szCs w:val="20"/>
              </w:rPr>
            </w:pPr>
            <w:r w:rsidRPr="00311D83">
              <w:rPr>
                <w:i/>
                <w:szCs w:val="20"/>
              </w:rPr>
              <w:t>Contact</w:t>
            </w:r>
          </w:p>
        </w:tc>
        <w:tc>
          <w:tcPr>
            <w:tcW w:w="5211" w:type="dxa"/>
            <w:shd w:val="clear" w:color="auto" w:fill="auto"/>
          </w:tcPr>
          <w:p w:rsidR="006A72B3" w:rsidRPr="00311D83" w:rsidRDefault="00410893">
            <w:pPr>
              <w:tabs>
                <w:tab w:val="left" w:pos="1440"/>
              </w:tabs>
              <w:ind w:left="1440" w:hanging="1440"/>
              <w:rPr>
                <w:rFonts w:cs="Arial"/>
                <w:szCs w:val="20"/>
                <w:lang w:val="it-IT"/>
              </w:rPr>
            </w:pPr>
            <w:r w:rsidRPr="00311D83">
              <w:rPr>
                <w:rFonts w:cs="Arial"/>
                <w:bCs/>
                <w:szCs w:val="20"/>
                <w:lang w:val="it-IT"/>
              </w:rPr>
              <w:t>Name,  David Jetuah, PwC</w:t>
            </w:r>
          </w:p>
          <w:p w:rsidR="006A72B3" w:rsidRPr="00311D83" w:rsidRDefault="00410893">
            <w:pPr>
              <w:tabs>
                <w:tab w:val="left" w:pos="1440"/>
              </w:tabs>
              <w:ind w:left="1440" w:hanging="1440"/>
              <w:rPr>
                <w:rFonts w:cs="Arial"/>
                <w:szCs w:val="20"/>
                <w:lang w:val="it-IT"/>
              </w:rPr>
            </w:pPr>
            <w:r w:rsidRPr="00311D83">
              <w:rPr>
                <w:rFonts w:cs="Arial"/>
                <w:szCs w:val="20"/>
                <w:lang w:val="it-IT"/>
              </w:rPr>
              <w:t>Tel: 020 72121812, Mobile: 07531439437</w:t>
            </w:r>
          </w:p>
          <w:p w:rsidR="006A72B3" w:rsidRPr="00311D83" w:rsidRDefault="00410893">
            <w:pPr>
              <w:tabs>
                <w:tab w:val="left" w:pos="1440"/>
              </w:tabs>
              <w:ind w:left="1440" w:hanging="1440"/>
              <w:rPr>
                <w:szCs w:val="20"/>
                <w:lang w:val="it-IT"/>
              </w:rPr>
            </w:pPr>
            <w:r w:rsidRPr="00311D83">
              <w:rPr>
                <w:rFonts w:cs="Arial"/>
                <w:szCs w:val="20"/>
                <w:lang w:val="it-IT"/>
              </w:rPr>
              <w:t>e-mail: david.jetuah@uk.pwc.com</w:t>
            </w:r>
          </w:p>
        </w:tc>
      </w:tr>
      <w:tr w:rsidR="006A72B3" w:rsidRPr="00311D83">
        <w:tc>
          <w:tcPr>
            <w:tcW w:w="2268" w:type="dxa"/>
            <w:shd w:val="clear" w:color="auto" w:fill="auto"/>
          </w:tcPr>
          <w:p w:rsidR="006A72B3" w:rsidRPr="00311D83" w:rsidRDefault="00410893">
            <w:pPr>
              <w:rPr>
                <w:i/>
                <w:szCs w:val="20"/>
              </w:rPr>
            </w:pPr>
            <w:r w:rsidRPr="00311D83">
              <w:rPr>
                <w:i/>
                <w:szCs w:val="20"/>
              </w:rPr>
              <w:t xml:space="preserve">Pages </w:t>
            </w:r>
          </w:p>
        </w:tc>
        <w:tc>
          <w:tcPr>
            <w:tcW w:w="5211" w:type="dxa"/>
            <w:shd w:val="clear" w:color="auto" w:fill="auto"/>
          </w:tcPr>
          <w:p w:rsidR="006A72B3" w:rsidRPr="00311D83" w:rsidRDefault="00410893">
            <w:pPr>
              <w:rPr>
                <w:szCs w:val="20"/>
              </w:rPr>
            </w:pPr>
            <w:r w:rsidRPr="00311D83">
              <w:rPr>
                <w:szCs w:val="20"/>
              </w:rPr>
              <w:t>2</w:t>
            </w:r>
          </w:p>
        </w:tc>
      </w:tr>
    </w:tbl>
    <w:p w:rsidR="006A72B3" w:rsidRPr="00311D83" w:rsidRDefault="00A35B79">
      <w:pPr>
        <w:rPr>
          <w:szCs w:val="20"/>
        </w:rPr>
      </w:pPr>
      <w:r w:rsidRPr="00A35B79">
        <w:rPr>
          <w:noProof/>
          <w:szCs w:val="20"/>
          <w:lang w:eastAsia="zh-CN"/>
        </w:rPr>
        <w:pict>
          <v:line id="_x0000_s1027" style="position:absolute;z-index:251658240;mso-position-horizontal-relative:page;mso-position-vertical-relative:page" from="101.8pt,285.15pt" to="556.85pt,285.15pt" strokecolor="#e36c0a">
            <w10:wrap anchorx="page" anchory="page"/>
          </v:line>
        </w:pict>
      </w:r>
      <w:r w:rsidR="00410893" w:rsidRPr="00311D83">
        <w:rPr>
          <w:rFonts w:cs="Arial"/>
          <w:b/>
          <w:i/>
          <w:iCs/>
          <w:szCs w:val="20"/>
        </w:rPr>
        <w:br w:type="textWrapping" w:clear="all"/>
      </w:r>
    </w:p>
    <w:p w:rsidR="006A72B3" w:rsidRPr="00311D83" w:rsidRDefault="00410893" w:rsidP="00D54980">
      <w:pPr>
        <w:autoSpaceDE w:val="0"/>
        <w:autoSpaceDN w:val="0"/>
        <w:adjustRightInd w:val="0"/>
        <w:spacing w:after="240" w:line="360" w:lineRule="auto"/>
        <w:ind w:left="708"/>
        <w:rPr>
          <w:szCs w:val="20"/>
        </w:rPr>
      </w:pPr>
      <w:r w:rsidRPr="00311D83">
        <w:rPr>
          <w:szCs w:val="20"/>
          <w:lang w:val="en-US"/>
        </w:rPr>
        <w:t xml:space="preserve"> </w:t>
      </w:r>
    </w:p>
    <w:p w:rsidR="00311D83" w:rsidRPr="00311D83" w:rsidRDefault="00311D83" w:rsidP="00311D83">
      <w:pPr>
        <w:pStyle w:val="BodyText"/>
        <w:rPr>
          <w:b/>
          <w:szCs w:val="20"/>
        </w:rPr>
      </w:pPr>
      <w:r w:rsidRPr="00311D83">
        <w:rPr>
          <w:b/>
          <w:szCs w:val="20"/>
        </w:rPr>
        <w:t>Market capital global Top 100: US companies emerge as clear winners post- financial crisis</w:t>
      </w:r>
    </w:p>
    <w:p w:rsidR="007A03E5" w:rsidRPr="00311D83" w:rsidRDefault="007A03E5" w:rsidP="007A03E5">
      <w:pPr>
        <w:pStyle w:val="BodyText"/>
        <w:rPr>
          <w:szCs w:val="20"/>
        </w:rPr>
      </w:pPr>
      <w:r w:rsidRPr="00311D83">
        <w:rPr>
          <w:szCs w:val="20"/>
        </w:rPr>
        <w:t xml:space="preserve">The most valuable publicly listed companies are from the technology, consumer services or the health care sectors- and they are mostly US companies. </w:t>
      </w:r>
      <w:r w:rsidRPr="00311D83">
        <w:rPr>
          <w:rFonts w:cs="Helv"/>
          <w:color w:val="000000"/>
          <w:szCs w:val="20"/>
        </w:rPr>
        <w:t xml:space="preserve">After the financial crisis, there are now 43 US companies in </w:t>
      </w:r>
      <w:r>
        <w:rPr>
          <w:rFonts w:cs="Helv"/>
          <w:color w:val="000000"/>
          <w:szCs w:val="20"/>
        </w:rPr>
        <w:t>the top 100, up from 35 in 2008, PwC has found.</w:t>
      </w:r>
      <w:r w:rsidRPr="00311D83">
        <w:rPr>
          <w:rFonts w:cs="Helv"/>
          <w:color w:val="000000"/>
          <w:szCs w:val="20"/>
        </w:rPr>
        <w:t xml:space="preserve">  In terms of increases, technology (c35%) and consumer servi</w:t>
      </w:r>
      <w:r>
        <w:rPr>
          <w:rFonts w:cs="Helv"/>
          <w:color w:val="000000"/>
          <w:szCs w:val="20"/>
        </w:rPr>
        <w:t xml:space="preserve">ces (almost 400%) are the most </w:t>
      </w:r>
      <w:r w:rsidRPr="00311D83">
        <w:rPr>
          <w:rFonts w:cs="Helv"/>
          <w:color w:val="000000"/>
          <w:szCs w:val="20"/>
        </w:rPr>
        <w:t xml:space="preserve">improved sectors by market capitalisation in the top 100. </w:t>
      </w:r>
    </w:p>
    <w:p w:rsidR="007A03E5" w:rsidRPr="00311D83" w:rsidRDefault="007A03E5" w:rsidP="007A03E5">
      <w:pPr>
        <w:pStyle w:val="BodyText"/>
        <w:rPr>
          <w:color w:val="FF0000"/>
          <w:szCs w:val="20"/>
        </w:rPr>
      </w:pPr>
      <w:r w:rsidRPr="00311D83">
        <w:rPr>
          <w:rFonts w:cs="Helv"/>
          <w:color w:val="000000"/>
          <w:szCs w:val="20"/>
        </w:rPr>
        <w:t xml:space="preserve">Companies from the Eurozone have </w:t>
      </w:r>
      <w:r>
        <w:rPr>
          <w:rFonts w:cs="Helv"/>
          <w:color w:val="000000"/>
          <w:szCs w:val="20"/>
        </w:rPr>
        <w:t>proved</w:t>
      </w:r>
      <w:r w:rsidRPr="00311D83">
        <w:rPr>
          <w:rFonts w:cs="Helv"/>
          <w:color w:val="000000"/>
          <w:szCs w:val="20"/>
        </w:rPr>
        <w:t xml:space="preserve"> to be the biggest fallers in this analysis with only 14 companies now in the top 100 compared with 26 in 2008.  </w:t>
      </w:r>
    </w:p>
    <w:p w:rsidR="007A03E5" w:rsidRPr="00311D83" w:rsidRDefault="007A03E5" w:rsidP="007A03E5">
      <w:pPr>
        <w:pStyle w:val="BodyText"/>
        <w:rPr>
          <w:szCs w:val="20"/>
        </w:rPr>
      </w:pPr>
      <w:r w:rsidRPr="00311D83">
        <w:rPr>
          <w:szCs w:val="20"/>
        </w:rPr>
        <w:t xml:space="preserve">From a level of $13.5 trillion dollars in 2008, the financial crisis wiped off more than $5 trillion by 2009. Market capitalisation values have taken four years to recover and top pre-crisis levels, PwC has found. From a low of $8.4 trillion in 2009, the world’s 100 biggest companies now have a combined market capitalisation of $13.6 trillion.   </w:t>
      </w:r>
    </w:p>
    <w:p w:rsidR="007A03E5" w:rsidRPr="00311D83" w:rsidRDefault="007A03E5" w:rsidP="007A03E5">
      <w:pPr>
        <w:autoSpaceDE w:val="0"/>
        <w:autoSpaceDN w:val="0"/>
        <w:adjustRightInd w:val="0"/>
        <w:spacing w:line="240" w:lineRule="auto"/>
        <w:rPr>
          <w:rFonts w:cs="ITCCharterCom-Italic"/>
          <w:iCs/>
          <w:szCs w:val="20"/>
        </w:rPr>
      </w:pPr>
      <w:r w:rsidRPr="00311D83">
        <w:rPr>
          <w:rFonts w:cs="ITCCharterCom-Italic"/>
          <w:iCs/>
          <w:szCs w:val="20"/>
        </w:rPr>
        <w:t>In its latest report, PwC ranked the top 100 global companies by market capitalisation and compared the movements from March 2008 annually to March 2013.  After identifying the</w:t>
      </w:r>
      <w:r>
        <w:rPr>
          <w:rFonts w:cs="ITCCharterCom-Italic"/>
          <w:iCs/>
          <w:szCs w:val="20"/>
        </w:rPr>
        <w:t xml:space="preserve"> biggest rises and fall</w:t>
      </w:r>
      <w:r w:rsidRPr="00311D83">
        <w:rPr>
          <w:rFonts w:cs="ITCCharterCom-Italic"/>
          <w:iCs/>
          <w:szCs w:val="20"/>
        </w:rPr>
        <w:t xml:space="preserve">s, </w:t>
      </w:r>
      <w:r>
        <w:rPr>
          <w:rFonts w:cs="ITCCharterCom-Italic"/>
          <w:iCs/>
          <w:szCs w:val="20"/>
        </w:rPr>
        <w:t xml:space="preserve">the report </w:t>
      </w:r>
      <w:r w:rsidRPr="00311D83">
        <w:rPr>
          <w:rFonts w:cs="ITCCharterCom-Italic"/>
          <w:iCs/>
          <w:szCs w:val="20"/>
        </w:rPr>
        <w:t xml:space="preserve">also </w:t>
      </w:r>
      <w:r>
        <w:rPr>
          <w:rFonts w:cs="ITCCharterCom-Italic"/>
          <w:iCs/>
          <w:szCs w:val="20"/>
        </w:rPr>
        <w:t xml:space="preserve">examines </w:t>
      </w:r>
      <w:r w:rsidRPr="00311D83">
        <w:rPr>
          <w:rFonts w:cs="ITCCharterCom-Italic"/>
          <w:iCs/>
          <w:szCs w:val="20"/>
        </w:rPr>
        <w:t xml:space="preserve">country and sector dynamics and </w:t>
      </w:r>
      <w:r>
        <w:rPr>
          <w:rFonts w:cs="ITCCharterCom-Italic"/>
          <w:iCs/>
          <w:szCs w:val="20"/>
        </w:rPr>
        <w:t xml:space="preserve">analyses </w:t>
      </w:r>
      <w:r w:rsidRPr="00311D83">
        <w:rPr>
          <w:rFonts w:cs="ITCCharterCom-Italic"/>
          <w:iCs/>
          <w:szCs w:val="20"/>
        </w:rPr>
        <w:t>how the global landscape has changed.</w:t>
      </w:r>
    </w:p>
    <w:p w:rsidR="007A03E5" w:rsidRPr="00311D83" w:rsidRDefault="007A03E5" w:rsidP="007A03E5">
      <w:pPr>
        <w:autoSpaceDE w:val="0"/>
        <w:autoSpaceDN w:val="0"/>
        <w:adjustRightInd w:val="0"/>
        <w:spacing w:line="240" w:lineRule="auto"/>
        <w:rPr>
          <w:rFonts w:cs="ITCCharterCom-Italic"/>
          <w:iCs/>
          <w:szCs w:val="20"/>
        </w:rPr>
      </w:pPr>
    </w:p>
    <w:p w:rsidR="007A03E5" w:rsidRDefault="007A03E5" w:rsidP="007A03E5">
      <w:pPr>
        <w:autoSpaceDE w:val="0"/>
        <w:autoSpaceDN w:val="0"/>
        <w:adjustRightInd w:val="0"/>
        <w:spacing w:line="240" w:lineRule="auto"/>
        <w:rPr>
          <w:szCs w:val="20"/>
        </w:rPr>
      </w:pPr>
      <w:r w:rsidRPr="00311D83">
        <w:rPr>
          <w:szCs w:val="20"/>
        </w:rPr>
        <w:t xml:space="preserve">The top five risers added a collective $ 701 billion in market capitalisation in just five years. Technology giants dominated the ranks of the best performers – Apple increased by $290 billion alone over the period and Google $125 billion.  </w:t>
      </w:r>
    </w:p>
    <w:p w:rsidR="007A03E5" w:rsidRDefault="007A03E5" w:rsidP="007A03E5">
      <w:pPr>
        <w:autoSpaceDE w:val="0"/>
        <w:autoSpaceDN w:val="0"/>
        <w:adjustRightInd w:val="0"/>
        <w:spacing w:line="240" w:lineRule="auto"/>
        <w:rPr>
          <w:szCs w:val="20"/>
        </w:rPr>
      </w:pPr>
    </w:p>
    <w:p w:rsidR="007A03E5" w:rsidRPr="00311D83" w:rsidRDefault="007A03E5" w:rsidP="007A03E5">
      <w:pPr>
        <w:autoSpaceDE w:val="0"/>
        <w:autoSpaceDN w:val="0"/>
        <w:adjustRightInd w:val="0"/>
        <w:spacing w:line="240" w:lineRule="auto"/>
        <w:rPr>
          <w:szCs w:val="20"/>
        </w:rPr>
      </w:pPr>
      <w:r w:rsidRPr="00311D83">
        <w:rPr>
          <w:szCs w:val="20"/>
        </w:rPr>
        <w:t xml:space="preserve">However the top five fallers saw their market cap drop by a collective $737 billion. Oil and gas and energy companies took four of the five losing spots.    </w:t>
      </w:r>
    </w:p>
    <w:p w:rsidR="00311D83" w:rsidRPr="00311D83" w:rsidRDefault="00311D83" w:rsidP="00311D83">
      <w:pPr>
        <w:autoSpaceDE w:val="0"/>
        <w:autoSpaceDN w:val="0"/>
        <w:adjustRightInd w:val="0"/>
        <w:spacing w:line="240" w:lineRule="auto"/>
        <w:rPr>
          <w:szCs w:val="20"/>
        </w:rPr>
      </w:pPr>
    </w:p>
    <w:p w:rsidR="00311D83" w:rsidRPr="00311D83" w:rsidRDefault="00311D83" w:rsidP="00311D83">
      <w:pPr>
        <w:pStyle w:val="BodyText"/>
        <w:rPr>
          <w:szCs w:val="20"/>
        </w:rPr>
      </w:pPr>
      <w:r w:rsidRPr="00311D83">
        <w:rPr>
          <w:szCs w:val="20"/>
        </w:rPr>
        <w:t xml:space="preserve">Clifford Tompsett, capital markets partner, PwC said: </w:t>
      </w:r>
    </w:p>
    <w:p w:rsidR="00311D83" w:rsidRPr="00311D83" w:rsidRDefault="00311D83" w:rsidP="00311D83">
      <w:pPr>
        <w:pStyle w:val="BodyText"/>
        <w:ind w:left="720"/>
        <w:rPr>
          <w:szCs w:val="20"/>
        </w:rPr>
      </w:pPr>
      <w:r w:rsidRPr="00311D83">
        <w:rPr>
          <w:szCs w:val="20"/>
        </w:rPr>
        <w:t xml:space="preserve">“The US is dominating the ranking, but what is truly remarkable is the ability of the US to create new trailblazers. 15 years ago companies like Apple and Google had either just been  founded or were not recognised as having that potential. </w:t>
      </w:r>
    </w:p>
    <w:p w:rsidR="00311D83" w:rsidRPr="00311D83" w:rsidRDefault="00311D83" w:rsidP="00311D83">
      <w:pPr>
        <w:pStyle w:val="BodyText"/>
        <w:ind w:left="720"/>
        <w:rPr>
          <w:szCs w:val="20"/>
        </w:rPr>
      </w:pPr>
      <w:r w:rsidRPr="00311D83">
        <w:rPr>
          <w:szCs w:val="20"/>
        </w:rPr>
        <w:t xml:space="preserve">“Today these companies rank first and third in the list of the 100 most valuable global companies. US companies in growth sectors like Health Care and Consumer Services are similarly successful. These companies are capable of setting and recognising new trends and – most importantly – creating business models that make these developments pay on a global </w:t>
      </w:r>
      <w:r w:rsidRPr="00311D83">
        <w:rPr>
          <w:szCs w:val="20"/>
        </w:rPr>
        <w:lastRenderedPageBreak/>
        <w:t xml:space="preserve">scale. With this innovative drive, other regions and countries will have their work cut out to compete with the US on the same level.” </w:t>
      </w:r>
    </w:p>
    <w:p w:rsidR="000E096F" w:rsidRDefault="000E096F" w:rsidP="00311D83">
      <w:pPr>
        <w:pStyle w:val="BodyText"/>
        <w:rPr>
          <w:rFonts w:eastAsia="Times New Roman" w:cs="Segoe UI"/>
          <w:color w:val="000000"/>
          <w:szCs w:val="20"/>
          <w:lang w:eastAsia="en-GB"/>
        </w:rPr>
      </w:pPr>
    </w:p>
    <w:p w:rsidR="00D42AE4" w:rsidRPr="009F018F" w:rsidRDefault="00D42AE4" w:rsidP="00D42AE4">
      <w:pPr>
        <w:pStyle w:val="BodyText"/>
        <w:rPr>
          <w:rFonts w:cs="Helv"/>
          <w:color w:val="000000"/>
          <w:szCs w:val="20"/>
          <w:lang w:eastAsia="en-GB"/>
        </w:rPr>
      </w:pPr>
      <w:r w:rsidRPr="009F018F">
        <w:rPr>
          <w:color w:val="000000"/>
          <w:szCs w:val="20"/>
          <w:lang w:eastAsia="en-GB"/>
        </w:rPr>
        <w:t>Eurozone companies have been worst hit by falls in market capitalisation. Of the 26 companies present in the top 100 in 2008, only 8 now remain in 2013. With only 6 new entrants, the Eurozone has only</w:t>
      </w:r>
      <w:r>
        <w:rPr>
          <w:color w:val="000000"/>
          <w:szCs w:val="20"/>
          <w:lang w:eastAsia="en-GB"/>
        </w:rPr>
        <w:t xml:space="preserve"> 14 companies in the top 100.  </w:t>
      </w:r>
      <w:r w:rsidRPr="009F018F">
        <w:rPr>
          <w:color w:val="000000"/>
          <w:szCs w:val="20"/>
          <w:lang w:eastAsia="en-GB"/>
        </w:rPr>
        <w:t>Of the movement from 2008 to 2013, the net losses were</w:t>
      </w:r>
      <w:r>
        <w:rPr>
          <w:color w:val="000000"/>
          <w:szCs w:val="20"/>
          <w:lang w:eastAsia="en-GB"/>
        </w:rPr>
        <w:t xml:space="preserve"> from Germany (5), France (5), </w:t>
      </w:r>
      <w:r w:rsidRPr="009F018F">
        <w:rPr>
          <w:color w:val="000000"/>
          <w:szCs w:val="20"/>
          <w:lang w:eastAsia="en-GB"/>
        </w:rPr>
        <w:t>Spain (3) , Italy (2) and one each from Netherlands, Finland and Luxemb</w:t>
      </w:r>
      <w:r>
        <w:rPr>
          <w:color w:val="000000"/>
          <w:szCs w:val="20"/>
          <w:lang w:eastAsia="en-GB"/>
        </w:rPr>
        <w:t>o</w:t>
      </w:r>
      <w:r w:rsidRPr="009F018F">
        <w:rPr>
          <w:color w:val="000000"/>
          <w:szCs w:val="20"/>
          <w:lang w:eastAsia="en-GB"/>
        </w:rPr>
        <w:t>urg. This also partly reflects the fall in the value of the Euro against the dollar.</w:t>
      </w:r>
      <w:r w:rsidRPr="009F018F">
        <w:rPr>
          <w:rFonts w:cs="Helv"/>
          <w:color w:val="000000"/>
          <w:szCs w:val="20"/>
          <w:lang w:eastAsia="en-GB"/>
        </w:rPr>
        <w:t xml:space="preserve">  </w:t>
      </w:r>
    </w:p>
    <w:p w:rsidR="00311D83" w:rsidRPr="00311D83" w:rsidRDefault="00311D83" w:rsidP="00311D83">
      <w:pPr>
        <w:pStyle w:val="BodyText"/>
        <w:rPr>
          <w:szCs w:val="20"/>
        </w:rPr>
      </w:pPr>
      <w:r w:rsidRPr="00311D83">
        <w:rPr>
          <w:szCs w:val="20"/>
        </w:rPr>
        <w:t xml:space="preserve">Despite the size and significant growth in the Chinese economy, Chinese/Hong Kong companies did not feature as highly as perhaps expected. There are just 9 companies from China/Hong Kong in the Top 100, and there was no real upward trend since 2008 (then 8).  The nine companies represented on the list in 2013 are mostly from the Banking, Insurance and Energy sectors. These companies are of huge local and regional significance but have yet to expand globally. </w:t>
      </w:r>
    </w:p>
    <w:p w:rsidR="000E096F" w:rsidRPr="009B60D4" w:rsidRDefault="000E096F" w:rsidP="000E096F">
      <w:pPr>
        <w:pStyle w:val="BodyText"/>
        <w:rPr>
          <w:highlight w:val="yellow"/>
        </w:rPr>
      </w:pPr>
      <w:r w:rsidRPr="009B60D4">
        <w:t xml:space="preserve">Raman Chitkara, PwC’s Leader of the Global Technology Practice, concluded:  </w:t>
      </w:r>
    </w:p>
    <w:p w:rsidR="000E096F" w:rsidRPr="009B60D4" w:rsidRDefault="000E096F" w:rsidP="000E096F">
      <w:pPr>
        <w:pStyle w:val="BodyText"/>
        <w:ind w:left="720"/>
      </w:pPr>
      <w:r w:rsidRPr="009B60D4">
        <w:t xml:space="preserve">“Apple is not the only leading technology company in our ranking. Google moving from 36 to 3 in the list, and IBM moving from 27 to 9 in the list show a similar positive development.  Constant innovation and the growing impact of technology in our day to day lives is the principal driver for the overall success of technology companies. The growth and success of these companies is global and is not limited to their home markets alone. </w:t>
      </w:r>
    </w:p>
    <w:p w:rsidR="000E096F" w:rsidRPr="009B60D4" w:rsidRDefault="000E096F" w:rsidP="000E096F">
      <w:pPr>
        <w:autoSpaceDE w:val="0"/>
        <w:autoSpaceDN w:val="0"/>
        <w:adjustRightInd w:val="0"/>
        <w:spacing w:line="240" w:lineRule="auto"/>
        <w:ind w:left="720"/>
        <w:rPr>
          <w:rFonts w:cs="ITCCharterCom-Italic"/>
          <w:iCs/>
        </w:rPr>
      </w:pPr>
      <w:r w:rsidRPr="009B60D4">
        <w:rPr>
          <w:rFonts w:cs="ITCCharterCom-Italic"/>
          <w:iCs/>
        </w:rPr>
        <w:t xml:space="preserve">“Increased global footprint from existing brands like WalMart and McDonald's and the disruptions caused by new e-commerce players like Amazon and ebay accessing purchasers in new and innovative ways has helped drive massive growth.” </w:t>
      </w:r>
    </w:p>
    <w:p w:rsidR="00311D83" w:rsidRPr="00311D83" w:rsidRDefault="00311D83" w:rsidP="00311D83">
      <w:pPr>
        <w:pStyle w:val="BodyText"/>
        <w:rPr>
          <w:szCs w:val="20"/>
        </w:rPr>
      </w:pPr>
    </w:p>
    <w:p w:rsidR="006A72B3" w:rsidRPr="00D54980" w:rsidRDefault="00410893" w:rsidP="00D54980">
      <w:pPr>
        <w:autoSpaceDE w:val="0"/>
        <w:autoSpaceDN w:val="0"/>
        <w:adjustRightInd w:val="0"/>
        <w:spacing w:line="240" w:lineRule="auto"/>
        <w:rPr>
          <w:rFonts w:cs="Helv"/>
          <w:szCs w:val="20"/>
        </w:rPr>
      </w:pPr>
      <w:r w:rsidRPr="00D54980">
        <w:rPr>
          <w:rFonts w:cs="Helv"/>
          <w:b/>
          <w:bCs/>
          <w:szCs w:val="20"/>
        </w:rPr>
        <w:t xml:space="preserve">Ends  </w:t>
      </w:r>
    </w:p>
    <w:p w:rsidR="006A72B3" w:rsidRPr="00311D83" w:rsidRDefault="006A72B3">
      <w:pPr>
        <w:tabs>
          <w:tab w:val="left" w:pos="2043"/>
        </w:tabs>
        <w:autoSpaceDE w:val="0"/>
        <w:autoSpaceDN w:val="0"/>
        <w:adjustRightInd w:val="0"/>
        <w:spacing w:line="240" w:lineRule="auto"/>
        <w:rPr>
          <w:b/>
          <w:szCs w:val="20"/>
          <w:lang w:val="en-US"/>
        </w:rPr>
      </w:pPr>
    </w:p>
    <w:p w:rsidR="006A72B3" w:rsidRPr="00311D83" w:rsidRDefault="00410893">
      <w:pPr>
        <w:tabs>
          <w:tab w:val="left" w:pos="2043"/>
        </w:tabs>
        <w:autoSpaceDE w:val="0"/>
        <w:autoSpaceDN w:val="0"/>
        <w:adjustRightInd w:val="0"/>
        <w:spacing w:line="240" w:lineRule="auto"/>
        <w:rPr>
          <w:b/>
          <w:szCs w:val="20"/>
          <w:lang w:val="en-US"/>
        </w:rPr>
      </w:pPr>
      <w:r w:rsidRPr="00311D83">
        <w:rPr>
          <w:b/>
          <w:szCs w:val="20"/>
          <w:lang w:val="en-US"/>
        </w:rPr>
        <w:t>Notes</w:t>
      </w:r>
    </w:p>
    <w:p w:rsidR="006A72B3" w:rsidRPr="00311D83" w:rsidRDefault="006A72B3">
      <w:pPr>
        <w:tabs>
          <w:tab w:val="left" w:pos="2043"/>
        </w:tabs>
        <w:autoSpaceDE w:val="0"/>
        <w:autoSpaceDN w:val="0"/>
        <w:adjustRightInd w:val="0"/>
        <w:spacing w:line="240" w:lineRule="auto"/>
        <w:rPr>
          <w:b/>
          <w:szCs w:val="20"/>
          <w:lang w:val="en-US"/>
        </w:rPr>
      </w:pPr>
    </w:p>
    <w:p w:rsidR="00D54980" w:rsidRDefault="00410893" w:rsidP="00D54980">
      <w:pPr>
        <w:autoSpaceDE w:val="0"/>
        <w:autoSpaceDN w:val="0"/>
        <w:adjustRightInd w:val="0"/>
        <w:spacing w:line="240" w:lineRule="auto"/>
        <w:rPr>
          <w:rFonts w:cs="ITCCharterCom-Regular"/>
          <w:color w:val="000000"/>
          <w:szCs w:val="20"/>
          <w:lang w:eastAsia="en-GB"/>
        </w:rPr>
      </w:pPr>
      <w:r w:rsidRPr="00311D83">
        <w:rPr>
          <w:rFonts w:cs="Helv"/>
          <w:b/>
          <w:szCs w:val="20"/>
        </w:rPr>
        <w:t>1.</w:t>
      </w:r>
      <w:r w:rsidR="00D54980" w:rsidRPr="00D54980">
        <w:rPr>
          <w:rFonts w:cs="ITCCharterCom-Regular"/>
          <w:color w:val="000000"/>
          <w:szCs w:val="20"/>
          <w:lang w:eastAsia="en-GB"/>
        </w:rPr>
        <w:t xml:space="preserve"> </w:t>
      </w:r>
      <w:r w:rsidR="00D54980">
        <w:rPr>
          <w:rFonts w:cs="ITCCharterCom-Regular"/>
          <w:color w:val="000000"/>
          <w:szCs w:val="20"/>
          <w:lang w:eastAsia="en-GB"/>
        </w:rPr>
        <w:t xml:space="preserve"> PwC’s  IPO centre brings together our global expertise ensuring </w:t>
      </w:r>
      <w:r w:rsidR="00D54980">
        <w:rPr>
          <w:rFonts w:cs="Tms Rmn"/>
          <w:color w:val="000000"/>
          <w:szCs w:val="20"/>
          <w:lang w:eastAsia="en-GB"/>
        </w:rPr>
        <w:t>that as one firm we provide companies with the right mix of sector and IPO</w:t>
      </w:r>
      <w:r w:rsidR="00D54980">
        <w:rPr>
          <w:rFonts w:cs="ITCCharterCom-Regular"/>
          <w:color w:val="000000"/>
          <w:szCs w:val="20"/>
          <w:lang w:eastAsia="en-GB"/>
        </w:rPr>
        <w:t xml:space="preserve"> expertise combined with relevant local and international market knowledge. Through the IPO centre we are able to connect companies with the right PwC capital market specialists, </w:t>
      </w:r>
      <w:r w:rsidR="00D54980">
        <w:rPr>
          <w:rFonts w:cs="Tms Rmn"/>
          <w:color w:val="000000"/>
          <w:szCs w:val="20"/>
          <w:lang w:eastAsia="en-GB"/>
        </w:rPr>
        <w:t>take them through the flotation process and prepare them for life</w:t>
      </w:r>
      <w:r w:rsidR="00D54980">
        <w:rPr>
          <w:rFonts w:cs="ITCCharterCom-Regular"/>
          <w:color w:val="000000"/>
          <w:szCs w:val="20"/>
          <w:lang w:eastAsia="en-GB"/>
        </w:rPr>
        <w:t xml:space="preserve"> as a public company, regardless of the market they choose to list on.</w:t>
      </w:r>
    </w:p>
    <w:p w:rsidR="00D54980" w:rsidRDefault="00D54980">
      <w:pPr>
        <w:autoSpaceDE w:val="0"/>
        <w:autoSpaceDN w:val="0"/>
        <w:adjustRightInd w:val="0"/>
        <w:spacing w:line="240" w:lineRule="auto"/>
        <w:rPr>
          <w:rFonts w:cs="Helv"/>
          <w:b/>
          <w:szCs w:val="20"/>
        </w:rPr>
      </w:pPr>
    </w:p>
    <w:p w:rsidR="006A72B3" w:rsidRPr="00311D83" w:rsidRDefault="00410893">
      <w:pPr>
        <w:autoSpaceDE w:val="0"/>
        <w:autoSpaceDN w:val="0"/>
        <w:adjustRightInd w:val="0"/>
        <w:spacing w:line="240" w:lineRule="auto"/>
        <w:rPr>
          <w:rFonts w:cs="Helv"/>
          <w:b/>
          <w:szCs w:val="20"/>
        </w:rPr>
      </w:pPr>
      <w:r w:rsidRPr="00311D83">
        <w:rPr>
          <w:rFonts w:cs="Helv"/>
          <w:b/>
          <w:szCs w:val="20"/>
        </w:rPr>
        <w:t>About PwC</w:t>
      </w:r>
    </w:p>
    <w:p w:rsidR="006A72B3" w:rsidRPr="00311D83" w:rsidRDefault="006A72B3">
      <w:pPr>
        <w:autoSpaceDE w:val="0"/>
        <w:autoSpaceDN w:val="0"/>
        <w:adjustRightInd w:val="0"/>
        <w:spacing w:line="240" w:lineRule="auto"/>
        <w:rPr>
          <w:rFonts w:cs="Helv"/>
          <w:szCs w:val="20"/>
        </w:rPr>
      </w:pPr>
    </w:p>
    <w:p w:rsidR="006A72B3" w:rsidRPr="00311D83" w:rsidRDefault="0041089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eastAsia="en-GB"/>
        </w:rPr>
      </w:pPr>
      <w:r w:rsidRPr="00311D83">
        <w:rPr>
          <w:rFonts w:cs="Helv"/>
          <w:bCs/>
          <w:color w:val="000000"/>
          <w:szCs w:val="20"/>
          <w:lang w:eastAsia="en-GB"/>
        </w:rPr>
        <w:t xml:space="preserve">PwC helps organisations and individuals create the value they’re looking for.  We’re a network of firms in 158 countries with more than 180,000 people who are committed to delivering quality in assurance, tax and advisory services.  Tell us what matters to you and find out more by visiting us at www.pwc.com. </w:t>
      </w:r>
    </w:p>
    <w:p w:rsidR="006A72B3" w:rsidRPr="00311D83" w:rsidRDefault="006A72B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eastAsia="en-GB"/>
        </w:rPr>
      </w:pPr>
    </w:p>
    <w:p w:rsidR="006A72B3" w:rsidRPr="00311D83" w:rsidRDefault="00410893">
      <w:pPr>
        <w:spacing w:line="240" w:lineRule="auto"/>
        <w:rPr>
          <w:rFonts w:cs="Helv"/>
          <w:bCs/>
          <w:color w:val="000000"/>
          <w:szCs w:val="20"/>
          <w:lang w:eastAsia="en-GB"/>
        </w:rPr>
      </w:pPr>
      <w:r w:rsidRPr="00311D83">
        <w:rPr>
          <w:rFonts w:cs="Helv"/>
          <w:bCs/>
          <w:color w:val="000000"/>
          <w:szCs w:val="20"/>
          <w:lang w:eastAsia="en-GB"/>
        </w:rPr>
        <w:t>PwC refers to the PwC network and/or one or more of its member firms, each of which is a separate legal entity. Please see www.pwc.com/structure for further details.</w:t>
      </w:r>
    </w:p>
    <w:p w:rsidR="00744394" w:rsidRDefault="00744394">
      <w:pPr>
        <w:spacing w:line="240" w:lineRule="auto"/>
        <w:rPr>
          <w:rFonts w:cs="Arial"/>
          <w:color w:val="000000"/>
          <w:szCs w:val="20"/>
        </w:rPr>
      </w:pPr>
    </w:p>
    <w:p w:rsidR="006A72B3" w:rsidRPr="00311D83" w:rsidRDefault="00410893">
      <w:pPr>
        <w:spacing w:line="240" w:lineRule="auto"/>
        <w:rPr>
          <w:rFonts w:cs="Arial"/>
          <w:bCs/>
          <w:szCs w:val="20"/>
        </w:rPr>
      </w:pPr>
      <w:r w:rsidRPr="00311D83">
        <w:rPr>
          <w:rFonts w:cs="Arial"/>
          <w:color w:val="000000"/>
          <w:szCs w:val="20"/>
        </w:rPr>
        <w:t>2013 PricewaterhouseCoopers. All rights reserved.</w:t>
      </w:r>
    </w:p>
    <w:sectPr w:rsidR="006A72B3" w:rsidRPr="00311D83" w:rsidSect="006A72B3">
      <w:headerReference w:type="even" r:id="rId8"/>
      <w:headerReference w:type="default" r:id="rId9"/>
      <w:footerReference w:type="even" r:id="rId10"/>
      <w:footerReference w:type="default" r:id="rId11"/>
      <w:headerReference w:type="first" r:id="rId12"/>
      <w:footerReference w:type="first" r:id="rId13"/>
      <w:pgSz w:w="11907" w:h="16839"/>
      <w:pgMar w:top="3137" w:right="850" w:bottom="1417" w:left="198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94A" w:rsidRDefault="0092594A">
      <w:pPr>
        <w:spacing w:line="240" w:lineRule="auto"/>
      </w:pPr>
      <w:r>
        <w:separator/>
      </w:r>
    </w:p>
  </w:endnote>
  <w:endnote w:type="continuationSeparator" w:id="0">
    <w:p w:rsidR="0092594A" w:rsidRDefault="009259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ITCCharterCom-Ital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ITCCharterCom-Regular">
    <w:altName w:val="MS Mincho"/>
    <w:panose1 w:val="00000000000000000000"/>
    <w:charset w:val="80"/>
    <w:family w:val="auto"/>
    <w:notTrueType/>
    <w:pitch w:val="default"/>
    <w:sig w:usb0="00000003" w:usb1="08070000" w:usb2="00000010" w:usb3="00000000" w:csb0="0002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2B3" w:rsidRDefault="00A35B79">
    <w:pPr>
      <w:pStyle w:val="Footer"/>
    </w:pPr>
    <w:fldSimple w:instr=" PAGE  \* MERGEFORMAT ">
      <w:r w:rsidR="00127C42">
        <w:rPr>
          <w:noProof/>
        </w:rPr>
        <w:t>2</w:t>
      </w:r>
    </w:fldSimple>
    <w:r w:rsidR="00410893">
      <w:t xml:space="preserve"> of </w:t>
    </w:r>
    <w:fldSimple w:instr=" NUMPAGES  \* MERGEFORMAT ">
      <w:r w:rsidR="00127C42">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2B3" w:rsidRDefault="00A35B79">
    <w:pPr>
      <w:pStyle w:val="Footer"/>
    </w:pPr>
    <w:fldSimple w:instr=" PAGE  \* MERGEFORMAT ">
      <w:r w:rsidR="009153CD">
        <w:rPr>
          <w:noProof/>
        </w:rPr>
        <w:t>3</w:t>
      </w:r>
    </w:fldSimple>
    <w:r w:rsidR="00410893">
      <w:t xml:space="preserve"> of </w:t>
    </w:r>
    <w:fldSimple w:instr=" NUMPAGES  \* MERGEFORMAT ">
      <w:r w:rsidR="00300AB9">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2B3" w:rsidRDefault="00410893">
    <w:pPr>
      <w:pStyle w:val="Address"/>
    </w:pPr>
    <w:bookmarkStart w:id="0" w:name="FirstPageFooter"/>
    <w:bookmarkEnd w:id="0"/>
    <w:r>
      <w:t>PricewaterhouseCoopers LLP, 1 Embankment Place. London, WC2N 6RH</w:t>
    </w:r>
  </w:p>
  <w:p w:rsidR="006A72B3" w:rsidRDefault="00410893">
    <w:pPr>
      <w:pStyle w:val="Address"/>
    </w:pPr>
    <w:r>
      <w:t>T: +44 (0)207 213 47 27 , www.ukmediacentre.pwc.com</w:t>
    </w:r>
  </w:p>
  <w:p w:rsidR="006A72B3" w:rsidRDefault="006A72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94A" w:rsidRDefault="0092594A">
      <w:pPr>
        <w:spacing w:line="240" w:lineRule="auto"/>
      </w:pPr>
      <w:r>
        <w:separator/>
      </w:r>
    </w:p>
  </w:footnote>
  <w:footnote w:type="continuationSeparator" w:id="0">
    <w:p w:rsidR="0092594A" w:rsidRDefault="0092594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2B3" w:rsidRDefault="00410893">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6A72B3" w:rsidRDefault="006A72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2B3" w:rsidRDefault="00410893">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6A72B3" w:rsidRDefault="006A72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2B3" w:rsidRDefault="00410893">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961BEA"/>
    <w:lvl w:ilvl="0">
      <w:numFmt w:val="bullet"/>
      <w:lvlText w:val="*"/>
      <w:lvlJc w:val="left"/>
    </w:lvl>
  </w:abstractNum>
  <w:abstractNum w:abstractNumId="1">
    <w:nsid w:val="008933FB"/>
    <w:multiLevelType w:val="hybridMultilevel"/>
    <w:tmpl w:val="E7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33F44"/>
    <w:multiLevelType w:val="hybridMultilevel"/>
    <w:tmpl w:val="839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70153"/>
    <w:multiLevelType w:val="hybridMultilevel"/>
    <w:tmpl w:val="130A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CF3A23"/>
    <w:multiLevelType w:val="multilevel"/>
    <w:tmpl w:val="423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24CE8"/>
    <w:multiLevelType w:val="hybridMultilevel"/>
    <w:tmpl w:val="40C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5F006C"/>
    <w:multiLevelType w:val="hybridMultilevel"/>
    <w:tmpl w:val="373AF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112BB4"/>
    <w:multiLevelType w:val="hybridMultilevel"/>
    <w:tmpl w:val="87FA2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86E48B1"/>
    <w:multiLevelType w:val="hybridMultilevel"/>
    <w:tmpl w:val="FF5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7C2006"/>
    <w:multiLevelType w:val="hybridMultilevel"/>
    <w:tmpl w:val="7F2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147438"/>
    <w:multiLevelType w:val="hybridMultilevel"/>
    <w:tmpl w:val="A8C0424C"/>
    <w:lvl w:ilvl="0" w:tplc="08090001">
      <w:start w:val="1"/>
      <w:numFmt w:val="bullet"/>
      <w:lvlText w:val=""/>
      <w:lvlJc w:val="left"/>
      <w:pPr>
        <w:ind w:left="107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nsid w:val="36372A18"/>
    <w:multiLevelType w:val="hybridMultilevel"/>
    <w:tmpl w:val="476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8E67DA"/>
    <w:multiLevelType w:val="hybridMultilevel"/>
    <w:tmpl w:val="B0CE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345227"/>
    <w:multiLevelType w:val="hybridMultilevel"/>
    <w:tmpl w:val="42869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697BE4"/>
    <w:multiLevelType w:val="hybridMultilevel"/>
    <w:tmpl w:val="7DFC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95138A"/>
    <w:multiLevelType w:val="hybridMultilevel"/>
    <w:tmpl w:val="E98EA896"/>
    <w:lvl w:ilvl="0" w:tplc="2D709CE6">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3D26554"/>
    <w:multiLevelType w:val="hybridMultilevel"/>
    <w:tmpl w:val="2B826B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542C7544"/>
    <w:multiLevelType w:val="hybridMultilevel"/>
    <w:tmpl w:val="E72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8909D9"/>
    <w:multiLevelType w:val="hybridMultilevel"/>
    <w:tmpl w:val="86DAD9A4"/>
    <w:lvl w:ilvl="0" w:tplc="10889B90">
      <w:start w:val="5"/>
      <w:numFmt w:val="bullet"/>
      <w:lvlText w:val="-"/>
      <w:lvlJc w:val="left"/>
      <w:pPr>
        <w:ind w:left="720" w:hanging="360"/>
      </w:pPr>
      <w:rPr>
        <w:rFonts w:ascii="Georgia" w:eastAsia="Calibri" w:hAnsi="Georgia"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0">
    <w:nsid w:val="5E32625A"/>
    <w:multiLevelType w:val="hybridMultilevel"/>
    <w:tmpl w:val="C9BE094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nsid w:val="64D22B32"/>
    <w:multiLevelType w:val="hybridMultilevel"/>
    <w:tmpl w:val="B4A6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D751B6"/>
    <w:multiLevelType w:val="hybridMultilevel"/>
    <w:tmpl w:val="8F92528E"/>
    <w:lvl w:ilvl="0" w:tplc="E6DC1BFA">
      <w:start w:val="1"/>
      <w:numFmt w:val="decimal"/>
      <w:pStyle w:val="ListNumbered"/>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8"/>
  </w:num>
  <w:num w:numId="4">
    <w:abstractNumId w:val="22"/>
  </w:num>
  <w:num w:numId="5">
    <w:abstractNumId w:val="22"/>
    <w:lvlOverride w:ilvl="0">
      <w:startOverride w:val="1"/>
    </w:lvlOverride>
  </w:num>
  <w:num w:numId="6">
    <w:abstractNumId w:val="4"/>
  </w:num>
  <w:num w:numId="7">
    <w:abstractNumId w:val="12"/>
  </w:num>
  <w:num w:numId="8">
    <w:abstractNumId w:val="13"/>
  </w:num>
  <w:num w:numId="9">
    <w:abstractNumId w:val="11"/>
  </w:num>
  <w:num w:numId="10">
    <w:abstractNumId w:val="1"/>
  </w:num>
  <w:num w:numId="11">
    <w:abstractNumId w:val="2"/>
  </w:num>
  <w:num w:numId="12">
    <w:abstractNumId w:val="9"/>
  </w:num>
  <w:num w:numId="13">
    <w:abstractNumId w:val="6"/>
  </w:num>
  <w:num w:numId="14">
    <w:abstractNumId w:val="19"/>
  </w:num>
  <w:num w:numId="15">
    <w:abstractNumId w:val="16"/>
  </w:num>
  <w:num w:numId="16">
    <w:abstractNumId w:val="0"/>
    <w:lvlOverride w:ilvl="0">
      <w:lvl w:ilvl="0">
        <w:numFmt w:val="bullet"/>
        <w:lvlText w:val="•"/>
        <w:legacy w:legacy="1" w:legacySpace="0" w:legacyIndent="0"/>
        <w:lvlJc w:val="left"/>
        <w:rPr>
          <w:rFonts w:ascii="Helv" w:hAnsi="Helv" w:hint="default"/>
        </w:rPr>
      </w:lvl>
    </w:lvlOverride>
  </w:num>
  <w:num w:numId="17">
    <w:abstractNumId w:val="20"/>
  </w:num>
  <w:num w:numId="18">
    <w:abstractNumId w:val="18"/>
  </w:num>
  <w:num w:numId="19">
    <w:abstractNumId w:val="15"/>
  </w:num>
  <w:num w:numId="20">
    <w:abstractNumId w:val="10"/>
  </w:num>
  <w:num w:numId="21">
    <w:abstractNumId w:val="21"/>
  </w:num>
  <w:num w:numId="22">
    <w:abstractNumId w:val="17"/>
  </w:num>
  <w:num w:numId="23">
    <w:abstractNumId w:val="14"/>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evenAndOddHeaders/>
  <w:drawingGridHorizontalSpacing w:val="110"/>
  <w:displayHorizontalDrawingGridEvery w:val="2"/>
  <w:characterSpacingControl w:val="doNotCompress"/>
  <w:hdrShapeDefaults>
    <o:shapedefaults v:ext="edit" spidmax="64514"/>
  </w:hdrShapeDefaults>
  <w:footnotePr>
    <w:footnote w:id="-1"/>
    <w:footnote w:id="0"/>
  </w:footnotePr>
  <w:endnotePr>
    <w:endnote w:id="-1"/>
    <w:endnote w:id="0"/>
  </w:endnotePr>
  <w:compat/>
  <w:rsids>
    <w:rsidRoot w:val="006A72B3"/>
    <w:rsid w:val="000D079F"/>
    <w:rsid w:val="000E096F"/>
    <w:rsid w:val="00127C42"/>
    <w:rsid w:val="002728EF"/>
    <w:rsid w:val="002C5D33"/>
    <w:rsid w:val="00300AB9"/>
    <w:rsid w:val="00311D83"/>
    <w:rsid w:val="00410893"/>
    <w:rsid w:val="00470226"/>
    <w:rsid w:val="006A72B3"/>
    <w:rsid w:val="007263C7"/>
    <w:rsid w:val="00744394"/>
    <w:rsid w:val="007A03E5"/>
    <w:rsid w:val="008B2587"/>
    <w:rsid w:val="008D569A"/>
    <w:rsid w:val="009153CD"/>
    <w:rsid w:val="0092594A"/>
    <w:rsid w:val="00941513"/>
    <w:rsid w:val="009A1E3E"/>
    <w:rsid w:val="00A012DA"/>
    <w:rsid w:val="00A35B79"/>
    <w:rsid w:val="00A86BD8"/>
    <w:rsid w:val="00AE6F99"/>
    <w:rsid w:val="00B75484"/>
    <w:rsid w:val="00B80B72"/>
    <w:rsid w:val="00D3606F"/>
    <w:rsid w:val="00D42AE4"/>
    <w:rsid w:val="00D54980"/>
    <w:rsid w:val="00D92B2C"/>
    <w:rsid w:val="00E46AC0"/>
    <w:rsid w:val="00E746B8"/>
    <w:rsid w:val="00EB6356"/>
    <w:rsid w:val="00F34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2B3"/>
    <w:pPr>
      <w:spacing w:line="240" w:lineRule="atLeast"/>
    </w:pPr>
    <w:rPr>
      <w:rFonts w:ascii="Georgia" w:hAnsi="Georgia"/>
      <w:szCs w:val="22"/>
      <w:lang w:eastAsia="en-US"/>
    </w:rPr>
  </w:style>
  <w:style w:type="paragraph" w:styleId="Heading1">
    <w:name w:val="heading 1"/>
    <w:basedOn w:val="Normal"/>
    <w:next w:val="Normal"/>
    <w:link w:val="Heading1Char"/>
    <w:qFormat/>
    <w:rsid w:val="006A72B3"/>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6A72B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72B3"/>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A72B3"/>
  </w:style>
  <w:style w:type="paragraph" w:styleId="Footer">
    <w:name w:val="footer"/>
    <w:basedOn w:val="Normal"/>
    <w:link w:val="FooterChar"/>
    <w:uiPriority w:val="99"/>
    <w:semiHidden/>
    <w:unhideWhenUsed/>
    <w:rsid w:val="006A72B3"/>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6A72B3"/>
  </w:style>
  <w:style w:type="paragraph" w:styleId="BodyText">
    <w:name w:val="Body Text"/>
    <w:basedOn w:val="Normal"/>
    <w:link w:val="BodyTextChar"/>
    <w:uiPriority w:val="99"/>
    <w:unhideWhenUsed/>
    <w:rsid w:val="006A72B3"/>
    <w:pPr>
      <w:spacing w:after="240"/>
    </w:pPr>
  </w:style>
  <w:style w:type="character" w:customStyle="1" w:styleId="BodyTextChar">
    <w:name w:val="Body Text Char"/>
    <w:basedOn w:val="DefaultParagraphFont"/>
    <w:link w:val="BodyText"/>
    <w:uiPriority w:val="99"/>
    <w:rsid w:val="006A72B3"/>
    <w:rPr>
      <w:rFonts w:ascii="Georgia" w:hAnsi="Georgia"/>
      <w:sz w:val="20"/>
    </w:rPr>
  </w:style>
  <w:style w:type="paragraph" w:styleId="Title">
    <w:name w:val="Title"/>
    <w:basedOn w:val="Normal"/>
    <w:next w:val="Normal"/>
    <w:link w:val="TitleChar"/>
    <w:uiPriority w:val="10"/>
    <w:qFormat/>
    <w:rsid w:val="006A72B3"/>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6A72B3"/>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6A72B3"/>
    <w:pPr>
      <w:spacing w:line="200" w:lineRule="atLeast"/>
    </w:pPr>
    <w:rPr>
      <w:i/>
      <w:sz w:val="18"/>
    </w:rPr>
  </w:style>
  <w:style w:type="character" w:customStyle="1" w:styleId="AddressChar">
    <w:name w:val="Address Char"/>
    <w:basedOn w:val="DefaultParagraphFont"/>
    <w:link w:val="Address"/>
    <w:rsid w:val="006A72B3"/>
    <w:rPr>
      <w:rFonts w:ascii="Georgia" w:hAnsi="Georgia"/>
      <w:i/>
      <w:sz w:val="18"/>
    </w:rPr>
  </w:style>
  <w:style w:type="paragraph" w:customStyle="1" w:styleId="Disclaimer">
    <w:name w:val="Disclaimer"/>
    <w:basedOn w:val="Normal"/>
    <w:link w:val="DisclaimerChar"/>
    <w:rsid w:val="006A72B3"/>
    <w:pPr>
      <w:spacing w:line="140" w:lineRule="atLeast"/>
    </w:pPr>
    <w:rPr>
      <w:rFonts w:ascii="Arial" w:hAnsi="Arial" w:cs="Arial"/>
      <w:sz w:val="12"/>
    </w:rPr>
  </w:style>
  <w:style w:type="character" w:customStyle="1" w:styleId="DisclaimerChar">
    <w:name w:val="Disclaimer Char"/>
    <w:basedOn w:val="DefaultParagraphFont"/>
    <w:link w:val="Disclaimer"/>
    <w:rsid w:val="006A72B3"/>
    <w:rPr>
      <w:rFonts w:ascii="Arial" w:hAnsi="Arial" w:cs="Arial"/>
      <w:sz w:val="12"/>
    </w:rPr>
  </w:style>
  <w:style w:type="character" w:customStyle="1" w:styleId="Heading1Char">
    <w:name w:val="Heading 1 Char"/>
    <w:basedOn w:val="DefaultParagraphFont"/>
    <w:link w:val="Heading1"/>
    <w:rsid w:val="006A72B3"/>
    <w:rPr>
      <w:rFonts w:ascii="Cambria" w:eastAsia="Times New Roman" w:hAnsi="Cambria" w:cs="Times New Roman"/>
      <w:b/>
      <w:bCs/>
      <w:kern w:val="32"/>
      <w:sz w:val="32"/>
      <w:szCs w:val="32"/>
    </w:rPr>
  </w:style>
  <w:style w:type="paragraph" w:customStyle="1" w:styleId="ReleaseBodyText">
    <w:name w:val="Release Body Text"/>
    <w:rsid w:val="006A72B3"/>
    <w:rPr>
      <w:rFonts w:ascii="Arial" w:eastAsia="Times New Roman" w:hAnsi="Arial" w:cs="Arial"/>
      <w:lang w:eastAsia="en-US"/>
    </w:rPr>
  </w:style>
  <w:style w:type="paragraph" w:customStyle="1" w:styleId="Heading">
    <w:name w:val="Heading"/>
    <w:basedOn w:val="Normal"/>
    <w:rsid w:val="006A72B3"/>
    <w:pPr>
      <w:spacing w:line="240" w:lineRule="auto"/>
    </w:pPr>
    <w:rPr>
      <w:rFonts w:ascii="Arial" w:eastAsia="Times New Roman" w:hAnsi="Arial"/>
      <w:b/>
      <w:sz w:val="24"/>
      <w:szCs w:val="20"/>
    </w:rPr>
  </w:style>
  <w:style w:type="paragraph" w:styleId="ListParagraph">
    <w:name w:val="List Paragraph"/>
    <w:basedOn w:val="Normal"/>
    <w:uiPriority w:val="34"/>
    <w:unhideWhenUsed/>
    <w:qFormat/>
    <w:rsid w:val="006A72B3"/>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rsid w:val="006A72B3"/>
  </w:style>
  <w:style w:type="paragraph" w:customStyle="1" w:styleId="ListNumbered">
    <w:name w:val="List Numbered"/>
    <w:basedOn w:val="Normal"/>
    <w:rsid w:val="006A72B3"/>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sid w:val="006A72B3"/>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sid w:val="006A72B3"/>
    <w:rPr>
      <w:strike w:val="0"/>
      <w:dstrike w:val="0"/>
      <w:color w:val="0097DC"/>
      <w:u w:val="none"/>
      <w:effect w:val="none"/>
    </w:rPr>
  </w:style>
  <w:style w:type="character" w:styleId="Strong">
    <w:name w:val="Strong"/>
    <w:basedOn w:val="DefaultParagraphFont"/>
    <w:uiPriority w:val="22"/>
    <w:qFormat/>
    <w:rsid w:val="006A72B3"/>
    <w:rPr>
      <w:b/>
      <w:bCs/>
    </w:rPr>
  </w:style>
  <w:style w:type="character" w:customStyle="1" w:styleId="date-display-single">
    <w:name w:val="date-display-single"/>
    <w:basedOn w:val="DefaultParagraphFont"/>
    <w:rsid w:val="006A72B3"/>
  </w:style>
  <w:style w:type="character" w:customStyle="1" w:styleId="date-display-start">
    <w:name w:val="date-display-start"/>
    <w:basedOn w:val="DefaultParagraphFont"/>
    <w:rsid w:val="006A72B3"/>
  </w:style>
  <w:style w:type="character" w:customStyle="1" w:styleId="date-display-end">
    <w:name w:val="date-display-end"/>
    <w:basedOn w:val="DefaultParagraphFont"/>
    <w:rsid w:val="006A72B3"/>
  </w:style>
  <w:style w:type="character" w:customStyle="1" w:styleId="date-display-separator">
    <w:name w:val="date-display-separator"/>
    <w:basedOn w:val="DefaultParagraphFont"/>
    <w:rsid w:val="006A72B3"/>
  </w:style>
  <w:style w:type="character" w:customStyle="1" w:styleId="field-content2">
    <w:name w:val="field-content2"/>
    <w:basedOn w:val="DefaultParagraphFont"/>
    <w:rsid w:val="006A72B3"/>
  </w:style>
  <w:style w:type="character" w:styleId="CommentReference">
    <w:name w:val="annotation reference"/>
    <w:basedOn w:val="DefaultParagraphFont"/>
    <w:semiHidden/>
    <w:unhideWhenUsed/>
    <w:rsid w:val="006A72B3"/>
    <w:rPr>
      <w:sz w:val="16"/>
      <w:szCs w:val="16"/>
    </w:rPr>
  </w:style>
  <w:style w:type="paragraph" w:styleId="CommentText">
    <w:name w:val="annotation text"/>
    <w:basedOn w:val="Normal"/>
    <w:link w:val="CommentTextChar"/>
    <w:semiHidden/>
    <w:unhideWhenUsed/>
    <w:rsid w:val="006A72B3"/>
    <w:rPr>
      <w:szCs w:val="20"/>
    </w:rPr>
  </w:style>
  <w:style w:type="character" w:customStyle="1" w:styleId="CommentTextChar">
    <w:name w:val="Comment Text Char"/>
    <w:basedOn w:val="DefaultParagraphFont"/>
    <w:link w:val="CommentText"/>
    <w:semiHidden/>
    <w:rsid w:val="006A72B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6A72B3"/>
    <w:rPr>
      <w:b/>
      <w:bCs/>
    </w:rPr>
  </w:style>
  <w:style w:type="character" w:customStyle="1" w:styleId="CommentSubjectChar">
    <w:name w:val="Comment Subject Char"/>
    <w:basedOn w:val="CommentTextChar"/>
    <w:link w:val="CommentSubject"/>
    <w:uiPriority w:val="99"/>
    <w:semiHidden/>
    <w:rsid w:val="006A72B3"/>
    <w:rPr>
      <w:b/>
      <w:bCs/>
    </w:rPr>
  </w:style>
  <w:style w:type="paragraph" w:styleId="BalloonText">
    <w:name w:val="Balloon Text"/>
    <w:basedOn w:val="Normal"/>
    <w:link w:val="BalloonTextChar"/>
    <w:uiPriority w:val="99"/>
    <w:semiHidden/>
    <w:unhideWhenUsed/>
    <w:rsid w:val="006A72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2B3"/>
    <w:rPr>
      <w:rFonts w:ascii="Tahoma" w:hAnsi="Tahoma" w:cs="Tahoma"/>
      <w:sz w:val="16"/>
      <w:szCs w:val="16"/>
      <w:lang w:eastAsia="en-US"/>
    </w:rPr>
  </w:style>
  <w:style w:type="character" w:customStyle="1" w:styleId="at5">
    <w:name w:val="a__t5"/>
    <w:basedOn w:val="DefaultParagraphFont"/>
    <w:rsid w:val="006A72B3"/>
  </w:style>
  <w:style w:type="paragraph" w:customStyle="1" w:styleId="PIText">
    <w:name w:val="PI Text"/>
    <w:basedOn w:val="BodyTextIndent"/>
    <w:link w:val="PITextZchn"/>
    <w:rsid w:val="006A72B3"/>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sid w:val="006A72B3"/>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rsid w:val="006A72B3"/>
    <w:pPr>
      <w:spacing w:after="120"/>
      <w:ind w:left="283"/>
    </w:pPr>
  </w:style>
  <w:style w:type="character" w:customStyle="1" w:styleId="BodyTextIndentChar">
    <w:name w:val="Body Text Indent Char"/>
    <w:basedOn w:val="DefaultParagraphFont"/>
    <w:link w:val="BodyTextIndent"/>
    <w:uiPriority w:val="99"/>
    <w:semiHidden/>
    <w:rsid w:val="006A72B3"/>
    <w:rPr>
      <w:rFonts w:ascii="Georgia" w:hAnsi="Georgia"/>
      <w:szCs w:val="22"/>
      <w:lang w:eastAsia="en-US"/>
    </w:rPr>
  </w:style>
  <w:style w:type="paragraph" w:styleId="Quote">
    <w:name w:val="Quote"/>
    <w:basedOn w:val="ReleaseBodyText"/>
    <w:link w:val="QuoteChar"/>
    <w:qFormat/>
    <w:rsid w:val="006A72B3"/>
    <w:pPr>
      <w:ind w:left="540"/>
    </w:pPr>
  </w:style>
  <w:style w:type="character" w:customStyle="1" w:styleId="QuoteChar">
    <w:name w:val="Quote Char"/>
    <w:basedOn w:val="DefaultParagraphFont"/>
    <w:link w:val="Quote"/>
    <w:rsid w:val="006A72B3"/>
    <w:rPr>
      <w:rFonts w:ascii="Arial" w:eastAsia="Times New Roman" w:hAnsi="Arial" w:cs="Arial"/>
      <w:lang w:eastAsia="en-US"/>
    </w:rPr>
  </w:style>
  <w:style w:type="paragraph" w:customStyle="1" w:styleId="Listsub-heading">
    <w:name w:val="List sub-heading"/>
    <w:basedOn w:val="Normal"/>
    <w:rsid w:val="006A72B3"/>
    <w:pPr>
      <w:spacing w:line="240" w:lineRule="auto"/>
    </w:pPr>
    <w:rPr>
      <w:rFonts w:ascii="Arial" w:eastAsia="Times New Roman" w:hAnsi="Arial" w:cs="Arial"/>
      <w:b/>
      <w:i/>
      <w:szCs w:val="20"/>
    </w:rPr>
  </w:style>
  <w:style w:type="paragraph" w:customStyle="1" w:styleId="Listbullet">
    <w:name w:val="List bullet"/>
    <w:basedOn w:val="Normal"/>
    <w:rsid w:val="006A72B3"/>
    <w:pPr>
      <w:numPr>
        <w:numId w:val="19"/>
      </w:numPr>
      <w:spacing w:line="240" w:lineRule="auto"/>
    </w:pPr>
    <w:rPr>
      <w:rFonts w:ascii="Arial" w:eastAsia="Times New Roman" w:hAnsi="Arial" w:cs="Arial"/>
      <w:szCs w:val="20"/>
    </w:rPr>
  </w:style>
</w:styles>
</file>

<file path=word/webSettings.xml><?xml version="1.0" encoding="utf-8"?>
<w:webSettings xmlns:r="http://schemas.openxmlformats.org/officeDocument/2006/relationships" xmlns:w="http://schemas.openxmlformats.org/wordprocessingml/2006/main">
  <w:divs>
    <w:div w:id="942566823">
      <w:bodyDiv w:val="1"/>
      <w:marLeft w:val="0"/>
      <w:marRight w:val="0"/>
      <w:marTop w:val="0"/>
      <w:marBottom w:val="0"/>
      <w:divBdr>
        <w:top w:val="none" w:sz="0" w:space="0" w:color="auto"/>
        <w:left w:val="none" w:sz="0" w:space="0" w:color="auto"/>
        <w:bottom w:val="none" w:sz="0" w:space="0" w:color="auto"/>
        <w:right w:val="none" w:sz="0" w:space="0" w:color="auto"/>
      </w:divBdr>
      <w:divsChild>
        <w:div w:id="1161501456">
          <w:marLeft w:val="0"/>
          <w:marRight w:val="0"/>
          <w:marTop w:val="375"/>
          <w:marBottom w:val="0"/>
          <w:divBdr>
            <w:top w:val="none" w:sz="0" w:space="0" w:color="auto"/>
            <w:left w:val="none" w:sz="0" w:space="0" w:color="auto"/>
            <w:bottom w:val="none" w:sz="0" w:space="0" w:color="auto"/>
            <w:right w:val="none" w:sz="0" w:space="0" w:color="auto"/>
          </w:divBdr>
          <w:divsChild>
            <w:div w:id="1557425355">
              <w:marLeft w:val="0"/>
              <w:marRight w:val="0"/>
              <w:marTop w:val="0"/>
              <w:marBottom w:val="0"/>
              <w:divBdr>
                <w:top w:val="none" w:sz="0" w:space="0" w:color="auto"/>
                <w:left w:val="none" w:sz="0" w:space="0" w:color="auto"/>
                <w:bottom w:val="none" w:sz="0" w:space="0" w:color="auto"/>
                <w:right w:val="none" w:sz="0" w:space="0" w:color="auto"/>
              </w:divBdr>
              <w:divsChild>
                <w:div w:id="132479794">
                  <w:marLeft w:val="0"/>
                  <w:marRight w:val="0"/>
                  <w:marTop w:val="0"/>
                  <w:marBottom w:val="0"/>
                  <w:divBdr>
                    <w:top w:val="none" w:sz="0" w:space="0" w:color="auto"/>
                    <w:left w:val="none" w:sz="0" w:space="0" w:color="auto"/>
                    <w:bottom w:val="none" w:sz="0" w:space="0" w:color="auto"/>
                    <w:right w:val="none" w:sz="0" w:space="0" w:color="auto"/>
                  </w:divBdr>
                  <w:divsChild>
                    <w:div w:id="1467166847">
                      <w:marLeft w:val="0"/>
                      <w:marRight w:val="0"/>
                      <w:marTop w:val="0"/>
                      <w:marBottom w:val="0"/>
                      <w:divBdr>
                        <w:top w:val="none" w:sz="0" w:space="0" w:color="auto"/>
                        <w:left w:val="none" w:sz="0" w:space="0" w:color="auto"/>
                        <w:bottom w:val="none" w:sz="0" w:space="0" w:color="auto"/>
                        <w:right w:val="none" w:sz="0" w:space="0" w:color="auto"/>
                      </w:divBdr>
                      <w:divsChild>
                        <w:div w:id="575941641">
                          <w:marLeft w:val="150"/>
                          <w:marRight w:val="0"/>
                          <w:marTop w:val="0"/>
                          <w:marBottom w:val="0"/>
                          <w:divBdr>
                            <w:top w:val="none" w:sz="0" w:space="0" w:color="auto"/>
                            <w:left w:val="none" w:sz="0" w:space="0" w:color="auto"/>
                            <w:bottom w:val="none" w:sz="0" w:space="0" w:color="auto"/>
                            <w:right w:val="none" w:sz="0" w:space="0" w:color="auto"/>
                          </w:divBdr>
                          <w:divsChild>
                            <w:div w:id="1929076477">
                              <w:marLeft w:val="0"/>
                              <w:marRight w:val="0"/>
                              <w:marTop w:val="0"/>
                              <w:marBottom w:val="0"/>
                              <w:divBdr>
                                <w:top w:val="none" w:sz="0" w:space="0" w:color="auto"/>
                                <w:left w:val="none" w:sz="0" w:space="0" w:color="auto"/>
                                <w:bottom w:val="none" w:sz="0" w:space="0" w:color="auto"/>
                                <w:right w:val="none" w:sz="0" w:space="0" w:color="auto"/>
                              </w:divBdr>
                              <w:divsChild>
                                <w:div w:id="1488089119">
                                  <w:marLeft w:val="0"/>
                                  <w:marRight w:val="0"/>
                                  <w:marTop w:val="0"/>
                                  <w:marBottom w:val="0"/>
                                  <w:divBdr>
                                    <w:top w:val="none" w:sz="0" w:space="0" w:color="auto"/>
                                    <w:left w:val="none" w:sz="0" w:space="0" w:color="auto"/>
                                    <w:bottom w:val="none" w:sz="0" w:space="0" w:color="auto"/>
                                    <w:right w:val="none" w:sz="0" w:space="0" w:color="auto"/>
                                  </w:divBdr>
                                  <w:divsChild>
                                    <w:div w:id="1719359213">
                                      <w:marLeft w:val="0"/>
                                      <w:marRight w:val="0"/>
                                      <w:marTop w:val="0"/>
                                      <w:marBottom w:val="0"/>
                                      <w:divBdr>
                                        <w:top w:val="none" w:sz="0" w:space="0" w:color="auto"/>
                                        <w:left w:val="none" w:sz="0" w:space="0" w:color="auto"/>
                                        <w:bottom w:val="none" w:sz="0" w:space="0" w:color="auto"/>
                                        <w:right w:val="none" w:sz="0" w:space="0" w:color="auto"/>
                                      </w:divBdr>
                                      <w:divsChild>
                                        <w:div w:id="799956768">
                                          <w:marLeft w:val="0"/>
                                          <w:marRight w:val="0"/>
                                          <w:marTop w:val="0"/>
                                          <w:marBottom w:val="0"/>
                                          <w:divBdr>
                                            <w:top w:val="none" w:sz="0" w:space="0" w:color="auto"/>
                                            <w:left w:val="none" w:sz="0" w:space="0" w:color="auto"/>
                                            <w:bottom w:val="single" w:sz="6" w:space="8" w:color="D8D4D0"/>
                                            <w:right w:val="none" w:sz="0" w:space="0" w:color="auto"/>
                                          </w:divBdr>
                                          <w:divsChild>
                                            <w:div w:id="54941053">
                                              <w:marLeft w:val="0"/>
                                              <w:marRight w:val="0"/>
                                              <w:marTop w:val="0"/>
                                              <w:marBottom w:val="0"/>
                                              <w:divBdr>
                                                <w:top w:val="none" w:sz="0" w:space="0" w:color="auto"/>
                                                <w:left w:val="none" w:sz="0" w:space="0" w:color="auto"/>
                                                <w:bottom w:val="none" w:sz="0" w:space="0" w:color="auto"/>
                                                <w:right w:val="none" w:sz="0" w:space="0" w:color="auto"/>
                                              </w:divBdr>
                                            </w:div>
                                            <w:div w:id="344326605">
                                              <w:marLeft w:val="0"/>
                                              <w:marRight w:val="0"/>
                                              <w:marTop w:val="0"/>
                                              <w:marBottom w:val="0"/>
                                              <w:divBdr>
                                                <w:top w:val="none" w:sz="0" w:space="0" w:color="auto"/>
                                                <w:left w:val="none" w:sz="0" w:space="0" w:color="auto"/>
                                                <w:bottom w:val="none" w:sz="0" w:space="0" w:color="auto"/>
                                                <w:right w:val="none" w:sz="0" w:space="0" w:color="auto"/>
                                              </w:divBdr>
                                            </w:div>
                                            <w:div w:id="672801690">
                                              <w:marLeft w:val="0"/>
                                              <w:marRight w:val="0"/>
                                              <w:marTop w:val="120"/>
                                              <w:marBottom w:val="0"/>
                                              <w:divBdr>
                                                <w:top w:val="none" w:sz="0" w:space="0" w:color="auto"/>
                                                <w:left w:val="none" w:sz="0" w:space="0" w:color="auto"/>
                                                <w:bottom w:val="none" w:sz="0" w:space="0" w:color="auto"/>
                                                <w:right w:val="none" w:sz="0" w:space="0" w:color="auto"/>
                                              </w:divBdr>
                                            </w:div>
                                            <w:div w:id="828131109">
                                              <w:marLeft w:val="0"/>
                                              <w:marRight w:val="150"/>
                                              <w:marTop w:val="0"/>
                                              <w:marBottom w:val="0"/>
                                              <w:divBdr>
                                                <w:top w:val="none" w:sz="0" w:space="0" w:color="auto"/>
                                                <w:left w:val="none" w:sz="0" w:space="0" w:color="auto"/>
                                                <w:bottom w:val="none" w:sz="0" w:space="0" w:color="auto"/>
                                                <w:right w:val="single" w:sz="6" w:space="8" w:color="63513F"/>
                                              </w:divBdr>
                                            </w:div>
                                            <w:div w:id="833228146">
                                              <w:marLeft w:val="0"/>
                                              <w:marRight w:val="0"/>
                                              <w:marTop w:val="0"/>
                                              <w:marBottom w:val="0"/>
                                              <w:divBdr>
                                                <w:top w:val="none" w:sz="0" w:space="0" w:color="auto"/>
                                                <w:left w:val="none" w:sz="0" w:space="0" w:color="auto"/>
                                                <w:bottom w:val="none" w:sz="0" w:space="0" w:color="auto"/>
                                                <w:right w:val="none" w:sz="0" w:space="0" w:color="auto"/>
                                              </w:divBdr>
                                            </w:div>
                                            <w:div w:id="927690585">
                                              <w:marLeft w:val="0"/>
                                              <w:marRight w:val="0"/>
                                              <w:marTop w:val="150"/>
                                              <w:marBottom w:val="75"/>
                                              <w:divBdr>
                                                <w:top w:val="none" w:sz="0" w:space="0" w:color="auto"/>
                                                <w:left w:val="none" w:sz="0" w:space="0" w:color="auto"/>
                                                <w:bottom w:val="none" w:sz="0" w:space="0" w:color="auto"/>
                                                <w:right w:val="none" w:sz="0" w:space="0" w:color="auto"/>
                                              </w:divBdr>
                                            </w:div>
                                            <w:div w:id="970398329">
                                              <w:marLeft w:val="0"/>
                                              <w:marRight w:val="0"/>
                                              <w:marTop w:val="150"/>
                                              <w:marBottom w:val="75"/>
                                              <w:divBdr>
                                                <w:top w:val="none" w:sz="0" w:space="0" w:color="auto"/>
                                                <w:left w:val="none" w:sz="0" w:space="0" w:color="auto"/>
                                                <w:bottom w:val="none" w:sz="0" w:space="0" w:color="auto"/>
                                                <w:right w:val="none" w:sz="0" w:space="0" w:color="auto"/>
                                              </w:divBdr>
                                            </w:div>
                                            <w:div w:id="991178956">
                                              <w:marLeft w:val="0"/>
                                              <w:marRight w:val="150"/>
                                              <w:marTop w:val="0"/>
                                              <w:marBottom w:val="0"/>
                                              <w:divBdr>
                                                <w:top w:val="none" w:sz="0" w:space="0" w:color="auto"/>
                                                <w:left w:val="none" w:sz="0" w:space="0" w:color="auto"/>
                                                <w:bottom w:val="none" w:sz="0" w:space="0" w:color="auto"/>
                                                <w:right w:val="single" w:sz="6" w:space="8" w:color="63513F"/>
                                              </w:divBdr>
                                            </w:div>
                                            <w:div w:id="1382245788">
                                              <w:marLeft w:val="0"/>
                                              <w:marRight w:val="150"/>
                                              <w:marTop w:val="0"/>
                                              <w:marBottom w:val="0"/>
                                              <w:divBdr>
                                                <w:top w:val="none" w:sz="0" w:space="0" w:color="auto"/>
                                                <w:left w:val="none" w:sz="0" w:space="0" w:color="auto"/>
                                                <w:bottom w:val="none" w:sz="0" w:space="0" w:color="auto"/>
                                                <w:right w:val="single" w:sz="6" w:space="8" w:color="63513F"/>
                                              </w:divBdr>
                                            </w:div>
                                            <w:div w:id="1400984055">
                                              <w:marLeft w:val="0"/>
                                              <w:marRight w:val="150"/>
                                              <w:marTop w:val="0"/>
                                              <w:marBottom w:val="0"/>
                                              <w:divBdr>
                                                <w:top w:val="none" w:sz="0" w:space="0" w:color="auto"/>
                                                <w:left w:val="none" w:sz="0" w:space="0" w:color="auto"/>
                                                <w:bottom w:val="none" w:sz="0" w:space="0" w:color="auto"/>
                                                <w:right w:val="single" w:sz="6" w:space="8" w:color="63513F"/>
                                              </w:divBdr>
                                            </w:div>
                                            <w:div w:id="1698893396">
                                              <w:marLeft w:val="0"/>
                                              <w:marRight w:val="0"/>
                                              <w:marTop w:val="120"/>
                                              <w:marBottom w:val="0"/>
                                              <w:divBdr>
                                                <w:top w:val="none" w:sz="0" w:space="0" w:color="auto"/>
                                                <w:left w:val="none" w:sz="0" w:space="0" w:color="auto"/>
                                                <w:bottom w:val="none" w:sz="0" w:space="0" w:color="auto"/>
                                                <w:right w:val="none" w:sz="0" w:space="0" w:color="auto"/>
                                              </w:divBdr>
                                            </w:div>
                                            <w:div w:id="1720324249">
                                              <w:marLeft w:val="0"/>
                                              <w:marRight w:val="0"/>
                                              <w:marTop w:val="150"/>
                                              <w:marBottom w:val="75"/>
                                              <w:divBdr>
                                                <w:top w:val="none" w:sz="0" w:space="0" w:color="auto"/>
                                                <w:left w:val="none" w:sz="0" w:space="0" w:color="auto"/>
                                                <w:bottom w:val="none" w:sz="0" w:space="0" w:color="auto"/>
                                                <w:right w:val="none" w:sz="0" w:space="0" w:color="auto"/>
                                              </w:divBdr>
                                            </w:div>
                                            <w:div w:id="1844736403">
                                              <w:marLeft w:val="0"/>
                                              <w:marRight w:val="0"/>
                                              <w:marTop w:val="150"/>
                                              <w:marBottom w:val="75"/>
                                              <w:divBdr>
                                                <w:top w:val="none" w:sz="0" w:space="0" w:color="auto"/>
                                                <w:left w:val="none" w:sz="0" w:space="0" w:color="auto"/>
                                                <w:bottom w:val="none" w:sz="0" w:space="0" w:color="auto"/>
                                                <w:right w:val="none" w:sz="0" w:space="0" w:color="auto"/>
                                              </w:divBdr>
                                            </w:div>
                                            <w:div w:id="2143186316">
                                              <w:marLeft w:val="0"/>
                                              <w:marRight w:val="0"/>
                                              <w:marTop w:val="120"/>
                                              <w:marBottom w:val="0"/>
                                              <w:divBdr>
                                                <w:top w:val="none" w:sz="0" w:space="0" w:color="auto"/>
                                                <w:left w:val="none" w:sz="0" w:space="0" w:color="auto"/>
                                                <w:bottom w:val="none" w:sz="0" w:space="0" w:color="auto"/>
                                                <w:right w:val="none" w:sz="0" w:space="0" w:color="auto"/>
                                              </w:divBdr>
                                            </w:div>
                                            <w:div w:id="21443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CD19A-4651-45A8-AAEE-B311D2EF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7</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5359</CharactersWithSpaces>
  <SharedDoc>false</SharedDoc>
  <HLinks>
    <vt:vector size="6" baseType="variant">
      <vt:variant>
        <vt:i4>6488149</vt:i4>
      </vt:variant>
      <vt:variant>
        <vt:i4>0</vt:i4>
      </vt:variant>
      <vt:variant>
        <vt:i4>0</vt:i4>
      </vt:variant>
      <vt:variant>
        <vt:i4>5</vt:i4>
      </vt:variant>
      <vt:variant>
        <vt:lpwstr>mailto:rowena.mearley@uk.pwc.com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cp:lastModifiedBy>
  <cp:revision>4</cp:revision>
  <cp:lastPrinted>2013-06-13T15:40:00Z</cp:lastPrinted>
  <dcterms:created xsi:type="dcterms:W3CDTF">2013-06-13T15:39:00Z</dcterms:created>
  <dcterms:modified xsi:type="dcterms:W3CDTF">2013-06-13T15:46:00Z</dcterms:modified>
</cp:coreProperties>
</file>