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399" w:rsidRPr="0082248B" w:rsidRDefault="00645335">
      <w:r w:rsidRPr="00645335">
        <w:rPr>
          <w:noProof/>
          <w:lang w:eastAsia="zh-CN"/>
        </w:rPr>
        <w:pict>
          <v:shape id="Freeform 2" o:spid="_x0000_s1026" style="position:absolute;margin-left:81.85pt;margin-top:769.2pt;width:6in;height:10.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" path="m,228l,,9301,e" filled="f" strokecolor="#dc6900" strokeweight="1pt">
            <v:stroke dashstyle="1 1" endcap="round"/>
            <v:path arrowok="t" o:connecttype="custom" o:connectlocs="0,133985;0,0;5486400,0" o:connectangles="0,0,0"/>
            <o:lock v:ext="edit" aspectratio="t"/>
            <w10:wrap anchorx="page" anchory="page"/>
            <w10:anchorlock/>
          </v:shape>
        </w:pict>
      </w:r>
    </w:p>
    <w:p w:rsidR="009C7BE5" w:rsidRPr="003E4A72" w:rsidRDefault="009C7BE5" w:rsidP="009C7BE5">
      <w:pPr>
        <w:pStyle w:val="Title"/>
        <w:spacing w:after="0"/>
        <w:rPr>
          <w:rFonts w:ascii="Georgia" w:hAnsi="Georgia"/>
          <w:color w:val="auto"/>
          <w:sz w:val="22"/>
          <w:szCs w:val="22"/>
        </w:rPr>
      </w:pPr>
      <w:bookmarkStart w:id="0" w:name="_GoBack"/>
      <w:bookmarkEnd w:id="0"/>
      <w:r w:rsidRPr="003E4A72">
        <w:rPr>
          <w:rFonts w:ascii="Georgia" w:hAnsi="Georgia"/>
          <w:color w:val="auto"/>
          <w:sz w:val="22"/>
          <w:szCs w:val="22"/>
        </w:rPr>
        <w:t xml:space="preserve">News release </w:t>
      </w:r>
    </w:p>
    <w:p w:rsidR="009C7BE5" w:rsidRPr="0082248B" w:rsidRDefault="009C7BE5" w:rsidP="009C7BE5"/>
    <w:tbl>
      <w:tblPr>
        <w:tblW w:w="0" w:type="auto"/>
        <w:tblLayout w:type="fixed"/>
        <w:tblLook w:val="0000"/>
      </w:tblPr>
      <w:tblGrid>
        <w:gridCol w:w="2268"/>
        <w:gridCol w:w="4645"/>
      </w:tblGrid>
      <w:tr w:rsidR="009C7BE5" w:rsidRPr="0082248B" w:rsidTr="003B0AE5">
        <w:tc>
          <w:tcPr>
            <w:tcW w:w="2268" w:type="dxa"/>
            <w:shd w:val="clear" w:color="auto" w:fill="auto"/>
          </w:tcPr>
          <w:p w:rsidR="009C7BE5" w:rsidRPr="003E4A72" w:rsidRDefault="009C7BE5" w:rsidP="003B0AE5">
            <w:pPr>
              <w:spacing w:line="240" w:lineRule="auto"/>
              <w:rPr>
                <w:i/>
                <w:sz w:val="22"/>
              </w:rPr>
            </w:pPr>
            <w:r w:rsidRPr="003E4A72">
              <w:rPr>
                <w:i/>
                <w:sz w:val="22"/>
              </w:rPr>
              <w:t>Date</w:t>
            </w:r>
          </w:p>
        </w:tc>
        <w:tc>
          <w:tcPr>
            <w:tcW w:w="4645" w:type="dxa"/>
            <w:shd w:val="clear" w:color="auto" w:fill="auto"/>
          </w:tcPr>
          <w:p w:rsidR="009C7BE5" w:rsidRPr="003E4A72" w:rsidRDefault="0080500C" w:rsidP="003B0AE5">
            <w:pPr>
              <w:spacing w:line="240" w:lineRule="auto"/>
              <w:rPr>
                <w:sz w:val="22"/>
                <w:lang w:eastAsia="zh-CN"/>
              </w:rPr>
            </w:pPr>
            <w:r>
              <w:rPr>
                <w:sz w:val="22"/>
                <w:lang w:eastAsia="zh-CN"/>
              </w:rPr>
              <w:t>22 May</w:t>
            </w:r>
            <w:r w:rsidR="009C7BE5" w:rsidRPr="003E4A72">
              <w:rPr>
                <w:sz w:val="22"/>
              </w:rPr>
              <w:t xml:space="preserve"> 201</w:t>
            </w:r>
            <w:r w:rsidR="00270C1F" w:rsidRPr="003E4A72">
              <w:rPr>
                <w:sz w:val="22"/>
                <w:lang w:eastAsia="zh-CN"/>
              </w:rPr>
              <w:t>3</w:t>
            </w:r>
          </w:p>
          <w:p w:rsidR="009C7BE5" w:rsidRPr="003E4A72" w:rsidRDefault="009C7BE5" w:rsidP="003B0AE5">
            <w:pPr>
              <w:spacing w:line="240" w:lineRule="auto"/>
              <w:rPr>
                <w:sz w:val="22"/>
              </w:rPr>
            </w:pPr>
          </w:p>
        </w:tc>
      </w:tr>
      <w:tr w:rsidR="009C7BE5" w:rsidRPr="0082248B" w:rsidTr="003B0AE5">
        <w:tc>
          <w:tcPr>
            <w:tcW w:w="2268" w:type="dxa"/>
            <w:shd w:val="clear" w:color="auto" w:fill="auto"/>
          </w:tcPr>
          <w:p w:rsidR="009C7BE5" w:rsidRPr="003E4A72" w:rsidRDefault="009C7BE5" w:rsidP="003B0AE5">
            <w:pPr>
              <w:spacing w:line="240" w:lineRule="auto"/>
              <w:rPr>
                <w:i/>
                <w:sz w:val="22"/>
              </w:rPr>
            </w:pPr>
            <w:r w:rsidRPr="003E4A72">
              <w:rPr>
                <w:i/>
                <w:sz w:val="22"/>
              </w:rPr>
              <w:t>Contact</w:t>
            </w:r>
          </w:p>
        </w:tc>
        <w:tc>
          <w:tcPr>
            <w:tcW w:w="4645" w:type="dxa"/>
            <w:shd w:val="clear" w:color="auto" w:fill="auto"/>
          </w:tcPr>
          <w:p w:rsidR="009C7BE5" w:rsidRPr="005625EE" w:rsidRDefault="006F56B9" w:rsidP="003B0AE5">
            <w:pPr>
              <w:autoSpaceDE w:val="0"/>
              <w:autoSpaceDN w:val="0"/>
              <w:adjustRightInd w:val="0"/>
              <w:jc w:val="both"/>
              <w:rPr>
                <w:rFonts w:cs="Helv"/>
                <w:color w:val="000000"/>
                <w:sz w:val="22"/>
                <w:lang w:eastAsia="zh-CN"/>
              </w:rPr>
            </w:pPr>
            <w:r w:rsidRPr="005625EE">
              <w:rPr>
                <w:rFonts w:cs="Helv"/>
                <w:color w:val="000000"/>
                <w:sz w:val="22"/>
                <w:lang w:eastAsia="zh-CN"/>
              </w:rPr>
              <w:t>Karen Ji</w:t>
            </w:r>
          </w:p>
          <w:p w:rsidR="006F56B9" w:rsidRPr="005625EE" w:rsidRDefault="006F56B9" w:rsidP="003B0AE5">
            <w:pPr>
              <w:autoSpaceDE w:val="0"/>
              <w:autoSpaceDN w:val="0"/>
              <w:adjustRightInd w:val="0"/>
              <w:jc w:val="both"/>
              <w:rPr>
                <w:rFonts w:cs="Helv"/>
                <w:color w:val="000000"/>
                <w:sz w:val="22"/>
                <w:lang w:eastAsia="zh-CN"/>
              </w:rPr>
            </w:pPr>
            <w:r w:rsidRPr="005625EE">
              <w:rPr>
                <w:rFonts w:cs="Helv"/>
                <w:color w:val="000000"/>
                <w:sz w:val="22"/>
                <w:lang w:eastAsia="zh-CN"/>
              </w:rPr>
              <w:t>+86 21 2323 3257</w:t>
            </w:r>
          </w:p>
          <w:p w:rsidR="006F56B9" w:rsidRPr="005625EE" w:rsidRDefault="006F56B9" w:rsidP="003B0AE5">
            <w:pPr>
              <w:autoSpaceDE w:val="0"/>
              <w:autoSpaceDN w:val="0"/>
              <w:adjustRightInd w:val="0"/>
              <w:jc w:val="both"/>
              <w:rPr>
                <w:rFonts w:cs="Helv"/>
                <w:color w:val="000000"/>
                <w:sz w:val="22"/>
                <w:lang w:eastAsia="zh-CN"/>
              </w:rPr>
            </w:pPr>
            <w:r w:rsidRPr="005625EE">
              <w:rPr>
                <w:rFonts w:cs="Helv"/>
                <w:color w:val="000000"/>
                <w:sz w:val="22"/>
                <w:lang w:eastAsia="zh-CN"/>
              </w:rPr>
              <w:t>karen.w.ji@cn.pwc.com</w:t>
            </w:r>
          </w:p>
          <w:p w:rsidR="006F56B9" w:rsidRPr="003E4A72" w:rsidRDefault="006F56B9" w:rsidP="003B0AE5">
            <w:pPr>
              <w:autoSpaceDE w:val="0"/>
              <w:autoSpaceDN w:val="0"/>
              <w:adjustRightInd w:val="0"/>
              <w:jc w:val="both"/>
              <w:rPr>
                <w:sz w:val="22"/>
                <w:lang w:val="it-IT" w:eastAsia="zh-CN"/>
              </w:rPr>
            </w:pPr>
          </w:p>
        </w:tc>
      </w:tr>
      <w:tr w:rsidR="009C7BE5" w:rsidRPr="0082248B" w:rsidTr="003B0AE5">
        <w:tc>
          <w:tcPr>
            <w:tcW w:w="2268" w:type="dxa"/>
            <w:shd w:val="clear" w:color="auto" w:fill="auto"/>
          </w:tcPr>
          <w:p w:rsidR="009C7BE5" w:rsidRPr="003E4A72" w:rsidRDefault="009C7BE5" w:rsidP="003B0AE5">
            <w:pPr>
              <w:spacing w:line="240" w:lineRule="auto"/>
              <w:rPr>
                <w:i/>
                <w:sz w:val="22"/>
              </w:rPr>
            </w:pPr>
            <w:r w:rsidRPr="003E4A72">
              <w:rPr>
                <w:i/>
                <w:sz w:val="22"/>
              </w:rPr>
              <w:t xml:space="preserve">Pages </w:t>
            </w:r>
          </w:p>
        </w:tc>
        <w:tc>
          <w:tcPr>
            <w:tcW w:w="4645" w:type="dxa"/>
            <w:shd w:val="clear" w:color="auto" w:fill="auto"/>
          </w:tcPr>
          <w:p w:rsidR="009C7BE5" w:rsidRPr="003E4A72" w:rsidRDefault="00890DE3" w:rsidP="003B0AE5">
            <w:pPr>
              <w:spacing w:line="240" w:lineRule="auto"/>
              <w:rPr>
                <w:sz w:val="22"/>
                <w:lang w:eastAsia="zh-CN"/>
              </w:rPr>
            </w:pPr>
            <w:r>
              <w:rPr>
                <w:rFonts w:hint="eastAsia"/>
                <w:sz w:val="22"/>
                <w:lang w:eastAsia="zh-CN"/>
              </w:rPr>
              <w:t>3</w:t>
            </w:r>
          </w:p>
          <w:p w:rsidR="009C7BE5" w:rsidRPr="003E4A72" w:rsidRDefault="009C7BE5" w:rsidP="003B0AE5">
            <w:pPr>
              <w:spacing w:line="240" w:lineRule="auto"/>
              <w:rPr>
                <w:sz w:val="22"/>
              </w:rPr>
            </w:pPr>
          </w:p>
        </w:tc>
      </w:tr>
    </w:tbl>
    <w:p w:rsidR="00D87399" w:rsidRDefault="00D87399">
      <w:pPr>
        <w:pStyle w:val="Title"/>
        <w:rPr>
          <w:rFonts w:ascii="Georgia" w:eastAsiaTheme="minorEastAsia" w:hAnsi="Georgia" w:cs="Arial"/>
          <w:bCs/>
          <w:i w:val="0"/>
          <w:color w:val="auto"/>
          <w:spacing w:val="0"/>
          <w:kern w:val="0"/>
          <w:sz w:val="22"/>
          <w:szCs w:val="22"/>
          <w:lang w:eastAsia="zh-CN"/>
        </w:rPr>
      </w:pPr>
    </w:p>
    <w:p w:rsidR="0080500C" w:rsidRDefault="001B220B" w:rsidP="00AC2B77">
      <w:pPr>
        <w:autoSpaceDE w:val="0"/>
        <w:autoSpaceDN w:val="0"/>
        <w:adjustRightInd w:val="0"/>
        <w:jc w:val="center"/>
        <w:rPr>
          <w:rFonts w:cs="Arial"/>
          <w:b/>
          <w:color w:val="000000"/>
          <w:sz w:val="28"/>
          <w:szCs w:val="28"/>
          <w:lang w:eastAsia="zh-CN"/>
        </w:rPr>
      </w:pPr>
      <w:r>
        <w:rPr>
          <w:rFonts w:cs="Arial"/>
          <w:b/>
          <w:color w:val="000000"/>
          <w:sz w:val="28"/>
          <w:szCs w:val="28"/>
          <w:lang w:eastAsia="zh-CN"/>
        </w:rPr>
        <w:t>Value of M&amp;A deals abroad by Chinese buyers soars to a record high</w:t>
      </w:r>
    </w:p>
    <w:p w:rsidR="00AC2B77" w:rsidRPr="00AC2B77" w:rsidRDefault="001B220B" w:rsidP="00AC2B77">
      <w:pPr>
        <w:autoSpaceDE w:val="0"/>
        <w:autoSpaceDN w:val="0"/>
        <w:adjustRightInd w:val="0"/>
        <w:jc w:val="center"/>
        <w:rPr>
          <w:rFonts w:cs="Arial"/>
          <w:i/>
          <w:color w:val="000000"/>
          <w:sz w:val="28"/>
          <w:szCs w:val="28"/>
          <w:lang w:eastAsia="en-GB"/>
        </w:rPr>
      </w:pPr>
      <w:r>
        <w:rPr>
          <w:rFonts w:cs="Arial"/>
          <w:i/>
          <w:color w:val="000000"/>
          <w:sz w:val="28"/>
          <w:szCs w:val="28"/>
          <w:lang w:eastAsia="en-GB"/>
        </w:rPr>
        <w:t>E</w:t>
      </w:r>
      <w:r w:rsidR="0080500C">
        <w:rPr>
          <w:rFonts w:cs="Arial"/>
          <w:i/>
          <w:color w:val="000000"/>
          <w:sz w:val="28"/>
          <w:szCs w:val="28"/>
          <w:lang w:eastAsia="en-GB"/>
        </w:rPr>
        <w:t xml:space="preserve">arly planning on </w:t>
      </w:r>
      <w:r w:rsidR="00225BED">
        <w:rPr>
          <w:rFonts w:cs="Arial" w:hint="eastAsia"/>
          <w:i/>
          <w:color w:val="000000"/>
          <w:sz w:val="28"/>
          <w:szCs w:val="28"/>
          <w:lang w:eastAsia="zh-CN"/>
        </w:rPr>
        <w:t>tax</w:t>
      </w:r>
      <w:r w:rsidR="00D4644F">
        <w:rPr>
          <w:rFonts w:cs="Arial" w:hint="eastAsia"/>
          <w:i/>
          <w:color w:val="000000"/>
          <w:sz w:val="28"/>
          <w:szCs w:val="28"/>
          <w:lang w:eastAsia="zh-CN"/>
        </w:rPr>
        <w:t xml:space="preserve"> structure</w:t>
      </w:r>
      <w:r w:rsidR="00225BED">
        <w:rPr>
          <w:rFonts w:cs="Arial" w:hint="eastAsia"/>
          <w:i/>
          <w:color w:val="000000"/>
          <w:sz w:val="28"/>
          <w:szCs w:val="28"/>
          <w:lang w:eastAsia="zh-CN"/>
        </w:rPr>
        <w:t xml:space="preserve"> and </w:t>
      </w:r>
      <w:r w:rsidR="0080500C">
        <w:rPr>
          <w:rFonts w:cs="Arial"/>
          <w:i/>
          <w:color w:val="000000"/>
          <w:sz w:val="28"/>
          <w:szCs w:val="28"/>
          <w:lang w:eastAsia="en-GB"/>
        </w:rPr>
        <w:t xml:space="preserve">post-deal integration </w:t>
      </w:r>
      <w:r w:rsidR="00544670">
        <w:rPr>
          <w:rFonts w:cs="Arial"/>
          <w:i/>
          <w:color w:val="000000"/>
          <w:sz w:val="28"/>
          <w:szCs w:val="28"/>
          <w:lang w:eastAsia="en-GB"/>
        </w:rPr>
        <w:t xml:space="preserve">essential </w:t>
      </w:r>
      <w:r>
        <w:rPr>
          <w:rFonts w:cs="Arial"/>
          <w:i/>
          <w:color w:val="000000"/>
          <w:sz w:val="28"/>
          <w:szCs w:val="28"/>
          <w:lang w:eastAsia="en-GB"/>
        </w:rPr>
        <w:t xml:space="preserve">for </w:t>
      </w:r>
      <w:r w:rsidR="00D4644F">
        <w:rPr>
          <w:rFonts w:cs="Arial"/>
          <w:i/>
          <w:color w:val="000000"/>
          <w:sz w:val="28"/>
          <w:szCs w:val="28"/>
          <w:lang w:eastAsia="en-GB"/>
        </w:rPr>
        <w:t xml:space="preserve">a successful </w:t>
      </w:r>
      <w:r>
        <w:rPr>
          <w:rFonts w:cs="Arial"/>
          <w:i/>
          <w:color w:val="000000"/>
          <w:sz w:val="28"/>
          <w:szCs w:val="28"/>
          <w:lang w:eastAsia="en-GB"/>
        </w:rPr>
        <w:t xml:space="preserve">M&amp;A </w:t>
      </w:r>
      <w:r w:rsidR="00544670">
        <w:rPr>
          <w:rFonts w:cs="Arial"/>
          <w:i/>
          <w:color w:val="000000"/>
          <w:sz w:val="28"/>
          <w:szCs w:val="28"/>
          <w:lang w:eastAsia="en-GB"/>
        </w:rPr>
        <w:t xml:space="preserve">deal </w:t>
      </w:r>
      <w:r>
        <w:rPr>
          <w:rFonts w:cs="Arial"/>
          <w:i/>
          <w:color w:val="000000"/>
          <w:sz w:val="28"/>
          <w:szCs w:val="28"/>
          <w:lang w:eastAsia="en-GB"/>
        </w:rPr>
        <w:t>in this new global dynamic</w:t>
      </w:r>
    </w:p>
    <w:p w:rsidR="00AC2B77" w:rsidRDefault="00AC2B77" w:rsidP="00AC2B77">
      <w:pPr>
        <w:autoSpaceDE w:val="0"/>
        <w:autoSpaceDN w:val="0"/>
        <w:adjustRightInd w:val="0"/>
        <w:rPr>
          <w:rFonts w:cs="Arial"/>
          <w:b/>
          <w:color w:val="000000"/>
          <w:sz w:val="24"/>
          <w:szCs w:val="24"/>
          <w:lang w:eastAsia="en-GB"/>
        </w:rPr>
      </w:pPr>
    </w:p>
    <w:p w:rsidR="00AC2B77" w:rsidRDefault="00AC2B77" w:rsidP="00AC2B77">
      <w:pPr>
        <w:autoSpaceDE w:val="0"/>
        <w:autoSpaceDN w:val="0"/>
        <w:adjustRightInd w:val="0"/>
        <w:spacing w:line="240" w:lineRule="auto"/>
        <w:rPr>
          <w:rFonts w:ascii="Helv" w:hAnsi="Helv" w:cs="Helv"/>
          <w:i/>
          <w:iCs/>
          <w:color w:val="000000"/>
          <w:szCs w:val="20"/>
          <w:lang w:eastAsia="en-GB"/>
        </w:rPr>
      </w:pPr>
    </w:p>
    <w:p w:rsidR="0073468D" w:rsidRDefault="0080500C" w:rsidP="004D060A">
      <w:pPr>
        <w:autoSpaceDE w:val="0"/>
        <w:autoSpaceDN w:val="0"/>
        <w:adjustRightInd w:val="0"/>
        <w:spacing w:line="240" w:lineRule="auto"/>
        <w:rPr>
          <w:rFonts w:cs="Helv"/>
          <w:iCs/>
          <w:color w:val="000000"/>
          <w:sz w:val="22"/>
          <w:lang w:eastAsia="zh-CN"/>
        </w:rPr>
      </w:pPr>
      <w:r>
        <w:rPr>
          <w:rFonts w:cs="Helv"/>
          <w:b/>
          <w:iCs/>
          <w:color w:val="000000"/>
          <w:sz w:val="22"/>
          <w:lang w:eastAsia="en-GB"/>
        </w:rPr>
        <w:t>22 May</w:t>
      </w:r>
      <w:r w:rsidR="00AC2B77">
        <w:rPr>
          <w:rFonts w:cs="Helv"/>
          <w:b/>
          <w:iCs/>
          <w:color w:val="000000"/>
          <w:sz w:val="22"/>
          <w:lang w:eastAsia="en-GB"/>
        </w:rPr>
        <w:t xml:space="preserve"> 2013 </w:t>
      </w:r>
      <w:r w:rsidR="00C635B5">
        <w:rPr>
          <w:rFonts w:cs="Helv"/>
          <w:iCs/>
          <w:color w:val="000000"/>
          <w:sz w:val="22"/>
          <w:lang w:eastAsia="en-GB"/>
        </w:rPr>
        <w:t>–</w:t>
      </w:r>
      <w:r w:rsidR="00AC2B77">
        <w:rPr>
          <w:rFonts w:cs="Helv"/>
          <w:iCs/>
          <w:color w:val="000000"/>
          <w:sz w:val="22"/>
          <w:lang w:eastAsia="en-GB"/>
        </w:rPr>
        <w:t xml:space="preserve"> </w:t>
      </w:r>
      <w:r w:rsidR="004D060A" w:rsidRPr="004D060A">
        <w:rPr>
          <w:rFonts w:cs="Helv"/>
          <w:iCs/>
          <w:color w:val="000000"/>
          <w:sz w:val="22"/>
          <w:lang w:eastAsia="en-GB"/>
        </w:rPr>
        <w:t xml:space="preserve">Chinese </w:t>
      </w:r>
      <w:r w:rsidR="000A14A6">
        <w:rPr>
          <w:rFonts w:cs="Helv"/>
          <w:iCs/>
          <w:color w:val="000000"/>
          <w:sz w:val="22"/>
          <w:lang w:eastAsia="en-GB"/>
        </w:rPr>
        <w:t xml:space="preserve">enterprises </w:t>
      </w:r>
      <w:r w:rsidR="00890DE3">
        <w:rPr>
          <w:rFonts w:cs="Helv" w:hint="eastAsia"/>
          <w:iCs/>
          <w:color w:val="000000"/>
          <w:sz w:val="22"/>
          <w:lang w:eastAsia="zh-CN"/>
        </w:rPr>
        <w:t>have</w:t>
      </w:r>
      <w:r w:rsidR="000A14A6">
        <w:rPr>
          <w:rFonts w:cs="Helv" w:hint="eastAsia"/>
          <w:iCs/>
          <w:color w:val="000000"/>
          <w:sz w:val="22"/>
          <w:lang w:eastAsia="zh-CN"/>
        </w:rPr>
        <w:t xml:space="preserve"> been</w:t>
      </w:r>
      <w:r w:rsidR="004D060A" w:rsidRPr="004D060A">
        <w:rPr>
          <w:rFonts w:cs="Helv"/>
          <w:iCs/>
          <w:color w:val="000000"/>
          <w:sz w:val="22"/>
          <w:lang w:eastAsia="en-GB"/>
        </w:rPr>
        <w:t xml:space="preserve"> playing a</w:t>
      </w:r>
      <w:r w:rsidR="000A14A6">
        <w:rPr>
          <w:rFonts w:cs="Helv"/>
          <w:iCs/>
          <w:color w:val="000000"/>
          <w:sz w:val="22"/>
          <w:lang w:eastAsia="en-GB"/>
        </w:rPr>
        <w:t xml:space="preserve">n important role in the </w:t>
      </w:r>
      <w:r w:rsidR="006E59FB">
        <w:rPr>
          <w:rFonts w:cs="Helv" w:hint="eastAsia"/>
          <w:iCs/>
          <w:color w:val="000000"/>
          <w:sz w:val="22"/>
          <w:lang w:eastAsia="zh-CN"/>
        </w:rPr>
        <w:t>cross-bo</w:t>
      </w:r>
      <w:r w:rsidR="000A14A6">
        <w:rPr>
          <w:rFonts w:cs="Helv" w:hint="eastAsia"/>
          <w:iCs/>
          <w:color w:val="000000"/>
          <w:sz w:val="22"/>
          <w:lang w:eastAsia="zh-CN"/>
        </w:rPr>
        <w:t>rd</w:t>
      </w:r>
      <w:r w:rsidR="006E59FB">
        <w:rPr>
          <w:rFonts w:cs="Helv" w:hint="eastAsia"/>
          <w:iCs/>
          <w:color w:val="000000"/>
          <w:sz w:val="22"/>
          <w:lang w:eastAsia="zh-CN"/>
        </w:rPr>
        <w:t>er</w:t>
      </w:r>
      <w:r w:rsidR="004D060A" w:rsidRPr="004D060A">
        <w:rPr>
          <w:rFonts w:cs="Helv"/>
          <w:iCs/>
          <w:color w:val="000000"/>
          <w:sz w:val="22"/>
          <w:lang w:eastAsia="en-GB"/>
        </w:rPr>
        <w:t xml:space="preserve"> M&amp;A arena</w:t>
      </w:r>
      <w:r w:rsidR="004D060A">
        <w:rPr>
          <w:rFonts w:cs="Helv"/>
          <w:iCs/>
          <w:color w:val="000000"/>
          <w:sz w:val="22"/>
          <w:lang w:eastAsia="en-GB"/>
        </w:rPr>
        <w:t>, with</w:t>
      </w:r>
      <w:r w:rsidR="0073468D">
        <w:rPr>
          <w:rFonts w:cs="Helv" w:hint="eastAsia"/>
          <w:iCs/>
          <w:color w:val="000000"/>
          <w:sz w:val="22"/>
          <w:lang w:eastAsia="zh-CN"/>
        </w:rPr>
        <w:t xml:space="preserve"> </w:t>
      </w:r>
      <w:r w:rsidR="0073468D" w:rsidRPr="0073468D">
        <w:rPr>
          <w:rFonts w:cs="Helv"/>
          <w:iCs/>
          <w:color w:val="000000"/>
          <w:sz w:val="22"/>
          <w:lang w:eastAsia="zh-CN"/>
        </w:rPr>
        <w:t xml:space="preserve">deal values </w:t>
      </w:r>
      <w:r w:rsidR="00B9599C">
        <w:rPr>
          <w:rFonts w:cs="Helv"/>
          <w:iCs/>
          <w:color w:val="000000"/>
          <w:sz w:val="22"/>
          <w:lang w:eastAsia="zh-CN"/>
        </w:rPr>
        <w:t xml:space="preserve">increasing </w:t>
      </w:r>
      <w:r w:rsidR="0073468D" w:rsidRPr="0073468D">
        <w:rPr>
          <w:rFonts w:cs="Helv"/>
          <w:iCs/>
          <w:color w:val="000000"/>
          <w:sz w:val="22"/>
          <w:lang w:eastAsia="zh-CN"/>
        </w:rPr>
        <w:t>from US$10.3 billion</w:t>
      </w:r>
      <w:r w:rsidR="00890DE3">
        <w:rPr>
          <w:rFonts w:cs="Helv" w:hint="eastAsia"/>
          <w:iCs/>
          <w:color w:val="000000"/>
          <w:sz w:val="22"/>
          <w:lang w:eastAsia="zh-CN"/>
        </w:rPr>
        <w:t xml:space="preserve"> in 2008</w:t>
      </w:r>
      <w:r w:rsidR="0073468D" w:rsidRPr="0073468D">
        <w:rPr>
          <w:rFonts w:cs="Helv"/>
          <w:iCs/>
          <w:color w:val="000000"/>
          <w:sz w:val="22"/>
          <w:lang w:eastAsia="zh-CN"/>
        </w:rPr>
        <w:t xml:space="preserve"> to a record high of US$65.2 billion</w:t>
      </w:r>
      <w:r w:rsidR="00890DE3">
        <w:rPr>
          <w:rFonts w:cs="Helv" w:hint="eastAsia"/>
          <w:iCs/>
          <w:color w:val="000000"/>
          <w:sz w:val="22"/>
          <w:lang w:eastAsia="zh-CN"/>
        </w:rPr>
        <w:t xml:space="preserve"> in 2012</w:t>
      </w:r>
      <w:r w:rsidR="0073468D" w:rsidRPr="0073468D">
        <w:rPr>
          <w:rFonts w:cs="Helv"/>
          <w:iCs/>
          <w:color w:val="000000"/>
          <w:sz w:val="22"/>
          <w:lang w:eastAsia="zh-CN"/>
        </w:rPr>
        <w:t xml:space="preserve">, more than </w:t>
      </w:r>
      <w:r w:rsidR="007956D2">
        <w:rPr>
          <w:rFonts w:cs="Helv"/>
          <w:iCs/>
          <w:color w:val="000000"/>
          <w:sz w:val="22"/>
          <w:lang w:eastAsia="zh-CN"/>
        </w:rPr>
        <w:t xml:space="preserve">five </w:t>
      </w:r>
      <w:r w:rsidR="00890DE3">
        <w:rPr>
          <w:rFonts w:cs="Helv"/>
          <w:iCs/>
          <w:color w:val="000000"/>
          <w:sz w:val="22"/>
          <w:lang w:eastAsia="zh-CN"/>
        </w:rPr>
        <w:t>times growth</w:t>
      </w:r>
      <w:r w:rsidR="00890DE3">
        <w:rPr>
          <w:rFonts w:cs="Helv" w:hint="eastAsia"/>
          <w:iCs/>
          <w:color w:val="000000"/>
          <w:sz w:val="22"/>
          <w:lang w:eastAsia="zh-CN"/>
        </w:rPr>
        <w:t xml:space="preserve"> over the past five years</w:t>
      </w:r>
      <w:r w:rsidR="006E59FB">
        <w:rPr>
          <w:rFonts w:cs="Helv" w:hint="eastAsia"/>
          <w:iCs/>
          <w:color w:val="000000"/>
          <w:sz w:val="22"/>
          <w:lang w:eastAsia="zh-CN"/>
        </w:rPr>
        <w:t>, according to announced data and PwC analysis</w:t>
      </w:r>
      <w:r w:rsidR="0073468D" w:rsidRPr="0073468D">
        <w:rPr>
          <w:rFonts w:cs="Helv"/>
          <w:iCs/>
          <w:color w:val="000000"/>
          <w:sz w:val="22"/>
          <w:lang w:eastAsia="zh-CN"/>
        </w:rPr>
        <w:t xml:space="preserve">. </w:t>
      </w:r>
      <w:r w:rsidR="006E59FB">
        <w:rPr>
          <w:rFonts w:cs="Helv" w:hint="eastAsia"/>
          <w:iCs/>
          <w:color w:val="000000"/>
          <w:sz w:val="22"/>
          <w:lang w:eastAsia="zh-CN"/>
        </w:rPr>
        <w:t>It resonates a</w:t>
      </w:r>
      <w:r w:rsidR="0073468D">
        <w:rPr>
          <w:rFonts w:cs="Helv" w:hint="eastAsia"/>
          <w:iCs/>
          <w:color w:val="000000"/>
          <w:sz w:val="22"/>
          <w:lang w:eastAsia="zh-CN"/>
        </w:rPr>
        <w:t xml:space="preserve"> new global M&amp;A dynamic that </w:t>
      </w:r>
      <w:r w:rsidR="00B9599C">
        <w:rPr>
          <w:rFonts w:cs="Helv"/>
          <w:iCs/>
          <w:color w:val="000000"/>
          <w:sz w:val="22"/>
          <w:lang w:eastAsia="zh-CN"/>
        </w:rPr>
        <w:t xml:space="preserve">clearly reveals </w:t>
      </w:r>
      <w:r w:rsidR="0073468D">
        <w:rPr>
          <w:rFonts w:cs="Helv" w:hint="eastAsia"/>
          <w:iCs/>
          <w:color w:val="000000"/>
          <w:sz w:val="22"/>
          <w:lang w:eastAsia="zh-CN"/>
        </w:rPr>
        <w:t xml:space="preserve">more high growth market (HGM) companies </w:t>
      </w:r>
      <w:r w:rsidR="006E59FB">
        <w:rPr>
          <w:rFonts w:cs="Helv" w:hint="eastAsia"/>
          <w:iCs/>
          <w:color w:val="000000"/>
          <w:sz w:val="22"/>
          <w:lang w:eastAsia="zh-CN"/>
        </w:rPr>
        <w:t xml:space="preserve">are </w:t>
      </w:r>
      <w:r w:rsidR="0073468D">
        <w:rPr>
          <w:rFonts w:cs="Helv" w:hint="eastAsia"/>
          <w:iCs/>
          <w:color w:val="000000"/>
          <w:sz w:val="22"/>
          <w:lang w:eastAsia="zh-CN"/>
        </w:rPr>
        <w:t xml:space="preserve">investing into mature markets. </w:t>
      </w:r>
    </w:p>
    <w:p w:rsidR="006E59FB" w:rsidRDefault="006E59FB" w:rsidP="004D060A">
      <w:pPr>
        <w:autoSpaceDE w:val="0"/>
        <w:autoSpaceDN w:val="0"/>
        <w:adjustRightInd w:val="0"/>
        <w:spacing w:line="240" w:lineRule="auto"/>
        <w:rPr>
          <w:rFonts w:cs="Helv"/>
          <w:iCs/>
          <w:color w:val="000000"/>
          <w:sz w:val="22"/>
          <w:lang w:eastAsia="zh-CN"/>
        </w:rPr>
      </w:pPr>
    </w:p>
    <w:p w:rsidR="0073468D" w:rsidRDefault="00890DE3" w:rsidP="004D060A">
      <w:pPr>
        <w:autoSpaceDE w:val="0"/>
        <w:autoSpaceDN w:val="0"/>
        <w:adjustRightInd w:val="0"/>
        <w:spacing w:line="240" w:lineRule="auto"/>
        <w:rPr>
          <w:rFonts w:cs="Helv"/>
          <w:iCs/>
          <w:color w:val="000000"/>
          <w:sz w:val="22"/>
          <w:lang w:eastAsia="zh-CN"/>
        </w:rPr>
      </w:pPr>
      <w:r>
        <w:rPr>
          <w:rFonts w:cs="Helv" w:hint="eastAsia"/>
          <w:iCs/>
          <w:color w:val="000000"/>
          <w:sz w:val="22"/>
          <w:lang w:eastAsia="zh-CN"/>
        </w:rPr>
        <w:t xml:space="preserve">While </w:t>
      </w:r>
      <w:r w:rsidR="006E59FB">
        <w:rPr>
          <w:rFonts w:cs="Helv" w:hint="eastAsia"/>
          <w:iCs/>
          <w:color w:val="000000"/>
          <w:sz w:val="22"/>
          <w:lang w:eastAsia="zh-CN"/>
        </w:rPr>
        <w:t>Chinese enterprises are</w:t>
      </w:r>
      <w:r>
        <w:rPr>
          <w:rFonts w:cs="Helv" w:hint="eastAsia"/>
          <w:iCs/>
          <w:color w:val="000000"/>
          <w:sz w:val="22"/>
          <w:lang w:eastAsia="zh-CN"/>
        </w:rPr>
        <w:t xml:space="preserve"> actively</w:t>
      </w:r>
      <w:r w:rsidR="006E59FB">
        <w:rPr>
          <w:rFonts w:cs="Helv" w:hint="eastAsia"/>
          <w:iCs/>
          <w:color w:val="000000"/>
          <w:sz w:val="22"/>
          <w:lang w:eastAsia="zh-CN"/>
        </w:rPr>
        <w:t xml:space="preserve"> looking for outbound investment</w:t>
      </w:r>
      <w:r>
        <w:rPr>
          <w:rFonts w:cs="Helv" w:hint="eastAsia"/>
          <w:iCs/>
          <w:color w:val="000000"/>
          <w:sz w:val="22"/>
          <w:lang w:eastAsia="zh-CN"/>
        </w:rPr>
        <w:t xml:space="preserve"> opportunities</w:t>
      </w:r>
      <w:r w:rsidR="006E59FB">
        <w:rPr>
          <w:rFonts w:cs="Helv" w:hint="eastAsia"/>
          <w:iCs/>
          <w:color w:val="000000"/>
          <w:sz w:val="22"/>
          <w:lang w:eastAsia="zh-CN"/>
        </w:rPr>
        <w:t>, PwC point</w:t>
      </w:r>
      <w:r>
        <w:rPr>
          <w:rFonts w:cs="Helv" w:hint="eastAsia"/>
          <w:iCs/>
          <w:color w:val="000000"/>
          <w:sz w:val="22"/>
          <w:lang w:eastAsia="zh-CN"/>
        </w:rPr>
        <w:t>s</w:t>
      </w:r>
      <w:r w:rsidR="006E59FB">
        <w:rPr>
          <w:rFonts w:cs="Helv" w:hint="eastAsia"/>
          <w:iCs/>
          <w:color w:val="000000"/>
          <w:sz w:val="22"/>
          <w:lang w:eastAsia="zh-CN"/>
        </w:rPr>
        <w:t xml:space="preserve"> out that tax planning and post-deal integration </w:t>
      </w:r>
      <w:r w:rsidR="00B9599C">
        <w:rPr>
          <w:rFonts w:cs="Helv"/>
          <w:iCs/>
          <w:color w:val="000000"/>
          <w:sz w:val="22"/>
          <w:lang w:eastAsia="zh-CN"/>
        </w:rPr>
        <w:t xml:space="preserve">are </w:t>
      </w:r>
      <w:r w:rsidR="006E59FB">
        <w:rPr>
          <w:rFonts w:cs="Helv" w:hint="eastAsia"/>
          <w:iCs/>
          <w:color w:val="000000"/>
          <w:sz w:val="22"/>
          <w:lang w:eastAsia="zh-CN"/>
        </w:rPr>
        <w:t xml:space="preserve">critical issues </w:t>
      </w:r>
      <w:r w:rsidR="00B9599C">
        <w:rPr>
          <w:rFonts w:cs="Helv"/>
          <w:iCs/>
          <w:color w:val="000000"/>
          <w:sz w:val="22"/>
          <w:lang w:eastAsia="zh-CN"/>
        </w:rPr>
        <w:t xml:space="preserve">that require </w:t>
      </w:r>
      <w:r w:rsidR="006E59FB">
        <w:rPr>
          <w:rFonts w:cs="Helv" w:hint="eastAsia"/>
          <w:iCs/>
          <w:color w:val="000000"/>
          <w:sz w:val="22"/>
          <w:lang w:eastAsia="zh-CN"/>
        </w:rPr>
        <w:t>high-level attention and early planning</w:t>
      </w:r>
      <w:r w:rsidR="00B9599C">
        <w:rPr>
          <w:rFonts w:cs="Helv"/>
          <w:iCs/>
          <w:color w:val="000000"/>
          <w:sz w:val="22"/>
          <w:lang w:eastAsia="zh-CN"/>
        </w:rPr>
        <w:t xml:space="preserve"> to ensure a successful M&amp;A deal.</w:t>
      </w:r>
      <w:r w:rsidR="006E59FB">
        <w:rPr>
          <w:rFonts w:cs="Helv" w:hint="eastAsia"/>
          <w:iCs/>
          <w:color w:val="000000"/>
          <w:sz w:val="22"/>
          <w:lang w:eastAsia="zh-CN"/>
        </w:rPr>
        <w:t xml:space="preserve">   </w:t>
      </w:r>
    </w:p>
    <w:p w:rsidR="00FF233F" w:rsidRDefault="00FF233F" w:rsidP="00C635B5">
      <w:pPr>
        <w:autoSpaceDE w:val="0"/>
        <w:autoSpaceDN w:val="0"/>
        <w:adjustRightInd w:val="0"/>
        <w:spacing w:line="240" w:lineRule="auto"/>
        <w:rPr>
          <w:rFonts w:cs="Helv"/>
          <w:iCs/>
          <w:color w:val="000000"/>
          <w:sz w:val="22"/>
          <w:lang w:eastAsia="en-GB"/>
        </w:rPr>
      </w:pPr>
    </w:p>
    <w:p w:rsidR="00FF233F" w:rsidRPr="00C635B5" w:rsidRDefault="006E59FB" w:rsidP="00C635B5">
      <w:pPr>
        <w:autoSpaceDE w:val="0"/>
        <w:autoSpaceDN w:val="0"/>
        <w:adjustRightInd w:val="0"/>
        <w:spacing w:line="240" w:lineRule="auto"/>
        <w:rPr>
          <w:rFonts w:cs="Helv"/>
          <w:iCs/>
          <w:color w:val="000000"/>
          <w:sz w:val="22"/>
          <w:lang w:eastAsia="zh-CN"/>
        </w:rPr>
      </w:pPr>
      <w:r w:rsidRPr="00005473">
        <w:rPr>
          <w:rFonts w:cs="Helv"/>
          <w:iCs/>
          <w:color w:val="000000"/>
          <w:sz w:val="22"/>
          <w:lang w:eastAsia="en-GB"/>
        </w:rPr>
        <w:t>Between 200</w:t>
      </w:r>
      <w:r>
        <w:rPr>
          <w:rFonts w:cs="Helv"/>
          <w:iCs/>
          <w:color w:val="000000"/>
          <w:sz w:val="22"/>
          <w:lang w:eastAsia="en-GB"/>
        </w:rPr>
        <w:t>8 and 2012, HGM</w:t>
      </w:r>
      <w:r w:rsidRPr="00005473">
        <w:rPr>
          <w:rFonts w:cs="Helv"/>
          <w:iCs/>
          <w:color w:val="000000"/>
          <w:sz w:val="22"/>
          <w:lang w:eastAsia="en-GB"/>
        </w:rPr>
        <w:t xml:space="preserve"> companies invested US$161 billion into mature market companies, outstripping the </w:t>
      </w:r>
      <w:r w:rsidR="00752FEE">
        <w:rPr>
          <w:rFonts w:cs="Helv"/>
          <w:iCs/>
          <w:color w:val="000000"/>
          <w:sz w:val="22"/>
          <w:lang w:eastAsia="en-GB"/>
        </w:rPr>
        <w:t>opposite flow of US$151 billion</w:t>
      </w:r>
      <w:r w:rsidR="00FF233F">
        <w:rPr>
          <w:rFonts w:cs="Helv"/>
          <w:iCs/>
          <w:color w:val="000000"/>
          <w:sz w:val="22"/>
          <w:lang w:eastAsia="en-GB"/>
        </w:rPr>
        <w:t>,</w:t>
      </w:r>
      <w:r w:rsidR="00FF233F">
        <w:rPr>
          <w:rFonts w:cs="Helv" w:hint="eastAsia"/>
          <w:iCs/>
          <w:color w:val="000000"/>
          <w:sz w:val="22"/>
          <w:lang w:eastAsia="zh-CN"/>
        </w:rPr>
        <w:t xml:space="preserve"> </w:t>
      </w:r>
      <w:r w:rsidR="00FF233F">
        <w:rPr>
          <w:rFonts w:cs="Helv"/>
          <w:iCs/>
          <w:color w:val="000000"/>
          <w:sz w:val="22"/>
          <w:lang w:eastAsia="en-GB"/>
        </w:rPr>
        <w:t xml:space="preserve">says PwC in a </w:t>
      </w:r>
      <w:r w:rsidR="00752FEE">
        <w:rPr>
          <w:rFonts w:cs="Helv" w:hint="eastAsia"/>
          <w:iCs/>
          <w:color w:val="000000"/>
          <w:sz w:val="22"/>
          <w:lang w:eastAsia="zh-CN"/>
        </w:rPr>
        <w:t>recent</w:t>
      </w:r>
      <w:r w:rsidR="00FF233F">
        <w:rPr>
          <w:rFonts w:cs="Helv"/>
          <w:iCs/>
          <w:color w:val="000000"/>
          <w:sz w:val="22"/>
          <w:lang w:eastAsia="en-GB"/>
        </w:rPr>
        <w:t xml:space="preserve"> report titled </w:t>
      </w:r>
      <w:r w:rsidR="00FF233F" w:rsidRPr="00752FEE">
        <w:rPr>
          <w:rFonts w:cs="Helv"/>
          <w:i/>
          <w:iCs/>
          <w:color w:val="000000"/>
          <w:sz w:val="22"/>
          <w:lang w:eastAsia="en-GB"/>
        </w:rPr>
        <w:t xml:space="preserve">Resetting the Compass: </w:t>
      </w:r>
      <w:r w:rsidR="00FF233F" w:rsidRPr="00752FEE">
        <w:rPr>
          <w:rFonts w:cs="Helv"/>
          <w:i/>
          <w:iCs/>
          <w:sz w:val="22"/>
          <w:lang w:eastAsia="en-GB"/>
        </w:rPr>
        <w:t>Navigating success in deal-making for mature market sellers and high growth market buyers</w:t>
      </w:r>
      <w:r w:rsidR="00FF233F" w:rsidRPr="00752FEE">
        <w:rPr>
          <w:rFonts w:cs="Helv" w:hint="eastAsia"/>
          <w:i/>
          <w:iCs/>
          <w:sz w:val="22"/>
          <w:lang w:eastAsia="zh-CN"/>
        </w:rPr>
        <w:t>.</w:t>
      </w:r>
      <w:r w:rsidR="00FF233F" w:rsidRPr="00A961CB">
        <w:rPr>
          <w:rFonts w:cs="Helv" w:hint="eastAsia"/>
          <w:iCs/>
          <w:color w:val="000000"/>
          <w:sz w:val="22"/>
          <w:lang w:eastAsia="zh-CN"/>
        </w:rPr>
        <w:t xml:space="preserve"> </w:t>
      </w:r>
    </w:p>
    <w:p w:rsidR="00C635B5" w:rsidRDefault="00C635B5" w:rsidP="00AC2B77">
      <w:pPr>
        <w:autoSpaceDE w:val="0"/>
        <w:autoSpaceDN w:val="0"/>
        <w:adjustRightInd w:val="0"/>
        <w:spacing w:line="240" w:lineRule="auto"/>
        <w:rPr>
          <w:rFonts w:cs="Helv"/>
          <w:iCs/>
          <w:color w:val="000000"/>
          <w:sz w:val="22"/>
          <w:lang w:eastAsia="zh-CN"/>
        </w:rPr>
      </w:pPr>
    </w:p>
    <w:p w:rsidR="00752FEE" w:rsidRDefault="00752FEE" w:rsidP="00AC2B77">
      <w:pPr>
        <w:autoSpaceDE w:val="0"/>
        <w:autoSpaceDN w:val="0"/>
        <w:adjustRightInd w:val="0"/>
        <w:spacing w:line="240" w:lineRule="auto"/>
        <w:rPr>
          <w:rFonts w:cs="Helv"/>
          <w:iCs/>
          <w:color w:val="000000"/>
          <w:sz w:val="22"/>
          <w:lang w:eastAsia="zh-CN"/>
        </w:rPr>
      </w:pPr>
      <w:r>
        <w:rPr>
          <w:rFonts w:cs="Helv" w:hint="eastAsia"/>
          <w:iCs/>
          <w:color w:val="000000"/>
          <w:sz w:val="22"/>
          <w:lang w:eastAsia="zh-CN"/>
        </w:rPr>
        <w:t>The report also shows a</w:t>
      </w:r>
      <w:r w:rsidRPr="00752FEE">
        <w:rPr>
          <w:rFonts w:cs="Helv"/>
          <w:iCs/>
          <w:color w:val="000000"/>
          <w:sz w:val="22"/>
          <w:lang w:eastAsia="zh-CN"/>
        </w:rPr>
        <w:t xml:space="preserve">mong five high growth markets, China has </w:t>
      </w:r>
      <w:r w:rsidR="00B9599C">
        <w:rPr>
          <w:rFonts w:cs="Helv"/>
          <w:iCs/>
          <w:color w:val="000000"/>
          <w:sz w:val="22"/>
          <w:lang w:eastAsia="zh-CN"/>
        </w:rPr>
        <w:t xml:space="preserve">been the leader </w:t>
      </w:r>
      <w:r w:rsidRPr="00752FEE">
        <w:rPr>
          <w:rFonts w:cs="Helv"/>
          <w:iCs/>
          <w:color w:val="000000"/>
          <w:sz w:val="22"/>
          <w:lang w:eastAsia="zh-CN"/>
        </w:rPr>
        <w:t>since 2009, account</w:t>
      </w:r>
      <w:r w:rsidR="00B9599C">
        <w:rPr>
          <w:rFonts w:cs="Helv"/>
          <w:iCs/>
          <w:color w:val="000000"/>
          <w:sz w:val="22"/>
          <w:lang w:eastAsia="zh-CN"/>
        </w:rPr>
        <w:t xml:space="preserve">ing </w:t>
      </w:r>
      <w:r w:rsidRPr="00752FEE">
        <w:rPr>
          <w:rFonts w:cs="Helv"/>
          <w:iCs/>
          <w:color w:val="000000"/>
          <w:sz w:val="22"/>
          <w:lang w:eastAsia="zh-CN"/>
        </w:rPr>
        <w:t xml:space="preserve">for nearly 70% of HGM investment into mature markets in terms of deal value in 2012.  </w:t>
      </w:r>
    </w:p>
    <w:p w:rsidR="00C635B5" w:rsidRDefault="00C635B5" w:rsidP="00AC2B77">
      <w:pPr>
        <w:autoSpaceDE w:val="0"/>
        <w:autoSpaceDN w:val="0"/>
        <w:adjustRightInd w:val="0"/>
        <w:spacing w:line="240" w:lineRule="auto"/>
        <w:rPr>
          <w:rFonts w:cs="Helv"/>
          <w:iCs/>
          <w:color w:val="000000"/>
          <w:sz w:val="22"/>
          <w:lang w:eastAsia="en-GB"/>
        </w:rPr>
      </w:pPr>
    </w:p>
    <w:p w:rsidR="00752FEE" w:rsidRDefault="00752FEE" w:rsidP="00752FEE">
      <w:pPr>
        <w:autoSpaceDE w:val="0"/>
        <w:autoSpaceDN w:val="0"/>
        <w:adjustRightInd w:val="0"/>
        <w:spacing w:line="240" w:lineRule="auto"/>
        <w:rPr>
          <w:rFonts w:cs="Helv"/>
          <w:iCs/>
          <w:color w:val="000000"/>
          <w:sz w:val="22"/>
          <w:lang w:eastAsia="en-GB"/>
        </w:rPr>
      </w:pPr>
      <w:r>
        <w:rPr>
          <w:rFonts w:cs="Helv"/>
          <w:iCs/>
          <w:color w:val="000000"/>
          <w:sz w:val="22"/>
          <w:lang w:eastAsia="en-GB"/>
        </w:rPr>
        <w:t xml:space="preserve">Edwin Wong, </w:t>
      </w:r>
      <w:r w:rsidRPr="000757F8">
        <w:rPr>
          <w:rFonts w:cs="Helv"/>
          <w:iCs/>
          <w:color w:val="000000"/>
          <w:sz w:val="22"/>
          <w:lang w:eastAsia="en-GB"/>
        </w:rPr>
        <w:t>PwC China Outb</w:t>
      </w:r>
      <w:r>
        <w:rPr>
          <w:rFonts w:cs="Helv"/>
          <w:iCs/>
          <w:color w:val="000000"/>
          <w:sz w:val="22"/>
          <w:lang w:eastAsia="en-GB"/>
        </w:rPr>
        <w:t>ound Investment Services Leader, said, “</w:t>
      </w:r>
      <w:r w:rsidRPr="00735F3E">
        <w:rPr>
          <w:rFonts w:cs="Helv"/>
          <w:iCs/>
          <w:color w:val="000000"/>
          <w:sz w:val="22"/>
          <w:lang w:eastAsia="en-GB"/>
        </w:rPr>
        <w:t>Many mature market companies need an investor or a partner who can bring access to high growth markets. On the other side, HGM buyers are looking for access to sal</w:t>
      </w:r>
      <w:r>
        <w:rPr>
          <w:rFonts w:cs="Helv"/>
          <w:iCs/>
          <w:color w:val="000000"/>
          <w:sz w:val="22"/>
          <w:lang w:eastAsia="en-GB"/>
        </w:rPr>
        <w:t xml:space="preserve">es channels, </w:t>
      </w:r>
      <w:r>
        <w:rPr>
          <w:rFonts w:cs="Helv" w:hint="eastAsia"/>
          <w:iCs/>
          <w:color w:val="000000"/>
          <w:sz w:val="22"/>
          <w:lang w:eastAsia="zh-CN"/>
        </w:rPr>
        <w:t>supply chain</w:t>
      </w:r>
      <w:r w:rsidR="00D94274">
        <w:rPr>
          <w:rFonts w:cs="Helv"/>
          <w:iCs/>
          <w:color w:val="000000"/>
          <w:sz w:val="22"/>
          <w:lang w:eastAsia="zh-CN"/>
        </w:rPr>
        <w:t>s</w:t>
      </w:r>
      <w:r>
        <w:rPr>
          <w:rFonts w:cs="Helv" w:hint="eastAsia"/>
          <w:iCs/>
          <w:color w:val="000000"/>
          <w:sz w:val="22"/>
          <w:lang w:eastAsia="zh-CN"/>
        </w:rPr>
        <w:t xml:space="preserve">, resources, technology, </w:t>
      </w:r>
      <w:r>
        <w:rPr>
          <w:rFonts w:cs="Helv"/>
          <w:iCs/>
          <w:color w:val="000000"/>
          <w:sz w:val="22"/>
          <w:lang w:eastAsia="en-GB"/>
        </w:rPr>
        <w:t>know-how</w:t>
      </w:r>
      <w:r>
        <w:rPr>
          <w:rFonts w:cs="Helv" w:hint="eastAsia"/>
          <w:iCs/>
          <w:color w:val="000000"/>
          <w:sz w:val="22"/>
          <w:lang w:eastAsia="zh-CN"/>
        </w:rPr>
        <w:t>,</w:t>
      </w:r>
      <w:r>
        <w:rPr>
          <w:rFonts w:cs="Helv"/>
          <w:iCs/>
          <w:color w:val="000000"/>
          <w:sz w:val="22"/>
          <w:lang w:eastAsia="en-GB"/>
        </w:rPr>
        <w:t xml:space="preserve"> brands</w:t>
      </w:r>
      <w:r>
        <w:rPr>
          <w:rFonts w:cs="Helv" w:hint="eastAsia"/>
          <w:iCs/>
          <w:color w:val="000000"/>
          <w:sz w:val="22"/>
          <w:lang w:eastAsia="zh-CN"/>
        </w:rPr>
        <w:t xml:space="preserve"> or management experience</w:t>
      </w:r>
      <w:r>
        <w:rPr>
          <w:rFonts w:cs="Helv"/>
          <w:iCs/>
          <w:color w:val="000000"/>
          <w:sz w:val="22"/>
          <w:lang w:eastAsia="en-GB"/>
        </w:rPr>
        <w:t>.</w:t>
      </w:r>
      <w:r>
        <w:rPr>
          <w:rFonts w:cs="Helv" w:hint="eastAsia"/>
          <w:iCs/>
          <w:color w:val="000000"/>
          <w:sz w:val="22"/>
          <w:lang w:eastAsia="zh-CN"/>
        </w:rPr>
        <w:t xml:space="preserve"> </w:t>
      </w:r>
      <w:r w:rsidRPr="00DB6629">
        <w:rPr>
          <w:rFonts w:cs="Helv"/>
          <w:iCs/>
          <w:color w:val="000000"/>
          <w:sz w:val="22"/>
          <w:lang w:eastAsia="zh-CN"/>
        </w:rPr>
        <w:t>Larger HGM companies may be using M&amp;A to grow from being a local or regional player to being a global one.</w:t>
      </w:r>
      <w:r>
        <w:rPr>
          <w:rFonts w:cs="Helv"/>
          <w:iCs/>
          <w:color w:val="000000"/>
          <w:sz w:val="22"/>
          <w:lang w:eastAsia="en-GB"/>
        </w:rPr>
        <w:t xml:space="preserve">” </w:t>
      </w:r>
    </w:p>
    <w:p w:rsidR="00752FEE" w:rsidRDefault="00752FEE" w:rsidP="00752FEE">
      <w:pPr>
        <w:autoSpaceDE w:val="0"/>
        <w:autoSpaceDN w:val="0"/>
        <w:adjustRightInd w:val="0"/>
        <w:spacing w:line="240" w:lineRule="auto"/>
        <w:rPr>
          <w:rFonts w:cs="Helv"/>
          <w:iCs/>
          <w:color w:val="000000"/>
          <w:sz w:val="22"/>
          <w:lang w:eastAsia="en-GB"/>
        </w:rPr>
      </w:pPr>
    </w:p>
    <w:p w:rsidR="006F56B9" w:rsidRDefault="006F56B9" w:rsidP="00752FEE">
      <w:pPr>
        <w:autoSpaceDE w:val="0"/>
        <w:autoSpaceDN w:val="0"/>
        <w:adjustRightInd w:val="0"/>
        <w:spacing w:line="240" w:lineRule="auto"/>
        <w:rPr>
          <w:rFonts w:cs="Helv"/>
          <w:iCs/>
          <w:color w:val="000000"/>
          <w:sz w:val="22"/>
          <w:lang w:eastAsia="en-GB"/>
        </w:rPr>
      </w:pPr>
    </w:p>
    <w:p w:rsidR="00752FEE" w:rsidRDefault="008B4ADE" w:rsidP="008B4ADE">
      <w:pPr>
        <w:autoSpaceDE w:val="0"/>
        <w:autoSpaceDN w:val="0"/>
        <w:adjustRightInd w:val="0"/>
        <w:spacing w:line="240" w:lineRule="auto"/>
        <w:rPr>
          <w:rFonts w:cs="Helv"/>
          <w:iCs/>
          <w:color w:val="000000"/>
          <w:sz w:val="22"/>
          <w:lang w:eastAsia="zh-CN"/>
        </w:rPr>
      </w:pPr>
      <w:r w:rsidRPr="004872A3">
        <w:rPr>
          <w:rFonts w:cs="Helv"/>
          <w:iCs/>
          <w:color w:val="000000"/>
          <w:sz w:val="22"/>
          <w:lang w:eastAsia="en-GB"/>
        </w:rPr>
        <w:lastRenderedPageBreak/>
        <w:t>Elton Huang, PwC China Domestic Market Initiatives (DMI) Tax Leader</w:t>
      </w:r>
      <w:r>
        <w:rPr>
          <w:rFonts w:cs="Helv" w:hint="eastAsia"/>
          <w:iCs/>
          <w:color w:val="000000"/>
          <w:sz w:val="22"/>
          <w:lang w:eastAsia="zh-CN"/>
        </w:rPr>
        <w:t xml:space="preserve">, said, </w:t>
      </w:r>
      <w:r w:rsidR="00752FEE">
        <w:rPr>
          <w:rFonts w:cs="Helv"/>
          <w:iCs/>
          <w:color w:val="000000"/>
          <w:sz w:val="22"/>
          <w:lang w:eastAsia="en-GB"/>
        </w:rPr>
        <w:t xml:space="preserve">“In China, </w:t>
      </w:r>
      <w:r w:rsidR="00752FEE" w:rsidRPr="00005473">
        <w:rPr>
          <w:rFonts w:cs="Helv"/>
          <w:iCs/>
          <w:color w:val="000000"/>
          <w:sz w:val="22"/>
          <w:lang w:eastAsia="en-GB"/>
        </w:rPr>
        <w:t>we see the rise of Chinese pr</w:t>
      </w:r>
      <w:r w:rsidR="00752FEE">
        <w:rPr>
          <w:rFonts w:cs="Helv"/>
          <w:iCs/>
          <w:color w:val="000000"/>
          <w:sz w:val="22"/>
          <w:lang w:eastAsia="en-GB"/>
        </w:rPr>
        <w:t>ivately owned enterprises</w:t>
      </w:r>
      <w:r w:rsidR="00752FEE" w:rsidRPr="00005473">
        <w:rPr>
          <w:rFonts w:cs="Helv"/>
          <w:iCs/>
          <w:color w:val="000000"/>
          <w:sz w:val="22"/>
          <w:lang w:eastAsia="en-GB"/>
        </w:rPr>
        <w:t xml:space="preserve"> looking for </w:t>
      </w:r>
      <w:r w:rsidR="00752FEE">
        <w:rPr>
          <w:rFonts w:cs="Helv"/>
          <w:iCs/>
          <w:color w:val="000000"/>
          <w:sz w:val="22"/>
          <w:lang w:eastAsia="en-GB"/>
        </w:rPr>
        <w:t>mature market targets</w:t>
      </w:r>
      <w:r w:rsidR="00752FEE">
        <w:rPr>
          <w:rFonts w:cs="Helv" w:hint="eastAsia"/>
          <w:iCs/>
          <w:color w:val="000000"/>
          <w:sz w:val="22"/>
          <w:lang w:eastAsia="zh-CN"/>
        </w:rPr>
        <w:t xml:space="preserve"> which impact on the market dynamic. L</w:t>
      </w:r>
      <w:r w:rsidR="00752FEE" w:rsidRPr="00005473">
        <w:rPr>
          <w:rFonts w:cs="Helv"/>
          <w:iCs/>
          <w:color w:val="000000"/>
          <w:sz w:val="22"/>
          <w:lang w:eastAsia="en-GB"/>
        </w:rPr>
        <w:t xml:space="preserve">ooking ahead, while </w:t>
      </w:r>
      <w:r w:rsidR="00752FEE">
        <w:rPr>
          <w:rFonts w:cs="Helv" w:hint="eastAsia"/>
          <w:iCs/>
          <w:color w:val="000000"/>
          <w:sz w:val="22"/>
          <w:lang w:eastAsia="zh-CN"/>
        </w:rPr>
        <w:t>China</w:t>
      </w:r>
      <w:r w:rsidR="00752FEE">
        <w:rPr>
          <w:rFonts w:cs="Helv"/>
          <w:iCs/>
          <w:color w:val="000000"/>
          <w:sz w:val="22"/>
          <w:lang w:eastAsia="zh-CN"/>
        </w:rPr>
        <w:t>’</w:t>
      </w:r>
      <w:r w:rsidR="00752FEE">
        <w:rPr>
          <w:rFonts w:cs="Helv" w:hint="eastAsia"/>
          <w:iCs/>
          <w:color w:val="000000"/>
          <w:sz w:val="22"/>
          <w:lang w:eastAsia="zh-CN"/>
        </w:rPr>
        <w:t>s</w:t>
      </w:r>
      <w:r w:rsidR="00752FEE">
        <w:rPr>
          <w:rFonts w:cs="Helv"/>
          <w:iCs/>
          <w:color w:val="000000"/>
          <w:sz w:val="22"/>
          <w:lang w:eastAsia="en-GB"/>
        </w:rPr>
        <w:t xml:space="preserve"> </w:t>
      </w:r>
      <w:r w:rsidR="007956D2">
        <w:rPr>
          <w:rFonts w:cs="Helv"/>
          <w:iCs/>
          <w:color w:val="000000"/>
          <w:sz w:val="22"/>
          <w:lang w:eastAsia="en-GB"/>
        </w:rPr>
        <w:t>s</w:t>
      </w:r>
      <w:r w:rsidR="00752FEE">
        <w:rPr>
          <w:rFonts w:cs="Helv"/>
          <w:iCs/>
          <w:color w:val="000000"/>
          <w:sz w:val="22"/>
          <w:lang w:eastAsia="en-GB"/>
        </w:rPr>
        <w:t>tate-owned enterprises</w:t>
      </w:r>
      <w:r w:rsidR="00752FEE" w:rsidRPr="00005473">
        <w:rPr>
          <w:rFonts w:cs="Helv"/>
          <w:iCs/>
          <w:color w:val="000000"/>
          <w:sz w:val="22"/>
          <w:lang w:eastAsia="en-GB"/>
        </w:rPr>
        <w:t xml:space="preserve"> will continue </w:t>
      </w:r>
      <w:r w:rsidR="00752FEE">
        <w:rPr>
          <w:rFonts w:cs="Helv"/>
          <w:iCs/>
          <w:color w:val="000000"/>
          <w:sz w:val="22"/>
          <w:lang w:eastAsia="en-GB"/>
        </w:rPr>
        <w:t>to in</w:t>
      </w:r>
      <w:r w:rsidR="00752FEE">
        <w:rPr>
          <w:rFonts w:cs="Helv" w:hint="eastAsia"/>
          <w:iCs/>
          <w:color w:val="000000"/>
          <w:sz w:val="22"/>
          <w:lang w:eastAsia="zh-CN"/>
        </w:rPr>
        <w:t xml:space="preserve">ject greater capital into </w:t>
      </w:r>
      <w:r w:rsidR="00752FEE" w:rsidRPr="00005473">
        <w:rPr>
          <w:rFonts w:cs="Helv"/>
          <w:iCs/>
          <w:color w:val="000000"/>
          <w:sz w:val="22"/>
          <w:lang w:eastAsia="en-GB"/>
        </w:rPr>
        <w:t>overseas</w:t>
      </w:r>
      <w:r w:rsidR="00752FEE">
        <w:rPr>
          <w:rFonts w:cs="Helv" w:hint="eastAsia"/>
          <w:iCs/>
          <w:color w:val="000000"/>
          <w:sz w:val="22"/>
          <w:lang w:eastAsia="zh-CN"/>
        </w:rPr>
        <w:t xml:space="preserve"> M&amp;A deals</w:t>
      </w:r>
      <w:r w:rsidR="00752FEE" w:rsidRPr="00005473">
        <w:rPr>
          <w:rFonts w:cs="Helv"/>
          <w:iCs/>
          <w:color w:val="000000"/>
          <w:sz w:val="22"/>
          <w:lang w:eastAsia="en-GB"/>
        </w:rPr>
        <w:t xml:space="preserve">, </w:t>
      </w:r>
      <w:r w:rsidR="00752FEE" w:rsidRPr="009771EA">
        <w:rPr>
          <w:rFonts w:cs="Helv"/>
          <w:iCs/>
          <w:color w:val="000000"/>
          <w:sz w:val="22"/>
          <w:lang w:eastAsia="en-GB"/>
        </w:rPr>
        <w:t xml:space="preserve"> </w:t>
      </w:r>
      <w:r w:rsidR="008D204F">
        <w:rPr>
          <w:rFonts w:cs="Helv"/>
          <w:iCs/>
          <w:color w:val="000000"/>
          <w:sz w:val="22"/>
          <w:lang w:eastAsia="en-GB"/>
        </w:rPr>
        <w:t xml:space="preserve">the </w:t>
      </w:r>
      <w:r w:rsidR="00752FEE">
        <w:rPr>
          <w:rFonts w:cs="Helv"/>
          <w:iCs/>
          <w:color w:val="000000"/>
          <w:sz w:val="22"/>
          <w:lang w:eastAsia="en-GB"/>
        </w:rPr>
        <w:t xml:space="preserve">Chinese </w:t>
      </w:r>
      <w:r w:rsidR="00752FEE">
        <w:rPr>
          <w:rFonts w:cs="Helv" w:hint="eastAsia"/>
          <w:iCs/>
          <w:color w:val="000000"/>
          <w:sz w:val="22"/>
          <w:lang w:eastAsia="zh-CN"/>
        </w:rPr>
        <w:t xml:space="preserve">private sector </w:t>
      </w:r>
      <w:r w:rsidR="00752FEE">
        <w:rPr>
          <w:rFonts w:cs="Helv"/>
          <w:iCs/>
          <w:color w:val="000000"/>
          <w:sz w:val="22"/>
          <w:lang w:eastAsia="en-GB"/>
        </w:rPr>
        <w:t xml:space="preserve">will </w:t>
      </w:r>
      <w:r w:rsidR="00752FEE">
        <w:rPr>
          <w:rFonts w:cs="Helv" w:hint="eastAsia"/>
          <w:iCs/>
          <w:color w:val="000000"/>
          <w:sz w:val="22"/>
          <w:lang w:eastAsia="zh-CN"/>
        </w:rPr>
        <w:t xml:space="preserve">take a lead in deal volume </w:t>
      </w:r>
      <w:r w:rsidR="00752FEE" w:rsidRPr="00005473">
        <w:rPr>
          <w:rFonts w:cs="Helv"/>
          <w:iCs/>
          <w:color w:val="000000"/>
          <w:sz w:val="22"/>
          <w:lang w:eastAsia="en-GB"/>
        </w:rPr>
        <w:t>as they seek more investment opportunities than China’s d</w:t>
      </w:r>
      <w:r w:rsidR="00752FEE">
        <w:rPr>
          <w:rFonts w:cs="Helv"/>
          <w:iCs/>
          <w:color w:val="000000"/>
          <w:sz w:val="22"/>
          <w:lang w:eastAsia="en-GB"/>
        </w:rPr>
        <w:t>omestic market cu</w:t>
      </w:r>
      <w:r>
        <w:rPr>
          <w:rFonts w:cs="Helv"/>
          <w:iCs/>
          <w:color w:val="000000"/>
          <w:sz w:val="22"/>
          <w:lang w:eastAsia="en-GB"/>
        </w:rPr>
        <w:t>rrently offers</w:t>
      </w:r>
      <w:r>
        <w:rPr>
          <w:rFonts w:cs="Helv" w:hint="eastAsia"/>
          <w:iCs/>
          <w:color w:val="000000"/>
          <w:sz w:val="22"/>
          <w:lang w:eastAsia="zh-CN"/>
        </w:rPr>
        <w:t>.</w:t>
      </w:r>
      <w:r>
        <w:rPr>
          <w:rFonts w:cs="Helv"/>
          <w:iCs/>
          <w:color w:val="000000"/>
          <w:sz w:val="22"/>
          <w:lang w:eastAsia="en-GB"/>
        </w:rPr>
        <w:t xml:space="preserve">” </w:t>
      </w:r>
    </w:p>
    <w:p w:rsidR="00AC2B77" w:rsidRDefault="00AC2B77" w:rsidP="00AC2B77">
      <w:pPr>
        <w:autoSpaceDE w:val="0"/>
        <w:autoSpaceDN w:val="0"/>
        <w:adjustRightInd w:val="0"/>
        <w:spacing w:line="240" w:lineRule="auto"/>
        <w:rPr>
          <w:rFonts w:cs="Helv"/>
          <w:iCs/>
          <w:color w:val="000000"/>
          <w:sz w:val="22"/>
          <w:lang w:eastAsia="zh-CN"/>
        </w:rPr>
      </w:pPr>
    </w:p>
    <w:p w:rsidR="00667F24" w:rsidRDefault="00667F24" w:rsidP="00667F24">
      <w:pPr>
        <w:autoSpaceDE w:val="0"/>
        <w:autoSpaceDN w:val="0"/>
        <w:adjustRightInd w:val="0"/>
        <w:spacing w:line="240" w:lineRule="auto"/>
        <w:rPr>
          <w:rFonts w:cs="Helv"/>
          <w:iCs/>
          <w:color w:val="000000"/>
          <w:sz w:val="22"/>
          <w:lang w:eastAsia="zh-CN"/>
        </w:rPr>
      </w:pPr>
      <w:r>
        <w:rPr>
          <w:rFonts w:cs="Helv" w:hint="eastAsia"/>
          <w:iCs/>
          <w:color w:val="000000"/>
          <w:sz w:val="22"/>
          <w:lang w:eastAsia="zh-CN"/>
        </w:rPr>
        <w:t>T</w:t>
      </w:r>
      <w:r>
        <w:rPr>
          <w:rFonts w:cs="Helv"/>
          <w:iCs/>
          <w:color w:val="000000"/>
          <w:sz w:val="22"/>
          <w:lang w:eastAsia="en-GB"/>
        </w:rPr>
        <w:t>he range of industry M&amp;A targets is also widening</w:t>
      </w:r>
      <w:r>
        <w:rPr>
          <w:rFonts w:cs="Helv" w:hint="eastAsia"/>
          <w:iCs/>
          <w:color w:val="000000"/>
          <w:sz w:val="22"/>
          <w:lang w:eastAsia="zh-CN"/>
        </w:rPr>
        <w:t>. While t</w:t>
      </w:r>
      <w:r w:rsidRPr="00667F24">
        <w:rPr>
          <w:rFonts w:cs="Helv"/>
          <w:iCs/>
          <w:color w:val="000000"/>
          <w:sz w:val="22"/>
          <w:lang w:eastAsia="zh-CN"/>
        </w:rPr>
        <w:t>he state sponsored push to secure energy and resources is eviden</w:t>
      </w:r>
      <w:r>
        <w:rPr>
          <w:rFonts w:cs="Helv"/>
          <w:iCs/>
          <w:color w:val="000000"/>
          <w:sz w:val="22"/>
          <w:lang w:eastAsia="zh-CN"/>
        </w:rPr>
        <w:t>t from deal value statistics</w:t>
      </w:r>
      <w:r>
        <w:rPr>
          <w:rFonts w:cs="Helv" w:hint="eastAsia"/>
          <w:iCs/>
          <w:color w:val="000000"/>
          <w:sz w:val="22"/>
          <w:lang w:eastAsia="zh-CN"/>
        </w:rPr>
        <w:t>, t</w:t>
      </w:r>
      <w:r w:rsidRPr="00667F24">
        <w:rPr>
          <w:rFonts w:cs="Helv"/>
          <w:iCs/>
          <w:color w:val="000000"/>
          <w:sz w:val="22"/>
          <w:lang w:eastAsia="zh-CN"/>
        </w:rPr>
        <w:t xml:space="preserve">he growing activity of </w:t>
      </w:r>
      <w:r>
        <w:rPr>
          <w:rFonts w:cs="Helv" w:hint="eastAsia"/>
          <w:iCs/>
          <w:color w:val="000000"/>
          <w:sz w:val="22"/>
          <w:lang w:eastAsia="zh-CN"/>
        </w:rPr>
        <w:t xml:space="preserve">Chinese </w:t>
      </w:r>
      <w:r w:rsidRPr="00667F24">
        <w:rPr>
          <w:rFonts w:cs="Helv"/>
          <w:iCs/>
          <w:color w:val="000000"/>
          <w:sz w:val="22"/>
          <w:lang w:eastAsia="zh-CN"/>
        </w:rPr>
        <w:t>private sector buyers in acquiring industrial technologies and consumer-linked businesses overseas is an important trend</w:t>
      </w:r>
      <w:r>
        <w:rPr>
          <w:rFonts w:cs="Helv" w:hint="eastAsia"/>
          <w:iCs/>
          <w:color w:val="000000"/>
          <w:sz w:val="22"/>
          <w:lang w:eastAsia="zh-CN"/>
        </w:rPr>
        <w:t>.</w:t>
      </w:r>
    </w:p>
    <w:p w:rsidR="00752FEE" w:rsidRDefault="00752FEE" w:rsidP="00AC2B77">
      <w:pPr>
        <w:autoSpaceDE w:val="0"/>
        <w:autoSpaceDN w:val="0"/>
        <w:adjustRightInd w:val="0"/>
        <w:spacing w:line="240" w:lineRule="auto"/>
        <w:rPr>
          <w:rFonts w:cs="Helv"/>
          <w:iCs/>
          <w:color w:val="000000"/>
          <w:sz w:val="22"/>
          <w:lang w:eastAsia="zh-CN"/>
        </w:rPr>
      </w:pPr>
    </w:p>
    <w:p w:rsidR="00667F24" w:rsidRDefault="00667F24" w:rsidP="00667F24">
      <w:pPr>
        <w:autoSpaceDE w:val="0"/>
        <w:autoSpaceDN w:val="0"/>
        <w:adjustRightInd w:val="0"/>
        <w:spacing w:line="240" w:lineRule="auto"/>
        <w:rPr>
          <w:rFonts w:cs="Helv"/>
          <w:iCs/>
          <w:color w:val="000000"/>
          <w:sz w:val="22"/>
          <w:lang w:eastAsia="zh-CN"/>
        </w:rPr>
      </w:pPr>
      <w:r>
        <w:rPr>
          <w:rFonts w:cs="Helv" w:hint="eastAsia"/>
          <w:iCs/>
          <w:color w:val="000000"/>
          <w:sz w:val="22"/>
          <w:lang w:eastAsia="zh-CN"/>
        </w:rPr>
        <w:t xml:space="preserve">Over the past five years, Chinese enterprises have accumulated great </w:t>
      </w:r>
      <w:r>
        <w:rPr>
          <w:rFonts w:cs="Helv"/>
          <w:iCs/>
          <w:color w:val="000000"/>
          <w:sz w:val="22"/>
          <w:lang w:eastAsia="zh-CN"/>
        </w:rPr>
        <w:t>experience</w:t>
      </w:r>
      <w:r>
        <w:rPr>
          <w:rFonts w:cs="Helv" w:hint="eastAsia"/>
          <w:iCs/>
          <w:color w:val="000000"/>
          <w:sz w:val="22"/>
          <w:lang w:eastAsia="zh-CN"/>
        </w:rPr>
        <w:t xml:space="preserve"> in target screening and transaction execution. However, common issues such as setting up long-term s</w:t>
      </w:r>
      <w:r w:rsidR="00890DE3">
        <w:rPr>
          <w:rFonts w:cs="Helv" w:hint="eastAsia"/>
          <w:iCs/>
          <w:color w:val="000000"/>
          <w:sz w:val="22"/>
          <w:lang w:eastAsia="zh-CN"/>
        </w:rPr>
        <w:t>trategies at the pre-deal stage; managing project</w:t>
      </w:r>
      <w:r w:rsidR="008D204F">
        <w:rPr>
          <w:rFonts w:cs="Helv"/>
          <w:iCs/>
          <w:color w:val="000000"/>
          <w:sz w:val="22"/>
          <w:lang w:eastAsia="zh-CN"/>
        </w:rPr>
        <w:t>s</w:t>
      </w:r>
      <w:r>
        <w:rPr>
          <w:rFonts w:cs="Helv" w:hint="eastAsia"/>
          <w:iCs/>
          <w:color w:val="000000"/>
          <w:sz w:val="22"/>
          <w:lang w:eastAsia="zh-CN"/>
        </w:rPr>
        <w:t xml:space="preserve">, tailoring due </w:t>
      </w:r>
      <w:r>
        <w:rPr>
          <w:rFonts w:cs="Helv"/>
          <w:iCs/>
          <w:color w:val="000000"/>
          <w:sz w:val="22"/>
          <w:lang w:eastAsia="zh-CN"/>
        </w:rPr>
        <w:t>diligence</w:t>
      </w:r>
      <w:r>
        <w:rPr>
          <w:rFonts w:cs="Helv" w:hint="eastAsia"/>
          <w:iCs/>
          <w:color w:val="000000"/>
          <w:sz w:val="22"/>
          <w:lang w:eastAsia="zh-CN"/>
        </w:rPr>
        <w:t>, choosing proper financing option</w:t>
      </w:r>
      <w:r w:rsidR="00890DE3">
        <w:rPr>
          <w:rFonts w:cs="Helv" w:hint="eastAsia"/>
          <w:iCs/>
          <w:color w:val="000000"/>
          <w:sz w:val="22"/>
          <w:lang w:eastAsia="zh-CN"/>
        </w:rPr>
        <w:t xml:space="preserve">s, </w:t>
      </w:r>
      <w:r w:rsidR="00890DE3">
        <w:rPr>
          <w:rFonts w:cs="Helv"/>
          <w:iCs/>
          <w:color w:val="000000"/>
          <w:sz w:val="22"/>
          <w:lang w:eastAsia="zh-CN"/>
        </w:rPr>
        <w:t xml:space="preserve">and </w:t>
      </w:r>
      <w:r w:rsidR="00890DE3">
        <w:rPr>
          <w:rFonts w:cs="Helv" w:hint="eastAsia"/>
          <w:iCs/>
          <w:color w:val="000000"/>
          <w:sz w:val="22"/>
          <w:lang w:eastAsia="zh-CN"/>
        </w:rPr>
        <w:t>understanding of</w:t>
      </w:r>
      <w:r>
        <w:rPr>
          <w:rFonts w:cs="Helv" w:hint="eastAsia"/>
          <w:iCs/>
          <w:color w:val="000000"/>
          <w:sz w:val="22"/>
          <w:lang w:eastAsia="zh-CN"/>
        </w:rPr>
        <w:t xml:space="preserve"> </w:t>
      </w:r>
      <w:r w:rsidR="008D204F">
        <w:rPr>
          <w:rFonts w:cs="Helv"/>
          <w:iCs/>
          <w:color w:val="000000"/>
          <w:sz w:val="22"/>
          <w:lang w:eastAsia="zh-CN"/>
        </w:rPr>
        <w:t xml:space="preserve">the </w:t>
      </w:r>
      <w:r>
        <w:rPr>
          <w:rFonts w:cs="Helv" w:hint="eastAsia"/>
          <w:iCs/>
          <w:color w:val="000000"/>
          <w:sz w:val="22"/>
          <w:lang w:eastAsia="zh-CN"/>
        </w:rPr>
        <w:t xml:space="preserve">application process </w:t>
      </w:r>
      <w:r w:rsidR="00890DE3">
        <w:rPr>
          <w:rFonts w:cs="Helv" w:hint="eastAsia"/>
          <w:iCs/>
          <w:color w:val="000000"/>
          <w:sz w:val="22"/>
          <w:lang w:eastAsia="zh-CN"/>
        </w:rPr>
        <w:t>during</w:t>
      </w:r>
      <w:r>
        <w:rPr>
          <w:rFonts w:cs="Helv" w:hint="eastAsia"/>
          <w:iCs/>
          <w:color w:val="000000"/>
          <w:sz w:val="22"/>
          <w:lang w:eastAsia="zh-CN"/>
        </w:rPr>
        <w:t xml:space="preserve"> the transaction, and post-deal integration</w:t>
      </w:r>
      <w:r w:rsidR="00D94274">
        <w:rPr>
          <w:rFonts w:cs="Helv"/>
          <w:iCs/>
          <w:color w:val="000000"/>
          <w:sz w:val="22"/>
          <w:lang w:eastAsia="zh-CN"/>
        </w:rPr>
        <w:t>,</w:t>
      </w:r>
      <w:r>
        <w:rPr>
          <w:rFonts w:cs="Helv" w:hint="eastAsia"/>
          <w:iCs/>
          <w:color w:val="000000"/>
          <w:sz w:val="22"/>
          <w:lang w:eastAsia="zh-CN"/>
        </w:rPr>
        <w:t xml:space="preserve"> </w:t>
      </w:r>
      <w:r w:rsidR="00890DE3">
        <w:rPr>
          <w:rFonts w:cs="Helv" w:hint="eastAsia"/>
          <w:iCs/>
          <w:color w:val="000000"/>
          <w:sz w:val="22"/>
          <w:lang w:eastAsia="zh-CN"/>
        </w:rPr>
        <w:t xml:space="preserve">remain as </w:t>
      </w:r>
      <w:r>
        <w:rPr>
          <w:rFonts w:cs="Helv" w:hint="eastAsia"/>
          <w:iCs/>
          <w:color w:val="000000"/>
          <w:sz w:val="22"/>
          <w:lang w:eastAsia="zh-CN"/>
        </w:rPr>
        <w:t>critical challenges.</w:t>
      </w:r>
    </w:p>
    <w:p w:rsidR="00667F24" w:rsidRDefault="00667F24" w:rsidP="00667F24">
      <w:pPr>
        <w:autoSpaceDE w:val="0"/>
        <w:autoSpaceDN w:val="0"/>
        <w:adjustRightInd w:val="0"/>
        <w:spacing w:line="240" w:lineRule="auto"/>
        <w:rPr>
          <w:rFonts w:cs="Helv"/>
          <w:iCs/>
          <w:color w:val="000000"/>
          <w:sz w:val="22"/>
          <w:lang w:eastAsia="zh-CN"/>
        </w:rPr>
      </w:pPr>
    </w:p>
    <w:p w:rsidR="00667F24" w:rsidRDefault="00A608CB" w:rsidP="00667F24">
      <w:pPr>
        <w:autoSpaceDE w:val="0"/>
        <w:autoSpaceDN w:val="0"/>
        <w:adjustRightInd w:val="0"/>
        <w:spacing w:line="240" w:lineRule="auto"/>
        <w:rPr>
          <w:rFonts w:cs="Helv"/>
          <w:iCs/>
          <w:color w:val="000000"/>
          <w:sz w:val="22"/>
          <w:lang w:eastAsia="zh-CN"/>
        </w:rPr>
      </w:pPr>
      <w:r>
        <w:rPr>
          <w:rFonts w:cs="Helv"/>
          <w:iCs/>
          <w:color w:val="000000"/>
          <w:sz w:val="22"/>
          <w:lang w:eastAsia="zh-CN"/>
        </w:rPr>
        <w:t>“</w:t>
      </w:r>
      <w:r w:rsidR="004872A3" w:rsidRPr="004872A3">
        <w:rPr>
          <w:rFonts w:cs="Helv"/>
          <w:iCs/>
          <w:color w:val="000000"/>
          <w:sz w:val="22"/>
          <w:lang w:eastAsia="en-GB"/>
        </w:rPr>
        <w:t>Deal-making is always a complex mix of strategy, economics and personalities, and good tax planning can help buyers identify investment opportunities that compliment their development in the future. As a successful completed transaction does not always lead to a value-added merger, we also suggest early planning o</w:t>
      </w:r>
      <w:r w:rsidR="008B4ADE">
        <w:rPr>
          <w:rFonts w:cs="Helv"/>
          <w:iCs/>
          <w:color w:val="000000"/>
          <w:sz w:val="22"/>
          <w:lang w:eastAsia="en-GB"/>
        </w:rPr>
        <w:t xml:space="preserve">n post-deal integration,” said </w:t>
      </w:r>
      <w:r w:rsidR="008B4ADE">
        <w:rPr>
          <w:rFonts w:cs="Helv" w:hint="eastAsia"/>
          <w:iCs/>
          <w:color w:val="000000"/>
          <w:sz w:val="22"/>
          <w:lang w:eastAsia="zh-CN"/>
        </w:rPr>
        <w:t>Mr.</w:t>
      </w:r>
      <w:r w:rsidR="004872A3" w:rsidRPr="004872A3">
        <w:rPr>
          <w:rFonts w:cs="Helv"/>
          <w:iCs/>
          <w:color w:val="000000"/>
          <w:sz w:val="22"/>
          <w:lang w:eastAsia="en-GB"/>
        </w:rPr>
        <w:t xml:space="preserve"> </w:t>
      </w:r>
      <w:r w:rsidR="008B4ADE">
        <w:rPr>
          <w:rFonts w:cs="Helv"/>
          <w:iCs/>
          <w:color w:val="000000"/>
          <w:sz w:val="22"/>
          <w:lang w:eastAsia="en-GB"/>
        </w:rPr>
        <w:t>Huang</w:t>
      </w:r>
      <w:r w:rsidR="008B4ADE">
        <w:rPr>
          <w:rFonts w:cs="Helv" w:hint="eastAsia"/>
          <w:iCs/>
          <w:color w:val="000000"/>
          <w:sz w:val="22"/>
          <w:lang w:eastAsia="zh-CN"/>
        </w:rPr>
        <w:t>.</w:t>
      </w:r>
    </w:p>
    <w:p w:rsidR="004872A3" w:rsidRDefault="004872A3" w:rsidP="00667F24">
      <w:pPr>
        <w:autoSpaceDE w:val="0"/>
        <w:autoSpaceDN w:val="0"/>
        <w:adjustRightInd w:val="0"/>
        <w:spacing w:line="240" w:lineRule="auto"/>
        <w:rPr>
          <w:rFonts w:cs="Helv"/>
          <w:iCs/>
          <w:color w:val="000000"/>
          <w:sz w:val="22"/>
          <w:lang w:eastAsia="zh-CN"/>
        </w:rPr>
      </w:pPr>
    </w:p>
    <w:p w:rsidR="00AC2B77" w:rsidRDefault="00667F24" w:rsidP="00AC2B77">
      <w:pPr>
        <w:autoSpaceDE w:val="0"/>
        <w:autoSpaceDN w:val="0"/>
        <w:adjustRightInd w:val="0"/>
        <w:spacing w:line="240" w:lineRule="auto"/>
        <w:rPr>
          <w:rFonts w:cs="Helv"/>
          <w:iCs/>
          <w:color w:val="000000"/>
          <w:sz w:val="22"/>
          <w:lang w:eastAsia="zh-CN"/>
        </w:rPr>
      </w:pPr>
      <w:r>
        <w:rPr>
          <w:rFonts w:cs="Helv"/>
          <w:iCs/>
          <w:color w:val="000000"/>
          <w:sz w:val="22"/>
          <w:lang w:eastAsia="en-GB"/>
        </w:rPr>
        <w:t>“</w:t>
      </w:r>
      <w:r w:rsidR="007A1ADA">
        <w:rPr>
          <w:rFonts w:cs="Helv"/>
          <w:iCs/>
          <w:color w:val="000000"/>
          <w:sz w:val="22"/>
          <w:lang w:eastAsia="en-GB"/>
        </w:rPr>
        <w:t>As Chinese enterprises step up their role in the global M&amp;A arena, they are gradually targeting longer-term return on investment</w:t>
      </w:r>
      <w:r w:rsidR="00890DE3">
        <w:rPr>
          <w:rFonts w:cs="Helv" w:hint="eastAsia"/>
          <w:iCs/>
          <w:color w:val="000000"/>
          <w:sz w:val="22"/>
          <w:lang w:eastAsia="zh-CN"/>
        </w:rPr>
        <w:t xml:space="preserve">. </w:t>
      </w:r>
      <w:r>
        <w:rPr>
          <w:rFonts w:cs="Helv"/>
          <w:iCs/>
          <w:color w:val="000000"/>
          <w:sz w:val="22"/>
          <w:lang w:eastAsia="en-GB"/>
        </w:rPr>
        <w:t xml:space="preserve">We believe it is a healthy direction and we will see </w:t>
      </w:r>
      <w:r w:rsidR="00D94274">
        <w:rPr>
          <w:rFonts w:cs="Helv"/>
          <w:iCs/>
          <w:color w:val="000000"/>
          <w:sz w:val="22"/>
          <w:lang w:eastAsia="en-GB"/>
        </w:rPr>
        <w:t xml:space="preserve">continued </w:t>
      </w:r>
      <w:r>
        <w:rPr>
          <w:rFonts w:cs="Helv"/>
          <w:iCs/>
          <w:color w:val="000000"/>
          <w:sz w:val="22"/>
          <w:lang w:eastAsia="en-GB"/>
        </w:rPr>
        <w:t xml:space="preserve">acceleration in this type of </w:t>
      </w:r>
      <w:r w:rsidR="00D94274">
        <w:rPr>
          <w:rFonts w:cs="Helv"/>
          <w:iCs/>
          <w:color w:val="000000"/>
          <w:sz w:val="22"/>
          <w:lang w:eastAsia="en-GB"/>
        </w:rPr>
        <w:t xml:space="preserve">outbound </w:t>
      </w:r>
      <w:r>
        <w:rPr>
          <w:rFonts w:cs="Helv"/>
          <w:iCs/>
          <w:color w:val="000000"/>
          <w:sz w:val="22"/>
          <w:lang w:eastAsia="en-GB"/>
        </w:rPr>
        <w:t xml:space="preserve">M&amp;A </w:t>
      </w:r>
      <w:r w:rsidR="008B4ADE">
        <w:rPr>
          <w:rFonts w:cs="Helv"/>
          <w:iCs/>
          <w:color w:val="000000"/>
          <w:sz w:val="22"/>
          <w:lang w:eastAsia="en-GB"/>
        </w:rPr>
        <w:t xml:space="preserve">over the coming year,” Mr. </w:t>
      </w:r>
      <w:r w:rsidR="008B4ADE">
        <w:rPr>
          <w:rFonts w:cs="Helv" w:hint="eastAsia"/>
          <w:iCs/>
          <w:color w:val="000000"/>
          <w:sz w:val="22"/>
          <w:lang w:eastAsia="zh-CN"/>
        </w:rPr>
        <w:t>Wong</w:t>
      </w:r>
      <w:r>
        <w:rPr>
          <w:rFonts w:cs="Helv"/>
          <w:iCs/>
          <w:color w:val="000000"/>
          <w:sz w:val="22"/>
          <w:lang w:eastAsia="en-GB"/>
        </w:rPr>
        <w:t xml:space="preserve"> added. </w:t>
      </w:r>
    </w:p>
    <w:p w:rsidR="003E4A72" w:rsidRPr="007A1ADA" w:rsidRDefault="003E4A72" w:rsidP="0082248B">
      <w:pPr>
        <w:rPr>
          <w:lang w:eastAsia="zh-CN"/>
        </w:rPr>
      </w:pPr>
    </w:p>
    <w:p w:rsidR="008F3E5E" w:rsidRDefault="008F3E5E" w:rsidP="008F3E5E">
      <w:pPr>
        <w:jc w:val="center"/>
        <w:rPr>
          <w:rFonts w:cs="Arial"/>
          <w:sz w:val="22"/>
          <w:lang w:eastAsia="zh-CN"/>
        </w:rPr>
      </w:pPr>
      <w:r w:rsidRPr="00AC2B77">
        <w:rPr>
          <w:rFonts w:cs="Arial"/>
          <w:sz w:val="22"/>
        </w:rPr>
        <w:t xml:space="preserve">- End </w:t>
      </w:r>
      <w:r w:rsidR="006F56B9">
        <w:rPr>
          <w:rFonts w:cs="Arial"/>
          <w:sz w:val="22"/>
          <w:lang w:eastAsia="zh-CN"/>
        </w:rPr>
        <w:t>–</w:t>
      </w:r>
    </w:p>
    <w:p w:rsidR="006F56B9" w:rsidRPr="00AC2B77" w:rsidRDefault="006F56B9" w:rsidP="008F3E5E">
      <w:pPr>
        <w:jc w:val="center"/>
        <w:rPr>
          <w:rFonts w:cs="Arial"/>
          <w:sz w:val="22"/>
          <w:lang w:eastAsia="zh-CN"/>
        </w:rPr>
      </w:pPr>
    </w:p>
    <w:p w:rsidR="00D15C33" w:rsidRPr="0082248B" w:rsidRDefault="00D15C33" w:rsidP="009117A5">
      <w:pPr>
        <w:spacing w:line="240" w:lineRule="auto"/>
        <w:rPr>
          <w:rFonts w:cs="Arial"/>
          <w:lang w:eastAsia="zh-CN"/>
        </w:rPr>
      </w:pPr>
    </w:p>
    <w:p w:rsidR="009117A5" w:rsidRPr="00AC2B77" w:rsidRDefault="009117A5" w:rsidP="009117A5">
      <w:pPr>
        <w:spacing w:line="240" w:lineRule="auto"/>
        <w:rPr>
          <w:rFonts w:cs="Arial"/>
          <w:b/>
          <w:sz w:val="22"/>
        </w:rPr>
      </w:pPr>
      <w:r w:rsidRPr="00AC2B77">
        <w:rPr>
          <w:rFonts w:cs="Arial"/>
          <w:b/>
          <w:sz w:val="22"/>
        </w:rPr>
        <w:t>Note to editors:</w:t>
      </w:r>
    </w:p>
    <w:p w:rsidR="007A1ADA" w:rsidRDefault="007A1ADA" w:rsidP="007A1ADA">
      <w:pPr>
        <w:autoSpaceDE w:val="0"/>
        <w:autoSpaceDN w:val="0"/>
        <w:adjustRightInd w:val="0"/>
        <w:spacing w:line="240" w:lineRule="auto"/>
        <w:rPr>
          <w:rFonts w:cs="Helv"/>
          <w:iCs/>
          <w:color w:val="000000"/>
          <w:sz w:val="22"/>
          <w:lang w:eastAsia="zh-CN"/>
        </w:rPr>
      </w:pPr>
    </w:p>
    <w:p w:rsidR="007A1ADA" w:rsidRPr="00AC2B77" w:rsidRDefault="00890DE3" w:rsidP="007A1ADA">
      <w:pPr>
        <w:spacing w:line="240" w:lineRule="auto"/>
        <w:rPr>
          <w:rFonts w:cs="Arial"/>
          <w:b/>
          <w:sz w:val="22"/>
        </w:rPr>
      </w:pPr>
      <w:r w:rsidRPr="00890DE3">
        <w:rPr>
          <w:rFonts w:cs="Arial"/>
          <w:b/>
          <w:sz w:val="22"/>
        </w:rPr>
        <w:t>Resetting the Compass: Navigating success in deal-making for mature market sellers and high growth market buyers</w:t>
      </w:r>
    </w:p>
    <w:p w:rsidR="007A1ADA" w:rsidRDefault="007A1ADA" w:rsidP="007A1ADA">
      <w:pPr>
        <w:autoSpaceDE w:val="0"/>
        <w:autoSpaceDN w:val="0"/>
        <w:adjustRightInd w:val="0"/>
        <w:spacing w:line="240" w:lineRule="auto"/>
        <w:rPr>
          <w:rFonts w:cs="Helv"/>
          <w:iCs/>
          <w:color w:val="000000"/>
          <w:sz w:val="22"/>
          <w:lang w:eastAsia="zh-CN"/>
        </w:rPr>
      </w:pPr>
    </w:p>
    <w:p w:rsidR="007A1ADA" w:rsidRDefault="007A1ADA" w:rsidP="007A1ADA">
      <w:pPr>
        <w:autoSpaceDE w:val="0"/>
        <w:autoSpaceDN w:val="0"/>
        <w:adjustRightInd w:val="0"/>
        <w:spacing w:line="240" w:lineRule="auto"/>
        <w:rPr>
          <w:rFonts w:cs="Helv"/>
          <w:iCs/>
          <w:color w:val="000000"/>
          <w:sz w:val="22"/>
          <w:lang w:eastAsia="en-GB"/>
        </w:rPr>
      </w:pPr>
      <w:r>
        <w:rPr>
          <w:rFonts w:cs="Helv"/>
          <w:iCs/>
          <w:color w:val="000000"/>
          <w:sz w:val="22"/>
          <w:lang w:eastAsia="en-GB"/>
        </w:rPr>
        <w:t xml:space="preserve">The research was conducted by means of interviews with PwC partners and deal specialists globally, and with </w:t>
      </w:r>
      <w:r>
        <w:rPr>
          <w:rFonts w:cs="Helv"/>
          <w:iCs/>
          <w:sz w:val="22"/>
          <w:lang w:eastAsia="en-GB"/>
        </w:rPr>
        <w:t>clients</w:t>
      </w:r>
      <w:r>
        <w:rPr>
          <w:rFonts w:cs="Helv"/>
          <w:iCs/>
          <w:color w:val="000000"/>
          <w:sz w:val="22"/>
          <w:lang w:eastAsia="en-GB"/>
        </w:rPr>
        <w:t xml:space="preserve"> of PwC. Throughout the paper and analysis, high growth markets are identified as China, India, the Gulf States/Saudi Arabia, Russia and Brazil; while the ‘mature market’ consists of the US, UK, Germany, Australia, Japan and Canada.</w:t>
      </w:r>
    </w:p>
    <w:p w:rsidR="009117A5" w:rsidRPr="00AC2B77" w:rsidRDefault="009117A5" w:rsidP="009117A5">
      <w:pPr>
        <w:spacing w:line="240" w:lineRule="auto"/>
        <w:rPr>
          <w:rFonts w:cs="Arial"/>
          <w:b/>
          <w:sz w:val="22"/>
          <w:lang w:eastAsia="zh-CN"/>
        </w:rPr>
      </w:pPr>
    </w:p>
    <w:p w:rsidR="009117A5" w:rsidRPr="00AC2B77" w:rsidRDefault="009117A5" w:rsidP="009117A5">
      <w:pPr>
        <w:spacing w:line="240" w:lineRule="auto"/>
        <w:rPr>
          <w:rFonts w:cs="Arial"/>
          <w:b/>
          <w:sz w:val="22"/>
        </w:rPr>
      </w:pPr>
      <w:r w:rsidRPr="00AC2B77">
        <w:rPr>
          <w:rFonts w:cs="Arial"/>
          <w:b/>
          <w:sz w:val="22"/>
        </w:rPr>
        <w:t>About PwC – Globally</w:t>
      </w:r>
    </w:p>
    <w:p w:rsidR="009117A5" w:rsidRPr="00AC2B77" w:rsidRDefault="009117A5" w:rsidP="009117A5">
      <w:pPr>
        <w:spacing w:line="240" w:lineRule="auto"/>
        <w:rPr>
          <w:rFonts w:cs="Arial"/>
          <w:sz w:val="22"/>
        </w:rPr>
      </w:pPr>
    </w:p>
    <w:p w:rsidR="009117A5" w:rsidRPr="00AC2B77" w:rsidRDefault="009117A5" w:rsidP="009117A5">
      <w:pPr>
        <w:spacing w:line="240" w:lineRule="auto"/>
        <w:rPr>
          <w:rFonts w:cs="Arial"/>
          <w:sz w:val="22"/>
        </w:rPr>
      </w:pPr>
      <w:r w:rsidRPr="00AC2B77">
        <w:rPr>
          <w:rFonts w:cs="Arial"/>
          <w:sz w:val="22"/>
        </w:rPr>
        <w:t>PwC helps organisations and individuals create the value they’re looking for. We’re a network of firms in 158 countries with more than 180,000 people who are committed to delivering quality in assurance, tax and advisory services. Tell us what matters to you and find out more by visiting us at www.pwc.com.</w:t>
      </w:r>
    </w:p>
    <w:p w:rsidR="009117A5" w:rsidRPr="00AC2B77" w:rsidRDefault="009117A5" w:rsidP="009117A5">
      <w:pPr>
        <w:spacing w:line="240" w:lineRule="auto"/>
        <w:rPr>
          <w:rFonts w:cs="Arial"/>
          <w:sz w:val="22"/>
        </w:rPr>
      </w:pPr>
      <w:r w:rsidRPr="00AC2B77">
        <w:rPr>
          <w:rFonts w:cs="Arial"/>
          <w:sz w:val="22"/>
        </w:rPr>
        <w:lastRenderedPageBreak/>
        <w:t>PwC refers to the PwC network and/or one or more of its member firms, each of which is a separate legal entity. Please see www.pwc.com/structure for further details.</w:t>
      </w:r>
    </w:p>
    <w:p w:rsidR="009117A5" w:rsidRPr="00AC2B77" w:rsidRDefault="009117A5" w:rsidP="009117A5">
      <w:pPr>
        <w:spacing w:line="240" w:lineRule="auto"/>
        <w:rPr>
          <w:rFonts w:cs="Arial"/>
          <w:sz w:val="22"/>
        </w:rPr>
      </w:pPr>
    </w:p>
    <w:p w:rsidR="009117A5" w:rsidRPr="00AC2B77" w:rsidRDefault="009117A5" w:rsidP="009117A5">
      <w:pPr>
        <w:spacing w:line="240" w:lineRule="auto"/>
        <w:rPr>
          <w:rFonts w:cs="Arial"/>
          <w:b/>
          <w:sz w:val="22"/>
        </w:rPr>
      </w:pPr>
      <w:r w:rsidRPr="00AC2B77">
        <w:rPr>
          <w:rFonts w:cs="Arial"/>
          <w:b/>
          <w:sz w:val="22"/>
        </w:rPr>
        <w:t>PwC - Mainland China, Hong Kong and Macau</w:t>
      </w:r>
    </w:p>
    <w:p w:rsidR="004B40E1" w:rsidRPr="00AC2B77" w:rsidRDefault="004B40E1" w:rsidP="009117A5">
      <w:pPr>
        <w:spacing w:line="240" w:lineRule="auto"/>
        <w:rPr>
          <w:rFonts w:cs="Arial"/>
          <w:sz w:val="22"/>
        </w:rPr>
      </w:pPr>
    </w:p>
    <w:p w:rsidR="009117A5" w:rsidRPr="00AC2B77" w:rsidRDefault="009117A5" w:rsidP="009117A5">
      <w:pPr>
        <w:spacing w:line="240" w:lineRule="auto"/>
        <w:rPr>
          <w:rFonts w:cs="Arial"/>
          <w:sz w:val="22"/>
        </w:rPr>
      </w:pPr>
      <w:r w:rsidRPr="00AC2B77">
        <w:rPr>
          <w:rFonts w:cs="Arial"/>
          <w:sz w:val="22"/>
        </w:rPr>
        <w:t>PwC in Mainland China, Hong Kong and Macau work together on a collaborative basis, subject to local applicable laws. Collectively, we have around 490 partners and a strength of around 13,500 people.</w:t>
      </w:r>
    </w:p>
    <w:p w:rsidR="009117A5" w:rsidRPr="00AC2B77" w:rsidRDefault="009117A5" w:rsidP="009117A5">
      <w:pPr>
        <w:spacing w:line="240" w:lineRule="auto"/>
        <w:rPr>
          <w:rFonts w:cs="Arial"/>
          <w:sz w:val="22"/>
        </w:rPr>
      </w:pPr>
    </w:p>
    <w:p w:rsidR="009117A5" w:rsidRPr="00AC2B77" w:rsidRDefault="009117A5" w:rsidP="009117A5">
      <w:pPr>
        <w:spacing w:line="240" w:lineRule="auto"/>
        <w:rPr>
          <w:rFonts w:cs="Arial"/>
          <w:sz w:val="22"/>
          <w:lang w:eastAsia="zh-CN"/>
        </w:rPr>
      </w:pPr>
      <w:r w:rsidRPr="00AC2B77">
        <w:rPr>
          <w:rFonts w:cs="Arial"/>
          <w:sz w:val="22"/>
        </w:rPr>
        <w:t>Providing organisations with the advice they need, wherever they may be located, our highly qualified, experienced professionals listen to different points of view to help organisations solve their business issues and identify and maximise the opportunities they seek. Our industry specialisation allows us to help co-create solutions with our clients for their sector of interest.</w:t>
      </w:r>
    </w:p>
    <w:p w:rsidR="00AA098E" w:rsidRPr="00AC2B77" w:rsidRDefault="00AA098E" w:rsidP="009117A5">
      <w:pPr>
        <w:spacing w:line="240" w:lineRule="auto"/>
        <w:rPr>
          <w:rFonts w:cs="Arial"/>
          <w:sz w:val="22"/>
          <w:lang w:eastAsia="zh-CN"/>
        </w:rPr>
      </w:pPr>
    </w:p>
    <w:p w:rsidR="009117A5" w:rsidRPr="00AC2B77" w:rsidRDefault="009117A5" w:rsidP="009117A5">
      <w:pPr>
        <w:spacing w:line="240" w:lineRule="auto"/>
        <w:rPr>
          <w:rFonts w:cs="Arial"/>
          <w:sz w:val="22"/>
        </w:rPr>
      </w:pPr>
      <w:r w:rsidRPr="00AC2B77">
        <w:rPr>
          <w:rFonts w:cs="Arial"/>
          <w:sz w:val="22"/>
        </w:rPr>
        <w:t>We are located in these cities: Beijing, Shanghai, Tianjin, Chongqing, Dalian, Xi'an, Qingdao, Nanjing, Suzhou, Hangzhou, Ningbo, Xiamen, Guangzhou, Shenzhen, Hong Kong and Macau.</w:t>
      </w:r>
    </w:p>
    <w:p w:rsidR="009117A5" w:rsidRPr="00AC2B77" w:rsidRDefault="009117A5" w:rsidP="009117A5">
      <w:pPr>
        <w:spacing w:line="240" w:lineRule="auto"/>
        <w:rPr>
          <w:rFonts w:cs="Arial"/>
          <w:sz w:val="22"/>
        </w:rPr>
      </w:pPr>
    </w:p>
    <w:p w:rsidR="00620D83" w:rsidRPr="00E331E5" w:rsidRDefault="009117A5" w:rsidP="00E331E5">
      <w:pPr>
        <w:spacing w:line="240" w:lineRule="auto"/>
        <w:rPr>
          <w:rFonts w:cs="Arial"/>
          <w:bCs/>
          <w:sz w:val="22"/>
          <w:lang w:eastAsia="zh-CN"/>
        </w:rPr>
      </w:pPr>
      <w:r w:rsidRPr="00AC2B77">
        <w:rPr>
          <w:rFonts w:cs="Arial"/>
          <w:sz w:val="22"/>
        </w:rPr>
        <w:t>2013 PricewaterhouseCoopers. All rights reserved.</w:t>
      </w:r>
    </w:p>
    <w:sectPr w:rsidR="00620D83" w:rsidRPr="00E331E5" w:rsidSect="00E331E5">
      <w:headerReference w:type="even" r:id="rId7"/>
      <w:footerReference w:type="even" r:id="rId8"/>
      <w:headerReference w:type="first" r:id="rId9"/>
      <w:footerReference w:type="first" r:id="rId10"/>
      <w:pgSz w:w="11907" w:h="16839" w:code="9"/>
      <w:pgMar w:top="2892" w:right="1797" w:bottom="1440" w:left="1797" w:header="567" w:footer="74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123" w:rsidRDefault="00115123">
      <w:pPr>
        <w:spacing w:line="240" w:lineRule="auto"/>
      </w:pPr>
      <w:r>
        <w:separator/>
      </w:r>
    </w:p>
  </w:endnote>
  <w:endnote w:type="continuationSeparator" w:id="0">
    <w:p w:rsidR="00115123" w:rsidRDefault="001151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F0A" w:rsidRDefault="00645335">
    <w:pPr>
      <w:pStyle w:val="Footer"/>
    </w:pPr>
    <w:r>
      <w:fldChar w:fldCharType="begin"/>
    </w:r>
    <w:r w:rsidR="00507318">
      <w:instrText xml:space="preserve"> PAGE  \* MERGEFORMAT </w:instrText>
    </w:r>
    <w:r>
      <w:fldChar w:fldCharType="separate"/>
    </w:r>
    <w:r w:rsidR="004E3F0A">
      <w:rPr>
        <w:noProof/>
      </w:rPr>
      <w:t>2</w:t>
    </w:r>
    <w:r>
      <w:rPr>
        <w:noProof/>
      </w:rPr>
      <w:fldChar w:fldCharType="end"/>
    </w:r>
    <w:r w:rsidR="004E3F0A">
      <w:t xml:space="preserve"> of </w:t>
    </w:r>
    <w:fldSimple w:instr=" NUMPAGES  \* MERGEFORMAT ">
      <w:r w:rsidR="00727F1A">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F0A" w:rsidRPr="00AA098E" w:rsidRDefault="004E3F0A" w:rsidP="00AA098E">
    <w:pPr>
      <w:pStyle w:val="Footer"/>
      <w:tabs>
        <w:tab w:val="clear" w:pos="9026"/>
        <w:tab w:val="right" w:pos="8280"/>
      </w:tabs>
      <w:jc w:val="both"/>
      <w:rPr>
        <w:i/>
        <w:sz w:val="18"/>
        <w:szCs w:val="18"/>
        <w:lang w:eastAsia="zh-CN"/>
      </w:rPr>
    </w:pPr>
    <w:r w:rsidRPr="00AA098E">
      <w:rPr>
        <w:i/>
        <w:sz w:val="18"/>
        <w:szCs w:val="18"/>
        <w:lang w:eastAsia="zh-CN"/>
      </w:rPr>
      <w:t>11/F, P</w:t>
    </w:r>
    <w:r w:rsidRPr="00AA098E">
      <w:rPr>
        <w:rFonts w:hint="eastAsia"/>
        <w:i/>
        <w:sz w:val="18"/>
        <w:szCs w:val="18"/>
        <w:lang w:eastAsia="zh-CN"/>
      </w:rPr>
      <w:t>wC</w:t>
    </w:r>
    <w:r w:rsidRPr="00AA098E">
      <w:rPr>
        <w:i/>
        <w:sz w:val="18"/>
        <w:szCs w:val="18"/>
        <w:lang w:eastAsia="zh-CN"/>
      </w:rPr>
      <w:t xml:space="preserve"> Center,</w:t>
    </w:r>
    <w:r w:rsidRPr="00AA098E">
      <w:rPr>
        <w:rFonts w:hint="eastAsia"/>
        <w:i/>
        <w:sz w:val="18"/>
        <w:szCs w:val="18"/>
        <w:lang w:eastAsia="zh-CN"/>
      </w:rPr>
      <w:t xml:space="preserve"> </w:t>
    </w:r>
    <w:r w:rsidRPr="00AA098E">
      <w:rPr>
        <w:rFonts w:cstheme="minorHAnsi"/>
        <w:i/>
        <w:sz w:val="18"/>
        <w:szCs w:val="18"/>
      </w:rPr>
      <w:t>2 Corporate Avenue, 202 Hu Bin Road, Huangpu District, Shanghai 200021</w:t>
    </w:r>
    <w:r w:rsidRPr="00AA098E">
      <w:rPr>
        <w:rFonts w:cstheme="minorHAnsi" w:hint="eastAsia"/>
        <w:i/>
        <w:sz w:val="18"/>
        <w:szCs w:val="18"/>
        <w:lang w:eastAsia="zh-CN"/>
      </w:rPr>
      <w:tab/>
    </w:r>
    <w:r w:rsidR="00645335" w:rsidRPr="00AA098E">
      <w:rPr>
        <w:i/>
        <w:sz w:val="18"/>
        <w:szCs w:val="18"/>
      </w:rPr>
      <w:fldChar w:fldCharType="begin"/>
    </w:r>
    <w:r w:rsidRPr="00AA098E">
      <w:rPr>
        <w:i/>
        <w:sz w:val="18"/>
        <w:szCs w:val="18"/>
      </w:rPr>
      <w:instrText xml:space="preserve"> PAGE  \* MERGEFORMAT </w:instrText>
    </w:r>
    <w:r w:rsidR="00645335" w:rsidRPr="00AA098E">
      <w:rPr>
        <w:i/>
        <w:sz w:val="18"/>
        <w:szCs w:val="18"/>
      </w:rPr>
      <w:fldChar w:fldCharType="separate"/>
    </w:r>
    <w:r w:rsidR="0086281D">
      <w:rPr>
        <w:i/>
        <w:noProof/>
        <w:sz w:val="18"/>
        <w:szCs w:val="18"/>
      </w:rPr>
      <w:t>1</w:t>
    </w:r>
    <w:r w:rsidR="00645335" w:rsidRPr="00AA098E">
      <w:rPr>
        <w:i/>
        <w:sz w:val="18"/>
        <w:szCs w:val="18"/>
      </w:rPr>
      <w:fldChar w:fldCharType="end"/>
    </w:r>
    <w:r w:rsidRPr="00AA098E">
      <w:rPr>
        <w:i/>
        <w:sz w:val="18"/>
        <w:szCs w:val="18"/>
      </w:rPr>
      <w:t xml:space="preserve"> of </w:t>
    </w:r>
    <w:fldSimple w:instr=" NUMPAGES  \* MERGEFORMAT ">
      <w:r w:rsidR="0086281D" w:rsidRPr="0086281D">
        <w:rPr>
          <w:i/>
          <w:noProof/>
          <w:sz w:val="18"/>
          <w:szCs w:val="18"/>
        </w:rPr>
        <w:t>3</w:t>
      </w:r>
    </w:fldSimple>
  </w:p>
  <w:p w:rsidR="004E3F0A" w:rsidRPr="00AA098E" w:rsidRDefault="004E3F0A" w:rsidP="003E4A72">
    <w:pPr>
      <w:pStyle w:val="Footer"/>
      <w:rPr>
        <w:i/>
        <w:sz w:val="18"/>
        <w:szCs w:val="18"/>
      </w:rPr>
    </w:pPr>
    <w:r w:rsidRPr="00AA098E">
      <w:rPr>
        <w:i/>
        <w:sz w:val="18"/>
        <w:szCs w:val="18"/>
        <w:lang w:eastAsia="zh-CN"/>
      </w:rPr>
      <w:t>Telephone +86 (21) 2323 8888,</w:t>
    </w:r>
    <w:r w:rsidRPr="00AA098E">
      <w:rPr>
        <w:rFonts w:hint="eastAsia"/>
        <w:i/>
        <w:sz w:val="18"/>
        <w:szCs w:val="18"/>
        <w:lang w:eastAsia="zh-CN"/>
      </w:rPr>
      <w:t xml:space="preserve"> </w:t>
    </w:r>
    <w:r w:rsidRPr="00AA098E">
      <w:rPr>
        <w:i/>
        <w:sz w:val="18"/>
        <w:szCs w:val="18"/>
        <w:lang w:eastAsia="zh-CN"/>
      </w:rPr>
      <w:t>Fa</w:t>
    </w:r>
    <w:r w:rsidRPr="00AA098E">
      <w:rPr>
        <w:rFonts w:hint="eastAsia"/>
        <w:i/>
        <w:sz w:val="18"/>
        <w:szCs w:val="18"/>
        <w:lang w:eastAsia="zh-CN"/>
      </w:rPr>
      <w:t xml:space="preserve">x: </w:t>
    </w:r>
    <w:r w:rsidRPr="00AA098E">
      <w:rPr>
        <w:i/>
        <w:sz w:val="18"/>
        <w:szCs w:val="18"/>
        <w:lang w:eastAsia="zh-CN"/>
      </w:rPr>
      <w:t>+86 (21) 2323 8800</w:t>
    </w:r>
    <w:r w:rsidRPr="00AA098E">
      <w:rPr>
        <w:rFonts w:hint="eastAsia"/>
        <w:i/>
        <w:sz w:val="18"/>
        <w:szCs w:val="18"/>
        <w:lang w:eastAsia="zh-CN"/>
      </w:rPr>
      <w:t>, www.pwc.cn</w:t>
    </w:r>
  </w:p>
  <w:p w:rsidR="004E3F0A" w:rsidRDefault="004E3F0A">
    <w:pPr>
      <w:pStyle w:val="Addres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123" w:rsidRDefault="00115123">
      <w:pPr>
        <w:spacing w:line="240" w:lineRule="auto"/>
      </w:pPr>
      <w:r>
        <w:separator/>
      </w:r>
    </w:p>
  </w:footnote>
  <w:footnote w:type="continuationSeparator" w:id="0">
    <w:p w:rsidR="00115123" w:rsidRDefault="0011512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F0A" w:rsidRDefault="004E3F0A">
    <w:pPr>
      <w:pStyle w:val="Header"/>
    </w:pPr>
  </w:p>
  <w:p w:rsidR="004E3F0A" w:rsidRDefault="004E3F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F0A" w:rsidRDefault="004E3F0A">
    <w:pPr>
      <w:pStyle w:val="Header"/>
    </w:pPr>
    <w:r>
      <w:rPr>
        <w:rFonts w:eastAsia="Calibri"/>
        <w:noProof/>
        <w:lang w:val="en-US"/>
      </w:rPr>
      <w:drawing>
        <wp:anchor distT="0" distB="0" distL="114300" distR="114300" simplePos="0" relativeHeight="251658240" behindDoc="0" locked="0" layoutInCell="1" allowOverlap="1">
          <wp:simplePos x="0" y="0"/>
          <wp:positionH relativeFrom="column">
            <wp:posOffset>4979035</wp:posOffset>
          </wp:positionH>
          <wp:positionV relativeFrom="paragraph">
            <wp:posOffset>875665</wp:posOffset>
          </wp:positionV>
          <wp:extent cx="764540" cy="180975"/>
          <wp:effectExtent l="1905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64540" cy="180975"/>
                  </a:xfrm>
                  <a:prstGeom prst="rect">
                    <a:avLst/>
                  </a:prstGeom>
                  <a:noFill/>
                  <a:ln w="9525">
                    <a:noFill/>
                    <a:miter lim="800000"/>
                    <a:headEnd/>
                    <a:tailEnd/>
                  </a:ln>
                </pic:spPr>
              </pic:pic>
            </a:graphicData>
          </a:graphic>
        </wp:anchor>
      </w:drawing>
    </w:r>
    <w:r>
      <w:rPr>
        <w:rFonts w:eastAsia="Calibri"/>
        <w:noProof/>
        <w:lang w:val="en-US"/>
      </w:rPr>
      <w:drawing>
        <wp:anchor distT="0" distB="0" distL="114300" distR="114300" simplePos="0" relativeHeight="25165619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2"/>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67305"/>
    <w:multiLevelType w:val="hybridMultilevel"/>
    <w:tmpl w:val="906C05A6"/>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138B7FD5"/>
    <w:multiLevelType w:val="hybridMultilevel"/>
    <w:tmpl w:val="C856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67233"/>
    <w:multiLevelType w:val="hybridMultilevel"/>
    <w:tmpl w:val="1FC2DC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644AF"/>
    <w:multiLevelType w:val="hybridMultilevel"/>
    <w:tmpl w:val="3F7A7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3D7C91"/>
    <w:multiLevelType w:val="hybridMultilevel"/>
    <w:tmpl w:val="45961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813538C"/>
    <w:multiLevelType w:val="hybridMultilevel"/>
    <w:tmpl w:val="EBBE9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5E0C1B"/>
    <w:multiLevelType w:val="hybridMultilevel"/>
    <w:tmpl w:val="1BCE0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0F0FE6"/>
    <w:multiLevelType w:val="hybridMultilevel"/>
    <w:tmpl w:val="8CA287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A276A5"/>
    <w:multiLevelType w:val="hybridMultilevel"/>
    <w:tmpl w:val="F5126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AE7515"/>
    <w:multiLevelType w:val="hybridMultilevel"/>
    <w:tmpl w:val="150CD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086020"/>
    <w:multiLevelType w:val="hybridMultilevel"/>
    <w:tmpl w:val="73782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1"/>
  </w:num>
  <w:num w:numId="5">
    <w:abstractNumId w:val="4"/>
  </w:num>
  <w:num w:numId="6">
    <w:abstractNumId w:val="5"/>
  </w:num>
  <w:num w:numId="7">
    <w:abstractNumId w:val="6"/>
  </w:num>
  <w:num w:numId="8">
    <w:abstractNumId w:val="9"/>
  </w:num>
  <w:num w:numId="9">
    <w:abstractNumId w:val="3"/>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0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D87399"/>
    <w:rsid w:val="00000487"/>
    <w:rsid w:val="00002ABE"/>
    <w:rsid w:val="000079ED"/>
    <w:rsid w:val="000148BD"/>
    <w:rsid w:val="00022A5C"/>
    <w:rsid w:val="0002474A"/>
    <w:rsid w:val="000248AA"/>
    <w:rsid w:val="00035109"/>
    <w:rsid w:val="00050FF6"/>
    <w:rsid w:val="00055A97"/>
    <w:rsid w:val="00071802"/>
    <w:rsid w:val="00071DE7"/>
    <w:rsid w:val="00074B95"/>
    <w:rsid w:val="000903E4"/>
    <w:rsid w:val="000904A6"/>
    <w:rsid w:val="00097BE0"/>
    <w:rsid w:val="000A14A6"/>
    <w:rsid w:val="000A2DA1"/>
    <w:rsid w:val="000A7E58"/>
    <w:rsid w:val="000B0B8D"/>
    <w:rsid w:val="000B358E"/>
    <w:rsid w:val="000B4A05"/>
    <w:rsid w:val="000B5118"/>
    <w:rsid w:val="000B6CD4"/>
    <w:rsid w:val="000B7317"/>
    <w:rsid w:val="000C2FC9"/>
    <w:rsid w:val="000C44B6"/>
    <w:rsid w:val="000D1B38"/>
    <w:rsid w:val="000D22D0"/>
    <w:rsid w:val="000D6FF5"/>
    <w:rsid w:val="000E4E40"/>
    <w:rsid w:val="000E5B84"/>
    <w:rsid w:val="000E67B4"/>
    <w:rsid w:val="00103B5D"/>
    <w:rsid w:val="001074B1"/>
    <w:rsid w:val="00115123"/>
    <w:rsid w:val="00120F78"/>
    <w:rsid w:val="0012516F"/>
    <w:rsid w:val="0013020C"/>
    <w:rsid w:val="00132AAF"/>
    <w:rsid w:val="00134B2B"/>
    <w:rsid w:val="00135D6B"/>
    <w:rsid w:val="001440B8"/>
    <w:rsid w:val="001446A2"/>
    <w:rsid w:val="0015078B"/>
    <w:rsid w:val="00152F59"/>
    <w:rsid w:val="00157242"/>
    <w:rsid w:val="0016434A"/>
    <w:rsid w:val="00165DD2"/>
    <w:rsid w:val="00165F03"/>
    <w:rsid w:val="00170C48"/>
    <w:rsid w:val="00173B37"/>
    <w:rsid w:val="00186C98"/>
    <w:rsid w:val="001A093D"/>
    <w:rsid w:val="001A15EB"/>
    <w:rsid w:val="001A6A5D"/>
    <w:rsid w:val="001B125E"/>
    <w:rsid w:val="001B220B"/>
    <w:rsid w:val="001B3CA4"/>
    <w:rsid w:val="001B7153"/>
    <w:rsid w:val="001D31CE"/>
    <w:rsid w:val="001F0F67"/>
    <w:rsid w:val="001F1A36"/>
    <w:rsid w:val="001F3760"/>
    <w:rsid w:val="002109BD"/>
    <w:rsid w:val="00212039"/>
    <w:rsid w:val="00213A9D"/>
    <w:rsid w:val="0021471F"/>
    <w:rsid w:val="00214AED"/>
    <w:rsid w:val="00217FCF"/>
    <w:rsid w:val="0022081B"/>
    <w:rsid w:val="00225114"/>
    <w:rsid w:val="00225355"/>
    <w:rsid w:val="00225BED"/>
    <w:rsid w:val="00226520"/>
    <w:rsid w:val="00226566"/>
    <w:rsid w:val="00227918"/>
    <w:rsid w:val="00231136"/>
    <w:rsid w:val="00232E94"/>
    <w:rsid w:val="00236218"/>
    <w:rsid w:val="00241019"/>
    <w:rsid w:val="002428D0"/>
    <w:rsid w:val="002557BD"/>
    <w:rsid w:val="00270C1F"/>
    <w:rsid w:val="00273D1D"/>
    <w:rsid w:val="00281D8F"/>
    <w:rsid w:val="00283E4B"/>
    <w:rsid w:val="002953BF"/>
    <w:rsid w:val="00296E58"/>
    <w:rsid w:val="002A7108"/>
    <w:rsid w:val="002B30CE"/>
    <w:rsid w:val="002B3415"/>
    <w:rsid w:val="002B48A7"/>
    <w:rsid w:val="002B5C65"/>
    <w:rsid w:val="002C08F5"/>
    <w:rsid w:val="002C439D"/>
    <w:rsid w:val="002C6CC8"/>
    <w:rsid w:val="002C6D13"/>
    <w:rsid w:val="002D6A86"/>
    <w:rsid w:val="002E0543"/>
    <w:rsid w:val="002E349A"/>
    <w:rsid w:val="002E3E85"/>
    <w:rsid w:val="002F2724"/>
    <w:rsid w:val="00300FB0"/>
    <w:rsid w:val="003060B8"/>
    <w:rsid w:val="00311E9B"/>
    <w:rsid w:val="00325E67"/>
    <w:rsid w:val="003320F9"/>
    <w:rsid w:val="00333C6B"/>
    <w:rsid w:val="00336BBB"/>
    <w:rsid w:val="00341CBC"/>
    <w:rsid w:val="0035131F"/>
    <w:rsid w:val="00355CEF"/>
    <w:rsid w:val="0035672E"/>
    <w:rsid w:val="0036096D"/>
    <w:rsid w:val="00360A11"/>
    <w:rsid w:val="00364157"/>
    <w:rsid w:val="00370173"/>
    <w:rsid w:val="003705E6"/>
    <w:rsid w:val="00376453"/>
    <w:rsid w:val="00382165"/>
    <w:rsid w:val="003841D0"/>
    <w:rsid w:val="0038593B"/>
    <w:rsid w:val="00387855"/>
    <w:rsid w:val="00396A03"/>
    <w:rsid w:val="003A10E7"/>
    <w:rsid w:val="003A2C70"/>
    <w:rsid w:val="003A3E76"/>
    <w:rsid w:val="003B0AE5"/>
    <w:rsid w:val="003C5E7E"/>
    <w:rsid w:val="003D1081"/>
    <w:rsid w:val="003D20FC"/>
    <w:rsid w:val="003D2FA4"/>
    <w:rsid w:val="003E000D"/>
    <w:rsid w:val="003E4A72"/>
    <w:rsid w:val="003E4D29"/>
    <w:rsid w:val="003E51E8"/>
    <w:rsid w:val="003F00C3"/>
    <w:rsid w:val="003F15FE"/>
    <w:rsid w:val="003F1CD3"/>
    <w:rsid w:val="003F4C0F"/>
    <w:rsid w:val="003F5BB4"/>
    <w:rsid w:val="003F66ED"/>
    <w:rsid w:val="00400B60"/>
    <w:rsid w:val="00402635"/>
    <w:rsid w:val="004049B6"/>
    <w:rsid w:val="0041017C"/>
    <w:rsid w:val="00410FC9"/>
    <w:rsid w:val="004122B6"/>
    <w:rsid w:val="0041252B"/>
    <w:rsid w:val="00412970"/>
    <w:rsid w:val="004139DC"/>
    <w:rsid w:val="004313E6"/>
    <w:rsid w:val="00433D1B"/>
    <w:rsid w:val="00434AB8"/>
    <w:rsid w:val="004364B7"/>
    <w:rsid w:val="00440437"/>
    <w:rsid w:val="00444164"/>
    <w:rsid w:val="00452065"/>
    <w:rsid w:val="00453205"/>
    <w:rsid w:val="0045787A"/>
    <w:rsid w:val="004601E6"/>
    <w:rsid w:val="00470720"/>
    <w:rsid w:val="00471CD0"/>
    <w:rsid w:val="004763DD"/>
    <w:rsid w:val="004766D3"/>
    <w:rsid w:val="004872A3"/>
    <w:rsid w:val="00490852"/>
    <w:rsid w:val="00491E51"/>
    <w:rsid w:val="00492D43"/>
    <w:rsid w:val="0049396C"/>
    <w:rsid w:val="004971C0"/>
    <w:rsid w:val="00497255"/>
    <w:rsid w:val="00497E73"/>
    <w:rsid w:val="004A452D"/>
    <w:rsid w:val="004A50CF"/>
    <w:rsid w:val="004A5C06"/>
    <w:rsid w:val="004A78EE"/>
    <w:rsid w:val="004B3860"/>
    <w:rsid w:val="004B40E1"/>
    <w:rsid w:val="004B499E"/>
    <w:rsid w:val="004B6AB9"/>
    <w:rsid w:val="004B6ED9"/>
    <w:rsid w:val="004C153B"/>
    <w:rsid w:val="004C7E2C"/>
    <w:rsid w:val="004D060A"/>
    <w:rsid w:val="004D6329"/>
    <w:rsid w:val="004E11ED"/>
    <w:rsid w:val="004E178A"/>
    <w:rsid w:val="004E1F07"/>
    <w:rsid w:val="004E3F0A"/>
    <w:rsid w:val="004E4BFE"/>
    <w:rsid w:val="004E7C2C"/>
    <w:rsid w:val="004F0DB8"/>
    <w:rsid w:val="004F10F3"/>
    <w:rsid w:val="004F1443"/>
    <w:rsid w:val="004F655D"/>
    <w:rsid w:val="005011F5"/>
    <w:rsid w:val="005026D5"/>
    <w:rsid w:val="00507318"/>
    <w:rsid w:val="00515915"/>
    <w:rsid w:val="00516D3E"/>
    <w:rsid w:val="00517FE8"/>
    <w:rsid w:val="00522755"/>
    <w:rsid w:val="0052277A"/>
    <w:rsid w:val="005246BE"/>
    <w:rsid w:val="005350C6"/>
    <w:rsid w:val="00537333"/>
    <w:rsid w:val="00544670"/>
    <w:rsid w:val="00551428"/>
    <w:rsid w:val="005574D7"/>
    <w:rsid w:val="005625EE"/>
    <w:rsid w:val="005703E0"/>
    <w:rsid w:val="00571279"/>
    <w:rsid w:val="00571D20"/>
    <w:rsid w:val="00577CBF"/>
    <w:rsid w:val="00581B2D"/>
    <w:rsid w:val="00585267"/>
    <w:rsid w:val="00587AE8"/>
    <w:rsid w:val="00594EE8"/>
    <w:rsid w:val="00595603"/>
    <w:rsid w:val="00595C56"/>
    <w:rsid w:val="0059603E"/>
    <w:rsid w:val="00596859"/>
    <w:rsid w:val="005A1EE3"/>
    <w:rsid w:val="005B6650"/>
    <w:rsid w:val="005B7EFA"/>
    <w:rsid w:val="005C3A6A"/>
    <w:rsid w:val="005C677D"/>
    <w:rsid w:val="005D117C"/>
    <w:rsid w:val="005D6D60"/>
    <w:rsid w:val="005E3533"/>
    <w:rsid w:val="005E592A"/>
    <w:rsid w:val="005E6E11"/>
    <w:rsid w:val="005F0083"/>
    <w:rsid w:val="005F52B5"/>
    <w:rsid w:val="005F6A2E"/>
    <w:rsid w:val="005F7E62"/>
    <w:rsid w:val="00611162"/>
    <w:rsid w:val="00611544"/>
    <w:rsid w:val="00620D83"/>
    <w:rsid w:val="00630CF0"/>
    <w:rsid w:val="006370D4"/>
    <w:rsid w:val="0064150B"/>
    <w:rsid w:val="00644FE9"/>
    <w:rsid w:val="00645335"/>
    <w:rsid w:val="00646F8A"/>
    <w:rsid w:val="00647BFF"/>
    <w:rsid w:val="00651E32"/>
    <w:rsid w:val="00651F80"/>
    <w:rsid w:val="0066167B"/>
    <w:rsid w:val="0066584F"/>
    <w:rsid w:val="00665BE5"/>
    <w:rsid w:val="00667F24"/>
    <w:rsid w:val="00674DC3"/>
    <w:rsid w:val="006801B6"/>
    <w:rsid w:val="00683C4C"/>
    <w:rsid w:val="006944BF"/>
    <w:rsid w:val="006A2532"/>
    <w:rsid w:val="006A3978"/>
    <w:rsid w:val="006A60CE"/>
    <w:rsid w:val="006A60D2"/>
    <w:rsid w:val="006B2177"/>
    <w:rsid w:val="006B5A8A"/>
    <w:rsid w:val="006B6C5F"/>
    <w:rsid w:val="006C5068"/>
    <w:rsid w:val="006C7C04"/>
    <w:rsid w:val="006D101A"/>
    <w:rsid w:val="006D447B"/>
    <w:rsid w:val="006D4CE9"/>
    <w:rsid w:val="006D52A5"/>
    <w:rsid w:val="006D594D"/>
    <w:rsid w:val="006D6839"/>
    <w:rsid w:val="006D750D"/>
    <w:rsid w:val="006E418C"/>
    <w:rsid w:val="006E59FB"/>
    <w:rsid w:val="006F0D58"/>
    <w:rsid w:val="006F24EF"/>
    <w:rsid w:val="006F56B9"/>
    <w:rsid w:val="006F59E9"/>
    <w:rsid w:val="00701084"/>
    <w:rsid w:val="00702CA3"/>
    <w:rsid w:val="00703920"/>
    <w:rsid w:val="00707D72"/>
    <w:rsid w:val="00714B92"/>
    <w:rsid w:val="007155F9"/>
    <w:rsid w:val="0071565F"/>
    <w:rsid w:val="00717CB0"/>
    <w:rsid w:val="0072165E"/>
    <w:rsid w:val="00723323"/>
    <w:rsid w:val="00725B9D"/>
    <w:rsid w:val="0072788E"/>
    <w:rsid w:val="00727F1A"/>
    <w:rsid w:val="0073468D"/>
    <w:rsid w:val="0074155A"/>
    <w:rsid w:val="0074460F"/>
    <w:rsid w:val="00745BC6"/>
    <w:rsid w:val="00751D83"/>
    <w:rsid w:val="00752FEE"/>
    <w:rsid w:val="00753292"/>
    <w:rsid w:val="00754AE4"/>
    <w:rsid w:val="007613BE"/>
    <w:rsid w:val="00764B9F"/>
    <w:rsid w:val="00764C01"/>
    <w:rsid w:val="00765B43"/>
    <w:rsid w:val="00773F46"/>
    <w:rsid w:val="007836A7"/>
    <w:rsid w:val="00783D10"/>
    <w:rsid w:val="0078659E"/>
    <w:rsid w:val="00787ED7"/>
    <w:rsid w:val="007908CE"/>
    <w:rsid w:val="007952A9"/>
    <w:rsid w:val="007956D2"/>
    <w:rsid w:val="007A1ADA"/>
    <w:rsid w:val="007A4347"/>
    <w:rsid w:val="007A4436"/>
    <w:rsid w:val="007B7A35"/>
    <w:rsid w:val="007C1B8B"/>
    <w:rsid w:val="007D0A53"/>
    <w:rsid w:val="007D2CB9"/>
    <w:rsid w:val="007D4113"/>
    <w:rsid w:val="007D4BF1"/>
    <w:rsid w:val="007D5FD5"/>
    <w:rsid w:val="007D6EA1"/>
    <w:rsid w:val="007E17B2"/>
    <w:rsid w:val="007F5654"/>
    <w:rsid w:val="00804D15"/>
    <w:rsid w:val="0080500C"/>
    <w:rsid w:val="008100E7"/>
    <w:rsid w:val="00810684"/>
    <w:rsid w:val="00816FA3"/>
    <w:rsid w:val="00817CF3"/>
    <w:rsid w:val="0082248B"/>
    <w:rsid w:val="00822901"/>
    <w:rsid w:val="008358DB"/>
    <w:rsid w:val="00836937"/>
    <w:rsid w:val="00841704"/>
    <w:rsid w:val="008440C8"/>
    <w:rsid w:val="008450FC"/>
    <w:rsid w:val="00845B53"/>
    <w:rsid w:val="00852D91"/>
    <w:rsid w:val="00853100"/>
    <w:rsid w:val="0085556F"/>
    <w:rsid w:val="0086281D"/>
    <w:rsid w:val="00890DE3"/>
    <w:rsid w:val="00896B89"/>
    <w:rsid w:val="00896C58"/>
    <w:rsid w:val="00896D07"/>
    <w:rsid w:val="00897E25"/>
    <w:rsid w:val="008A1515"/>
    <w:rsid w:val="008A455A"/>
    <w:rsid w:val="008B4ADE"/>
    <w:rsid w:val="008B5160"/>
    <w:rsid w:val="008C24FC"/>
    <w:rsid w:val="008C5FCA"/>
    <w:rsid w:val="008D204F"/>
    <w:rsid w:val="008D53E5"/>
    <w:rsid w:val="008E5089"/>
    <w:rsid w:val="008E7092"/>
    <w:rsid w:val="008F0BCF"/>
    <w:rsid w:val="008F1B8D"/>
    <w:rsid w:val="008F3CA8"/>
    <w:rsid w:val="008F3E5E"/>
    <w:rsid w:val="008F72A9"/>
    <w:rsid w:val="00903858"/>
    <w:rsid w:val="0090440A"/>
    <w:rsid w:val="00905D4B"/>
    <w:rsid w:val="009117A5"/>
    <w:rsid w:val="00914D95"/>
    <w:rsid w:val="00920B5D"/>
    <w:rsid w:val="00934A4B"/>
    <w:rsid w:val="00940947"/>
    <w:rsid w:val="009443E6"/>
    <w:rsid w:val="00947FA1"/>
    <w:rsid w:val="0095487C"/>
    <w:rsid w:val="00962E84"/>
    <w:rsid w:val="009667BF"/>
    <w:rsid w:val="00967F02"/>
    <w:rsid w:val="00970F4B"/>
    <w:rsid w:val="009771EA"/>
    <w:rsid w:val="0098225A"/>
    <w:rsid w:val="00984CE5"/>
    <w:rsid w:val="00986D3C"/>
    <w:rsid w:val="009922AF"/>
    <w:rsid w:val="00992E0E"/>
    <w:rsid w:val="009B1078"/>
    <w:rsid w:val="009B34F0"/>
    <w:rsid w:val="009B6717"/>
    <w:rsid w:val="009C0A35"/>
    <w:rsid w:val="009C12DE"/>
    <w:rsid w:val="009C2190"/>
    <w:rsid w:val="009C60CF"/>
    <w:rsid w:val="009C7BE5"/>
    <w:rsid w:val="009C7D5A"/>
    <w:rsid w:val="009D2256"/>
    <w:rsid w:val="009D3E1C"/>
    <w:rsid w:val="009D7A33"/>
    <w:rsid w:val="009E082C"/>
    <w:rsid w:val="009E1FDB"/>
    <w:rsid w:val="009E3A11"/>
    <w:rsid w:val="009F196A"/>
    <w:rsid w:val="009F1EF2"/>
    <w:rsid w:val="009F262D"/>
    <w:rsid w:val="009F47E9"/>
    <w:rsid w:val="009F623A"/>
    <w:rsid w:val="009F6F48"/>
    <w:rsid w:val="00A03FED"/>
    <w:rsid w:val="00A041C7"/>
    <w:rsid w:val="00A1190E"/>
    <w:rsid w:val="00A12799"/>
    <w:rsid w:val="00A157EA"/>
    <w:rsid w:val="00A163D0"/>
    <w:rsid w:val="00A309FB"/>
    <w:rsid w:val="00A31D96"/>
    <w:rsid w:val="00A35196"/>
    <w:rsid w:val="00A36CD1"/>
    <w:rsid w:val="00A555BC"/>
    <w:rsid w:val="00A608CB"/>
    <w:rsid w:val="00A63ACC"/>
    <w:rsid w:val="00A80E2F"/>
    <w:rsid w:val="00A80ED4"/>
    <w:rsid w:val="00A81325"/>
    <w:rsid w:val="00A85BB9"/>
    <w:rsid w:val="00A94DE7"/>
    <w:rsid w:val="00A96100"/>
    <w:rsid w:val="00A96F6B"/>
    <w:rsid w:val="00AA098E"/>
    <w:rsid w:val="00AA20EF"/>
    <w:rsid w:val="00AA3654"/>
    <w:rsid w:val="00AA39CE"/>
    <w:rsid w:val="00AA6E96"/>
    <w:rsid w:val="00AB12FB"/>
    <w:rsid w:val="00AB3419"/>
    <w:rsid w:val="00AB66F0"/>
    <w:rsid w:val="00AB6AC1"/>
    <w:rsid w:val="00AC2B77"/>
    <w:rsid w:val="00AC64CA"/>
    <w:rsid w:val="00AD4615"/>
    <w:rsid w:val="00AE1D1E"/>
    <w:rsid w:val="00B07953"/>
    <w:rsid w:val="00B2169B"/>
    <w:rsid w:val="00B25363"/>
    <w:rsid w:val="00B2783C"/>
    <w:rsid w:val="00B31260"/>
    <w:rsid w:val="00B31B65"/>
    <w:rsid w:val="00B3393E"/>
    <w:rsid w:val="00B353F6"/>
    <w:rsid w:val="00B50FF6"/>
    <w:rsid w:val="00B52A86"/>
    <w:rsid w:val="00B54270"/>
    <w:rsid w:val="00B624FD"/>
    <w:rsid w:val="00B75952"/>
    <w:rsid w:val="00B776DD"/>
    <w:rsid w:val="00B800AE"/>
    <w:rsid w:val="00B90159"/>
    <w:rsid w:val="00B9599C"/>
    <w:rsid w:val="00BA78C3"/>
    <w:rsid w:val="00BB0145"/>
    <w:rsid w:val="00BB1442"/>
    <w:rsid w:val="00BB1E61"/>
    <w:rsid w:val="00BC2AE1"/>
    <w:rsid w:val="00BC3826"/>
    <w:rsid w:val="00BC6AD5"/>
    <w:rsid w:val="00BC79EF"/>
    <w:rsid w:val="00BD032C"/>
    <w:rsid w:val="00BD22BD"/>
    <w:rsid w:val="00BF4E76"/>
    <w:rsid w:val="00BF6113"/>
    <w:rsid w:val="00C00F19"/>
    <w:rsid w:val="00C06F54"/>
    <w:rsid w:val="00C1297A"/>
    <w:rsid w:val="00C14D2D"/>
    <w:rsid w:val="00C219C1"/>
    <w:rsid w:val="00C3069A"/>
    <w:rsid w:val="00C4174E"/>
    <w:rsid w:val="00C536AF"/>
    <w:rsid w:val="00C55C18"/>
    <w:rsid w:val="00C57CB2"/>
    <w:rsid w:val="00C613B4"/>
    <w:rsid w:val="00C635B5"/>
    <w:rsid w:val="00C63805"/>
    <w:rsid w:val="00C71C61"/>
    <w:rsid w:val="00C83F05"/>
    <w:rsid w:val="00C85E44"/>
    <w:rsid w:val="00C94684"/>
    <w:rsid w:val="00C951F8"/>
    <w:rsid w:val="00CA13D4"/>
    <w:rsid w:val="00CA28DE"/>
    <w:rsid w:val="00CA5450"/>
    <w:rsid w:val="00CB48EF"/>
    <w:rsid w:val="00CB5D72"/>
    <w:rsid w:val="00CB5E94"/>
    <w:rsid w:val="00CC43CA"/>
    <w:rsid w:val="00CD0A88"/>
    <w:rsid w:val="00CE2945"/>
    <w:rsid w:val="00CE48BA"/>
    <w:rsid w:val="00CE55FA"/>
    <w:rsid w:val="00CE571D"/>
    <w:rsid w:val="00CE65DB"/>
    <w:rsid w:val="00CE74AB"/>
    <w:rsid w:val="00CF4DA7"/>
    <w:rsid w:val="00D03351"/>
    <w:rsid w:val="00D07F70"/>
    <w:rsid w:val="00D15C33"/>
    <w:rsid w:val="00D20EB5"/>
    <w:rsid w:val="00D214B6"/>
    <w:rsid w:val="00D345C3"/>
    <w:rsid w:val="00D4644F"/>
    <w:rsid w:val="00D51186"/>
    <w:rsid w:val="00D52FE5"/>
    <w:rsid w:val="00D61D6D"/>
    <w:rsid w:val="00D64C64"/>
    <w:rsid w:val="00D71F79"/>
    <w:rsid w:val="00D770E3"/>
    <w:rsid w:val="00D837E5"/>
    <w:rsid w:val="00D87399"/>
    <w:rsid w:val="00D90E7C"/>
    <w:rsid w:val="00D91115"/>
    <w:rsid w:val="00D91CCC"/>
    <w:rsid w:val="00D94274"/>
    <w:rsid w:val="00D944E1"/>
    <w:rsid w:val="00D978CC"/>
    <w:rsid w:val="00DA2B8D"/>
    <w:rsid w:val="00DA6194"/>
    <w:rsid w:val="00DA7AA2"/>
    <w:rsid w:val="00DB36EE"/>
    <w:rsid w:val="00DB377E"/>
    <w:rsid w:val="00DC3498"/>
    <w:rsid w:val="00DC5586"/>
    <w:rsid w:val="00DD538B"/>
    <w:rsid w:val="00DE0029"/>
    <w:rsid w:val="00E13D56"/>
    <w:rsid w:val="00E2052B"/>
    <w:rsid w:val="00E23BF7"/>
    <w:rsid w:val="00E2573A"/>
    <w:rsid w:val="00E259A7"/>
    <w:rsid w:val="00E331E5"/>
    <w:rsid w:val="00E357B2"/>
    <w:rsid w:val="00E42F8F"/>
    <w:rsid w:val="00E43B14"/>
    <w:rsid w:val="00E440DB"/>
    <w:rsid w:val="00E54968"/>
    <w:rsid w:val="00E55449"/>
    <w:rsid w:val="00E56344"/>
    <w:rsid w:val="00E652C2"/>
    <w:rsid w:val="00E67A68"/>
    <w:rsid w:val="00E700E5"/>
    <w:rsid w:val="00E72881"/>
    <w:rsid w:val="00E75CE2"/>
    <w:rsid w:val="00E84603"/>
    <w:rsid w:val="00E94E5A"/>
    <w:rsid w:val="00E9518B"/>
    <w:rsid w:val="00EA1B07"/>
    <w:rsid w:val="00EB2C85"/>
    <w:rsid w:val="00EC0694"/>
    <w:rsid w:val="00EC28B6"/>
    <w:rsid w:val="00EC48BA"/>
    <w:rsid w:val="00EC5F57"/>
    <w:rsid w:val="00ED1578"/>
    <w:rsid w:val="00EE3B96"/>
    <w:rsid w:val="00EF1159"/>
    <w:rsid w:val="00EF370E"/>
    <w:rsid w:val="00F0677F"/>
    <w:rsid w:val="00F14C70"/>
    <w:rsid w:val="00F221FE"/>
    <w:rsid w:val="00F22C2F"/>
    <w:rsid w:val="00F27CD4"/>
    <w:rsid w:val="00F31984"/>
    <w:rsid w:val="00F34C61"/>
    <w:rsid w:val="00F50C31"/>
    <w:rsid w:val="00F51736"/>
    <w:rsid w:val="00F53284"/>
    <w:rsid w:val="00F551B8"/>
    <w:rsid w:val="00F56B7C"/>
    <w:rsid w:val="00F6095B"/>
    <w:rsid w:val="00F61DA9"/>
    <w:rsid w:val="00F62D4D"/>
    <w:rsid w:val="00F65143"/>
    <w:rsid w:val="00F65159"/>
    <w:rsid w:val="00F677EB"/>
    <w:rsid w:val="00F83630"/>
    <w:rsid w:val="00F83D5D"/>
    <w:rsid w:val="00F83FCA"/>
    <w:rsid w:val="00F87026"/>
    <w:rsid w:val="00F904F1"/>
    <w:rsid w:val="00F91FF8"/>
    <w:rsid w:val="00F92733"/>
    <w:rsid w:val="00F96B5D"/>
    <w:rsid w:val="00FA4618"/>
    <w:rsid w:val="00FA5847"/>
    <w:rsid w:val="00FB1F1F"/>
    <w:rsid w:val="00FB2B07"/>
    <w:rsid w:val="00FB4FD1"/>
    <w:rsid w:val="00FC037A"/>
    <w:rsid w:val="00FC08DE"/>
    <w:rsid w:val="00FD3C47"/>
    <w:rsid w:val="00FD63BD"/>
    <w:rsid w:val="00FD7D81"/>
    <w:rsid w:val="00FE1411"/>
    <w:rsid w:val="00FE1699"/>
    <w:rsid w:val="00FE2338"/>
    <w:rsid w:val="00FE4F12"/>
    <w:rsid w:val="00FF233F"/>
    <w:rsid w:val="00FF4A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399"/>
    <w:pPr>
      <w:spacing w:line="240" w:lineRule="atLeast"/>
    </w:pPr>
    <w:rPr>
      <w:rFonts w:ascii="Georgia" w:hAnsi="Georgia"/>
      <w:szCs w:val="22"/>
      <w:lang w:val="en-GB" w:eastAsia="en-US"/>
    </w:rPr>
  </w:style>
  <w:style w:type="paragraph" w:styleId="Heading1">
    <w:name w:val="heading 1"/>
    <w:basedOn w:val="Normal"/>
    <w:next w:val="Normal"/>
    <w:link w:val="Heading1Char"/>
    <w:qFormat/>
    <w:rsid w:val="00D87399"/>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399"/>
    <w:pPr>
      <w:tabs>
        <w:tab w:val="center" w:pos="4513"/>
        <w:tab w:val="right" w:pos="9026"/>
      </w:tabs>
      <w:spacing w:line="240" w:lineRule="auto"/>
    </w:pPr>
  </w:style>
  <w:style w:type="character" w:customStyle="1" w:styleId="HeaderChar">
    <w:name w:val="Header Char"/>
    <w:basedOn w:val="DefaultParagraphFont"/>
    <w:link w:val="Header"/>
    <w:uiPriority w:val="99"/>
    <w:rsid w:val="00D87399"/>
  </w:style>
  <w:style w:type="paragraph" w:styleId="Footer">
    <w:name w:val="footer"/>
    <w:basedOn w:val="Normal"/>
    <w:link w:val="FooterChar"/>
    <w:uiPriority w:val="99"/>
    <w:unhideWhenUsed/>
    <w:rsid w:val="00D87399"/>
    <w:pPr>
      <w:tabs>
        <w:tab w:val="center" w:pos="4513"/>
        <w:tab w:val="right" w:pos="9026"/>
      </w:tabs>
      <w:spacing w:line="240" w:lineRule="auto"/>
    </w:pPr>
  </w:style>
  <w:style w:type="character" w:customStyle="1" w:styleId="FooterChar">
    <w:name w:val="Footer Char"/>
    <w:basedOn w:val="DefaultParagraphFont"/>
    <w:link w:val="Footer"/>
    <w:uiPriority w:val="99"/>
    <w:rsid w:val="00D87399"/>
  </w:style>
  <w:style w:type="paragraph" w:styleId="BodyText">
    <w:name w:val="Body Text"/>
    <w:basedOn w:val="Normal"/>
    <w:link w:val="BodyTextChar"/>
    <w:uiPriority w:val="99"/>
    <w:unhideWhenUsed/>
    <w:rsid w:val="00D87399"/>
    <w:pPr>
      <w:spacing w:after="240"/>
    </w:pPr>
  </w:style>
  <w:style w:type="character" w:customStyle="1" w:styleId="BodyTextChar">
    <w:name w:val="Body Text Char"/>
    <w:basedOn w:val="DefaultParagraphFont"/>
    <w:link w:val="BodyText"/>
    <w:uiPriority w:val="99"/>
    <w:rsid w:val="00D87399"/>
    <w:rPr>
      <w:rFonts w:ascii="Georgia" w:hAnsi="Georgia"/>
      <w:sz w:val="20"/>
    </w:rPr>
  </w:style>
  <w:style w:type="paragraph" w:styleId="Title">
    <w:name w:val="Title"/>
    <w:basedOn w:val="Normal"/>
    <w:next w:val="Normal"/>
    <w:link w:val="TitleChar"/>
    <w:uiPriority w:val="10"/>
    <w:qFormat/>
    <w:rsid w:val="00D87399"/>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D87399"/>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D87399"/>
    <w:pPr>
      <w:spacing w:line="200" w:lineRule="atLeast"/>
    </w:pPr>
    <w:rPr>
      <w:i/>
      <w:sz w:val="18"/>
    </w:rPr>
  </w:style>
  <w:style w:type="character" w:customStyle="1" w:styleId="AddressChar">
    <w:name w:val="Address Char"/>
    <w:basedOn w:val="DefaultParagraphFont"/>
    <w:link w:val="Address"/>
    <w:rsid w:val="00D87399"/>
    <w:rPr>
      <w:rFonts w:ascii="Georgia" w:hAnsi="Georgia"/>
      <w:i/>
      <w:sz w:val="18"/>
    </w:rPr>
  </w:style>
  <w:style w:type="paragraph" w:customStyle="1" w:styleId="Disclaimer">
    <w:name w:val="Disclaimer"/>
    <w:basedOn w:val="Normal"/>
    <w:link w:val="DisclaimerChar"/>
    <w:rsid w:val="00D87399"/>
    <w:pPr>
      <w:spacing w:line="140" w:lineRule="atLeast"/>
    </w:pPr>
    <w:rPr>
      <w:rFonts w:ascii="Arial" w:hAnsi="Arial" w:cs="Arial"/>
      <w:sz w:val="12"/>
    </w:rPr>
  </w:style>
  <w:style w:type="character" w:customStyle="1" w:styleId="DisclaimerChar">
    <w:name w:val="Disclaimer Char"/>
    <w:basedOn w:val="DefaultParagraphFont"/>
    <w:link w:val="Disclaimer"/>
    <w:rsid w:val="00D87399"/>
    <w:rPr>
      <w:rFonts w:ascii="Arial" w:hAnsi="Arial" w:cs="Arial"/>
      <w:sz w:val="12"/>
    </w:rPr>
  </w:style>
  <w:style w:type="character" w:customStyle="1" w:styleId="Heading1Char">
    <w:name w:val="Heading 1 Char"/>
    <w:basedOn w:val="DefaultParagraphFont"/>
    <w:link w:val="Heading1"/>
    <w:rsid w:val="00D87399"/>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7E17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7B2"/>
    <w:rPr>
      <w:rFonts w:ascii="Tahoma" w:hAnsi="Tahoma" w:cs="Tahoma"/>
      <w:sz w:val="16"/>
      <w:szCs w:val="16"/>
      <w:lang w:eastAsia="en-US"/>
    </w:rPr>
  </w:style>
  <w:style w:type="paragraph" w:styleId="ListParagraph">
    <w:name w:val="List Paragraph"/>
    <w:basedOn w:val="Normal"/>
    <w:uiPriority w:val="34"/>
    <w:qFormat/>
    <w:rsid w:val="006B6C5F"/>
    <w:pPr>
      <w:widowControl w:val="0"/>
      <w:spacing w:line="240" w:lineRule="auto"/>
      <w:ind w:left="720"/>
      <w:contextualSpacing/>
    </w:pPr>
    <w:rPr>
      <w:rFonts w:ascii="Arial" w:eastAsia="Arial" w:hAnsi="Arial" w:cs="Arial"/>
      <w:kern w:val="2"/>
      <w:sz w:val="22"/>
      <w:lang w:val="en-US" w:eastAsia="zh-CN"/>
    </w:rPr>
  </w:style>
  <w:style w:type="character" w:styleId="Hyperlink">
    <w:name w:val="Hyperlink"/>
    <w:basedOn w:val="DefaultParagraphFont"/>
    <w:rsid w:val="00EC5F57"/>
    <w:rPr>
      <w:color w:val="0000FF"/>
      <w:u w:val="single"/>
    </w:rPr>
  </w:style>
  <w:style w:type="paragraph" w:customStyle="1" w:styleId="CharCharCharChar">
    <w:name w:val="Char Char Char Char"/>
    <w:basedOn w:val="Normal"/>
    <w:rsid w:val="00C94684"/>
    <w:pPr>
      <w:spacing w:after="160" w:line="240" w:lineRule="exact"/>
    </w:pPr>
    <w:rPr>
      <w:rFonts w:ascii="Tahoma" w:hAnsi="Tahoma" w:cs="Angsana New"/>
      <w:szCs w:val="20"/>
      <w:lang w:val="en-US"/>
    </w:rPr>
  </w:style>
  <w:style w:type="character" w:styleId="CommentReference">
    <w:name w:val="annotation reference"/>
    <w:basedOn w:val="DefaultParagraphFont"/>
    <w:uiPriority w:val="99"/>
    <w:semiHidden/>
    <w:unhideWhenUsed/>
    <w:rsid w:val="00F34C61"/>
    <w:rPr>
      <w:sz w:val="16"/>
      <w:szCs w:val="16"/>
    </w:rPr>
  </w:style>
  <w:style w:type="paragraph" w:styleId="CommentText">
    <w:name w:val="annotation text"/>
    <w:basedOn w:val="Normal"/>
    <w:link w:val="CommentTextChar"/>
    <w:uiPriority w:val="99"/>
    <w:semiHidden/>
    <w:unhideWhenUsed/>
    <w:rsid w:val="00F34C61"/>
    <w:rPr>
      <w:szCs w:val="20"/>
    </w:rPr>
  </w:style>
  <w:style w:type="character" w:customStyle="1" w:styleId="CommentTextChar">
    <w:name w:val="Comment Text Char"/>
    <w:basedOn w:val="DefaultParagraphFont"/>
    <w:link w:val="CommentText"/>
    <w:uiPriority w:val="99"/>
    <w:semiHidden/>
    <w:rsid w:val="00F34C61"/>
    <w:rPr>
      <w:rFonts w:ascii="Georgia" w:hAnsi="Georgia"/>
      <w:lang w:val="en-GB" w:eastAsia="en-US"/>
    </w:rPr>
  </w:style>
  <w:style w:type="paragraph" w:styleId="CommentSubject">
    <w:name w:val="annotation subject"/>
    <w:basedOn w:val="CommentText"/>
    <w:next w:val="CommentText"/>
    <w:link w:val="CommentSubjectChar"/>
    <w:uiPriority w:val="99"/>
    <w:semiHidden/>
    <w:unhideWhenUsed/>
    <w:rsid w:val="00F34C61"/>
    <w:rPr>
      <w:b/>
      <w:bCs/>
    </w:rPr>
  </w:style>
  <w:style w:type="character" w:customStyle="1" w:styleId="CommentSubjectChar">
    <w:name w:val="Comment Subject Char"/>
    <w:basedOn w:val="CommentTextChar"/>
    <w:link w:val="CommentSubject"/>
    <w:uiPriority w:val="99"/>
    <w:semiHidden/>
    <w:rsid w:val="00F34C61"/>
    <w:rPr>
      <w:rFonts w:ascii="Georgia" w:hAnsi="Georgia"/>
      <w:b/>
      <w:bCs/>
      <w:lang w:val="en-GB" w:eastAsia="en-US"/>
    </w:rPr>
  </w:style>
  <w:style w:type="paragraph" w:styleId="Revision">
    <w:name w:val="Revision"/>
    <w:hidden/>
    <w:uiPriority w:val="99"/>
    <w:semiHidden/>
    <w:rsid w:val="00F34C61"/>
    <w:rPr>
      <w:rFonts w:ascii="Georgia" w:hAnsi="Georgia"/>
      <w:szCs w:val="22"/>
      <w:lang w:val="en-GB" w:eastAsia="en-US"/>
    </w:rPr>
  </w:style>
  <w:style w:type="paragraph" w:styleId="NoSpacing">
    <w:name w:val="No Spacing"/>
    <w:link w:val="NoSpacingChar"/>
    <w:uiPriority w:val="1"/>
    <w:qFormat/>
    <w:rsid w:val="003E4A72"/>
    <w:rPr>
      <w:rFonts w:asciiTheme="minorHAnsi" w:hAnsiTheme="minorHAnsi" w:cstheme="minorBidi"/>
      <w:sz w:val="22"/>
      <w:szCs w:val="22"/>
      <w:lang w:eastAsia="en-US"/>
    </w:rPr>
  </w:style>
  <w:style w:type="character" w:customStyle="1" w:styleId="NoSpacingChar">
    <w:name w:val="No Spacing Char"/>
    <w:basedOn w:val="DefaultParagraphFont"/>
    <w:link w:val="NoSpacing"/>
    <w:uiPriority w:val="1"/>
    <w:rsid w:val="003E4A72"/>
    <w:rPr>
      <w:rFonts w:asciiTheme="minorHAnsi" w:eastAsiaTheme="minorEastAsia"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399"/>
    <w:pPr>
      <w:spacing w:line="240" w:lineRule="atLeast"/>
    </w:pPr>
    <w:rPr>
      <w:rFonts w:ascii="Georgia" w:hAnsi="Georgia"/>
      <w:szCs w:val="22"/>
      <w:lang w:val="en-GB" w:eastAsia="en-US"/>
    </w:rPr>
  </w:style>
  <w:style w:type="paragraph" w:styleId="Heading1">
    <w:name w:val="heading 1"/>
    <w:basedOn w:val="Normal"/>
    <w:next w:val="Normal"/>
    <w:link w:val="Heading1Char"/>
    <w:qFormat/>
    <w:rsid w:val="00D87399"/>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399"/>
    <w:pPr>
      <w:tabs>
        <w:tab w:val="center" w:pos="4513"/>
        <w:tab w:val="right" w:pos="9026"/>
      </w:tabs>
      <w:spacing w:line="240" w:lineRule="auto"/>
    </w:pPr>
  </w:style>
  <w:style w:type="character" w:customStyle="1" w:styleId="HeaderChar">
    <w:name w:val="Header Char"/>
    <w:basedOn w:val="DefaultParagraphFont"/>
    <w:link w:val="Header"/>
    <w:uiPriority w:val="99"/>
    <w:rsid w:val="00D87399"/>
  </w:style>
  <w:style w:type="paragraph" w:styleId="Footer">
    <w:name w:val="footer"/>
    <w:basedOn w:val="Normal"/>
    <w:link w:val="FooterChar"/>
    <w:uiPriority w:val="99"/>
    <w:unhideWhenUsed/>
    <w:rsid w:val="00D87399"/>
    <w:pPr>
      <w:tabs>
        <w:tab w:val="center" w:pos="4513"/>
        <w:tab w:val="right" w:pos="9026"/>
      </w:tabs>
      <w:spacing w:line="240" w:lineRule="auto"/>
    </w:pPr>
  </w:style>
  <w:style w:type="character" w:customStyle="1" w:styleId="FooterChar">
    <w:name w:val="Footer Char"/>
    <w:basedOn w:val="DefaultParagraphFont"/>
    <w:link w:val="Footer"/>
    <w:uiPriority w:val="99"/>
    <w:rsid w:val="00D87399"/>
  </w:style>
  <w:style w:type="paragraph" w:styleId="BodyText">
    <w:name w:val="Body Text"/>
    <w:basedOn w:val="Normal"/>
    <w:link w:val="BodyTextChar"/>
    <w:uiPriority w:val="99"/>
    <w:unhideWhenUsed/>
    <w:rsid w:val="00D87399"/>
    <w:pPr>
      <w:spacing w:after="240"/>
    </w:pPr>
  </w:style>
  <w:style w:type="character" w:customStyle="1" w:styleId="BodyTextChar">
    <w:name w:val="Body Text Char"/>
    <w:basedOn w:val="DefaultParagraphFont"/>
    <w:link w:val="BodyText"/>
    <w:uiPriority w:val="99"/>
    <w:rsid w:val="00D87399"/>
    <w:rPr>
      <w:rFonts w:ascii="Georgia" w:hAnsi="Georgia"/>
      <w:sz w:val="20"/>
    </w:rPr>
  </w:style>
  <w:style w:type="paragraph" w:styleId="Title">
    <w:name w:val="Title"/>
    <w:basedOn w:val="Normal"/>
    <w:next w:val="Normal"/>
    <w:link w:val="TitleChar"/>
    <w:uiPriority w:val="10"/>
    <w:qFormat/>
    <w:rsid w:val="00D87399"/>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D87399"/>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D87399"/>
    <w:pPr>
      <w:spacing w:line="200" w:lineRule="atLeast"/>
    </w:pPr>
    <w:rPr>
      <w:i/>
      <w:sz w:val="18"/>
    </w:rPr>
  </w:style>
  <w:style w:type="character" w:customStyle="1" w:styleId="AddressChar">
    <w:name w:val="Address Char"/>
    <w:basedOn w:val="DefaultParagraphFont"/>
    <w:link w:val="Address"/>
    <w:rsid w:val="00D87399"/>
    <w:rPr>
      <w:rFonts w:ascii="Georgia" w:hAnsi="Georgia"/>
      <w:i/>
      <w:sz w:val="18"/>
    </w:rPr>
  </w:style>
  <w:style w:type="paragraph" w:customStyle="1" w:styleId="Disclaimer">
    <w:name w:val="Disclaimer"/>
    <w:basedOn w:val="Normal"/>
    <w:link w:val="DisclaimerChar"/>
    <w:rsid w:val="00D87399"/>
    <w:pPr>
      <w:spacing w:line="140" w:lineRule="atLeast"/>
    </w:pPr>
    <w:rPr>
      <w:rFonts w:ascii="Arial" w:hAnsi="Arial" w:cs="Arial"/>
      <w:sz w:val="12"/>
    </w:rPr>
  </w:style>
  <w:style w:type="character" w:customStyle="1" w:styleId="DisclaimerChar">
    <w:name w:val="Disclaimer Char"/>
    <w:basedOn w:val="DefaultParagraphFont"/>
    <w:link w:val="Disclaimer"/>
    <w:rsid w:val="00D87399"/>
    <w:rPr>
      <w:rFonts w:ascii="Arial" w:hAnsi="Arial" w:cs="Arial"/>
      <w:sz w:val="12"/>
    </w:rPr>
  </w:style>
  <w:style w:type="character" w:customStyle="1" w:styleId="Heading1Char">
    <w:name w:val="Heading 1 Char"/>
    <w:basedOn w:val="DefaultParagraphFont"/>
    <w:link w:val="Heading1"/>
    <w:rsid w:val="00D87399"/>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7E17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7B2"/>
    <w:rPr>
      <w:rFonts w:ascii="Tahoma" w:hAnsi="Tahoma" w:cs="Tahoma"/>
      <w:sz w:val="16"/>
      <w:szCs w:val="16"/>
      <w:lang w:eastAsia="en-US"/>
    </w:rPr>
  </w:style>
  <w:style w:type="paragraph" w:styleId="ListParagraph">
    <w:name w:val="List Paragraph"/>
    <w:basedOn w:val="Normal"/>
    <w:uiPriority w:val="34"/>
    <w:qFormat/>
    <w:rsid w:val="006B6C5F"/>
    <w:pPr>
      <w:widowControl w:val="0"/>
      <w:spacing w:line="240" w:lineRule="auto"/>
      <w:ind w:left="720"/>
      <w:contextualSpacing/>
    </w:pPr>
    <w:rPr>
      <w:rFonts w:ascii="Arial" w:eastAsia="Arial" w:hAnsi="Arial" w:cs="Arial"/>
      <w:kern w:val="2"/>
      <w:sz w:val="22"/>
      <w:lang w:val="en-US" w:eastAsia="zh-CN"/>
    </w:rPr>
  </w:style>
  <w:style w:type="character" w:styleId="Hyperlink">
    <w:name w:val="Hyperlink"/>
    <w:basedOn w:val="DefaultParagraphFont"/>
    <w:rsid w:val="00EC5F57"/>
    <w:rPr>
      <w:color w:val="0000FF"/>
      <w:u w:val="single"/>
    </w:rPr>
  </w:style>
  <w:style w:type="paragraph" w:customStyle="1" w:styleId="CharCharCharChar">
    <w:name w:val="Char Char Char Char"/>
    <w:basedOn w:val="Normal"/>
    <w:rsid w:val="00C94684"/>
    <w:pPr>
      <w:spacing w:after="160" w:line="240" w:lineRule="exact"/>
    </w:pPr>
    <w:rPr>
      <w:rFonts w:ascii="Tahoma" w:hAnsi="Tahoma" w:cs="Angsana New"/>
      <w:szCs w:val="20"/>
      <w:lang w:val="en-US"/>
    </w:rPr>
  </w:style>
  <w:style w:type="character" w:styleId="CommentReference">
    <w:name w:val="annotation reference"/>
    <w:basedOn w:val="DefaultParagraphFont"/>
    <w:uiPriority w:val="99"/>
    <w:semiHidden/>
    <w:unhideWhenUsed/>
    <w:rsid w:val="00F34C61"/>
    <w:rPr>
      <w:sz w:val="16"/>
      <w:szCs w:val="16"/>
    </w:rPr>
  </w:style>
  <w:style w:type="paragraph" w:styleId="CommentText">
    <w:name w:val="annotation text"/>
    <w:basedOn w:val="Normal"/>
    <w:link w:val="CommentTextChar"/>
    <w:uiPriority w:val="99"/>
    <w:semiHidden/>
    <w:unhideWhenUsed/>
    <w:rsid w:val="00F34C61"/>
    <w:rPr>
      <w:szCs w:val="20"/>
    </w:rPr>
  </w:style>
  <w:style w:type="character" w:customStyle="1" w:styleId="CommentTextChar">
    <w:name w:val="Comment Text Char"/>
    <w:basedOn w:val="DefaultParagraphFont"/>
    <w:link w:val="CommentText"/>
    <w:uiPriority w:val="99"/>
    <w:semiHidden/>
    <w:rsid w:val="00F34C61"/>
    <w:rPr>
      <w:rFonts w:ascii="Georgia" w:hAnsi="Georgia"/>
      <w:lang w:val="en-GB" w:eastAsia="en-US"/>
    </w:rPr>
  </w:style>
  <w:style w:type="paragraph" w:styleId="CommentSubject">
    <w:name w:val="annotation subject"/>
    <w:basedOn w:val="CommentText"/>
    <w:next w:val="CommentText"/>
    <w:link w:val="CommentSubjectChar"/>
    <w:uiPriority w:val="99"/>
    <w:semiHidden/>
    <w:unhideWhenUsed/>
    <w:rsid w:val="00F34C61"/>
    <w:rPr>
      <w:b/>
      <w:bCs/>
    </w:rPr>
  </w:style>
  <w:style w:type="character" w:customStyle="1" w:styleId="CommentSubjectChar">
    <w:name w:val="Comment Subject Char"/>
    <w:basedOn w:val="CommentTextChar"/>
    <w:link w:val="CommentSubject"/>
    <w:uiPriority w:val="99"/>
    <w:semiHidden/>
    <w:rsid w:val="00F34C61"/>
    <w:rPr>
      <w:rFonts w:ascii="Georgia" w:hAnsi="Georgia"/>
      <w:b/>
      <w:bCs/>
      <w:lang w:val="en-GB" w:eastAsia="en-US"/>
    </w:rPr>
  </w:style>
  <w:style w:type="paragraph" w:styleId="Revision">
    <w:name w:val="Revision"/>
    <w:hidden/>
    <w:uiPriority w:val="99"/>
    <w:semiHidden/>
    <w:rsid w:val="00F34C61"/>
    <w:rPr>
      <w:rFonts w:ascii="Georgia" w:hAnsi="Georgia"/>
      <w:szCs w:val="22"/>
      <w:lang w:val="en-GB" w:eastAsia="en-US"/>
    </w:rPr>
  </w:style>
  <w:style w:type="paragraph" w:styleId="NoSpacing">
    <w:name w:val="No Spacing"/>
    <w:link w:val="NoSpacingChar"/>
    <w:uiPriority w:val="1"/>
    <w:qFormat/>
    <w:rsid w:val="003E4A72"/>
    <w:rPr>
      <w:rFonts w:asciiTheme="minorHAnsi" w:hAnsiTheme="minorHAnsi" w:cstheme="minorBidi"/>
      <w:sz w:val="22"/>
      <w:szCs w:val="22"/>
      <w:lang w:eastAsia="en-US"/>
    </w:rPr>
  </w:style>
  <w:style w:type="character" w:customStyle="1" w:styleId="NoSpacingChar">
    <w:name w:val="No Spacing Char"/>
    <w:basedOn w:val="DefaultParagraphFont"/>
    <w:link w:val="NoSpacing"/>
    <w:uiPriority w:val="1"/>
    <w:rsid w:val="003E4A72"/>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27352115">
      <w:bodyDiv w:val="1"/>
      <w:marLeft w:val="0"/>
      <w:marRight w:val="0"/>
      <w:marTop w:val="0"/>
      <w:marBottom w:val="0"/>
      <w:divBdr>
        <w:top w:val="none" w:sz="0" w:space="0" w:color="auto"/>
        <w:left w:val="none" w:sz="0" w:space="0" w:color="auto"/>
        <w:bottom w:val="none" w:sz="0" w:space="0" w:color="auto"/>
        <w:right w:val="none" w:sz="0" w:space="0" w:color="auto"/>
      </w:divBdr>
    </w:div>
    <w:div w:id="1104616228">
      <w:bodyDiv w:val="1"/>
      <w:marLeft w:val="0"/>
      <w:marRight w:val="0"/>
      <w:marTop w:val="0"/>
      <w:marBottom w:val="0"/>
      <w:divBdr>
        <w:top w:val="none" w:sz="0" w:space="0" w:color="auto"/>
        <w:left w:val="none" w:sz="0" w:space="0" w:color="auto"/>
        <w:bottom w:val="none" w:sz="0" w:space="0" w:color="auto"/>
        <w:right w:val="none" w:sz="0" w:space="0" w:color="auto"/>
      </w:divBdr>
    </w:div>
    <w:div w:id="1110050794">
      <w:bodyDiv w:val="1"/>
      <w:marLeft w:val="0"/>
      <w:marRight w:val="0"/>
      <w:marTop w:val="0"/>
      <w:marBottom w:val="0"/>
      <w:divBdr>
        <w:top w:val="none" w:sz="0" w:space="0" w:color="auto"/>
        <w:left w:val="none" w:sz="0" w:space="0" w:color="auto"/>
        <w:bottom w:val="none" w:sz="0" w:space="0" w:color="auto"/>
        <w:right w:val="none" w:sz="0" w:space="0" w:color="auto"/>
      </w:divBdr>
    </w:div>
    <w:div w:id="145124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 release a4 no disclaimer colour.dotx</Template>
  <TotalTime>60</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5587</CharactersWithSpaces>
  <SharedDoc>false</SharedDoc>
  <HLinks>
    <vt:vector size="12" baseType="variant">
      <vt:variant>
        <vt:i4>7536685</vt:i4>
      </vt:variant>
      <vt:variant>
        <vt:i4>3</vt:i4>
      </vt:variant>
      <vt:variant>
        <vt:i4>0</vt:i4>
      </vt:variant>
      <vt:variant>
        <vt:i4>5</vt:i4>
      </vt:variant>
      <vt:variant>
        <vt:lpwstr>http://www.pwchk.com/home/eng/rss.html</vt:lpwstr>
      </vt:variant>
      <vt:variant>
        <vt:lpwstr/>
      </vt:variant>
      <vt:variant>
        <vt:i4>3539046</vt:i4>
      </vt:variant>
      <vt:variant>
        <vt:i4>0</vt:i4>
      </vt:variant>
      <vt:variant>
        <vt:i4>0</vt:i4>
      </vt:variant>
      <vt:variant>
        <vt:i4>5</vt:i4>
      </vt:variant>
      <vt:variant>
        <vt:lpwstr>http://www.pwc.com/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Windows User</cp:lastModifiedBy>
  <cp:revision>3</cp:revision>
  <cp:lastPrinted>2013-05-22T18:36:00Z</cp:lastPrinted>
  <dcterms:created xsi:type="dcterms:W3CDTF">2013-05-22T18:36:00Z</dcterms:created>
  <dcterms:modified xsi:type="dcterms:W3CDTF">2013-05-22T19:52:00Z</dcterms:modified>
</cp:coreProperties>
</file>