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A20FF5">
            <w:r>
              <w:t>1</w:t>
            </w:r>
            <w:r w:rsidR="00F15ED3">
              <w:t>5</w:t>
            </w:r>
            <w:r>
              <w:t xml:space="preserve"> </w:t>
            </w:r>
            <w:r w:rsidR="00DC28C2">
              <w:t>May</w:t>
            </w:r>
            <w:r w:rsidR="00616052">
              <w:t xml:space="preserve">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616052">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616052">
              <w:rPr>
                <w:rFonts w:cs="Arial"/>
                <w:color w:val="000000"/>
                <w:lang w:val="fr-CH"/>
              </w:rPr>
              <w:t>+1 646-471-4039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616052">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Pr="00010767" w:rsidRDefault="00DC28C2">
            <w:r>
              <w:t>2</w:t>
            </w:r>
            <w:r w:rsidR="001E7D34">
              <w:t xml:space="preserve"> pages</w:t>
            </w:r>
          </w:p>
          <w:p w:rsidR="00010767" w:rsidRDefault="00010767"/>
        </w:tc>
      </w:tr>
    </w:tbl>
    <w:p w:rsidR="00D81336" w:rsidRPr="00F17ADF" w:rsidRDefault="00D81336">
      <w:pPr>
        <w:pStyle w:val="Title"/>
        <w:rPr>
          <w:i w:val="0"/>
        </w:rPr>
      </w:pPr>
    </w:p>
    <w:p w:rsidR="00FA3997" w:rsidRDefault="00BE2943" w:rsidP="00FA3997">
      <w:pPr>
        <w:jc w:val="center"/>
        <w:rPr>
          <w:b/>
          <w:sz w:val="28"/>
          <w:szCs w:val="28"/>
        </w:rPr>
      </w:pPr>
      <w:r>
        <w:rPr>
          <w:b/>
          <w:sz w:val="28"/>
          <w:szCs w:val="28"/>
        </w:rPr>
        <w:t>Cloud, Software-as-a-Service and</w:t>
      </w:r>
      <w:r w:rsidR="00BC77FE">
        <w:rPr>
          <w:b/>
          <w:sz w:val="28"/>
          <w:szCs w:val="28"/>
        </w:rPr>
        <w:t xml:space="preserve"> Mobile </w:t>
      </w:r>
      <w:r w:rsidR="00AB1938">
        <w:rPr>
          <w:b/>
          <w:sz w:val="28"/>
          <w:szCs w:val="28"/>
        </w:rPr>
        <w:t xml:space="preserve">Trends </w:t>
      </w:r>
    </w:p>
    <w:p w:rsidR="00D81336" w:rsidRDefault="00FA3997" w:rsidP="00FA3997">
      <w:pPr>
        <w:jc w:val="center"/>
        <w:rPr>
          <w:b/>
          <w:sz w:val="28"/>
          <w:szCs w:val="28"/>
        </w:rPr>
      </w:pPr>
      <w:r>
        <w:rPr>
          <w:b/>
          <w:sz w:val="28"/>
          <w:szCs w:val="28"/>
        </w:rPr>
        <w:t>Redefine</w:t>
      </w:r>
      <w:r w:rsidR="0023159F">
        <w:rPr>
          <w:b/>
          <w:sz w:val="28"/>
          <w:szCs w:val="28"/>
        </w:rPr>
        <w:t xml:space="preserve"> </w:t>
      </w:r>
      <w:r w:rsidR="00573958">
        <w:rPr>
          <w:b/>
          <w:sz w:val="28"/>
          <w:szCs w:val="28"/>
        </w:rPr>
        <w:t xml:space="preserve">the </w:t>
      </w:r>
      <w:r w:rsidR="0023159F">
        <w:rPr>
          <w:b/>
          <w:sz w:val="28"/>
          <w:szCs w:val="28"/>
        </w:rPr>
        <w:t>Software Industry</w:t>
      </w:r>
    </w:p>
    <w:p w:rsidR="0023159F" w:rsidRDefault="0023159F" w:rsidP="00F17ADF">
      <w:pPr>
        <w:jc w:val="center"/>
        <w:rPr>
          <w:b/>
          <w:sz w:val="28"/>
          <w:szCs w:val="28"/>
        </w:rPr>
      </w:pPr>
    </w:p>
    <w:p w:rsidR="006F54C4" w:rsidRDefault="006E64B8" w:rsidP="006F54C4">
      <w:r>
        <w:t>E</w:t>
      </w:r>
      <w:r w:rsidR="00BC77FE">
        <w:t>volutionary changes in cloud, software-as-a-service (SaaS), IT</w:t>
      </w:r>
      <w:r w:rsidR="00A61472">
        <w:t xml:space="preserve"> consumerisation</w:t>
      </w:r>
      <w:r w:rsidR="00BC77FE">
        <w:t xml:space="preserve"> and mobile are </w:t>
      </w:r>
      <w:r w:rsidR="0084587E">
        <w:t xml:space="preserve">fundamentally reshaping how software companies </w:t>
      </w:r>
      <w:r w:rsidR="00A61472">
        <w:t xml:space="preserve">do business, </w:t>
      </w:r>
      <w:r>
        <w:t>the PwC Global 100 Software Leaders market research report found.</w:t>
      </w:r>
      <w:r w:rsidR="00DC28C2">
        <w:t xml:space="preserve"> </w:t>
      </w:r>
      <w:r w:rsidR="006F54C4">
        <w:t xml:space="preserve">Key </w:t>
      </w:r>
      <w:r w:rsidR="000676E5">
        <w:t xml:space="preserve">data </w:t>
      </w:r>
      <w:r w:rsidR="006F54C4">
        <w:t>and feedback reflect that:</w:t>
      </w:r>
    </w:p>
    <w:p w:rsidR="003C71A7" w:rsidRDefault="003C71A7" w:rsidP="006F54C4"/>
    <w:p w:rsidR="00BD108C" w:rsidRDefault="006F54C4" w:rsidP="00BD108C">
      <w:pPr>
        <w:pStyle w:val="ListParagraph"/>
        <w:numPr>
          <w:ilvl w:val="0"/>
          <w:numId w:val="19"/>
        </w:numPr>
      </w:pPr>
      <w:r w:rsidRPr="006F54C4">
        <w:rPr>
          <w:b/>
        </w:rPr>
        <w:t>SaaS is gaining traction:</w:t>
      </w:r>
      <w:r>
        <w:t xml:space="preserve"> </w:t>
      </w:r>
      <w:r w:rsidR="006E64B8">
        <w:rPr>
          <w:szCs w:val="20"/>
        </w:rPr>
        <w:t>A</w:t>
      </w:r>
      <w:r w:rsidR="00BD108C">
        <w:rPr>
          <w:szCs w:val="20"/>
        </w:rPr>
        <w:t xml:space="preserve">lthough </w:t>
      </w:r>
      <w:r w:rsidR="00BD108C">
        <w:t>SaaS represent</w:t>
      </w:r>
      <w:r w:rsidR="00A61472">
        <w:t>ed</w:t>
      </w:r>
      <w:r w:rsidR="00BD108C">
        <w:t xml:space="preserve"> </w:t>
      </w:r>
      <w:r w:rsidR="00A61472">
        <w:t xml:space="preserve">only </w:t>
      </w:r>
      <w:r w:rsidR="00A20FF5">
        <w:t>4.9</w:t>
      </w:r>
      <w:r w:rsidR="00BD108C">
        <w:t xml:space="preserve"> percent of total </w:t>
      </w:r>
      <w:r w:rsidR="00794B23">
        <w:t>software revenues in 201</w:t>
      </w:r>
      <w:r w:rsidR="008A788F">
        <w:t>1</w:t>
      </w:r>
      <w:r w:rsidR="00794B23">
        <w:t xml:space="preserve">, a consistent and significant shift towards SaaS </w:t>
      </w:r>
      <w:r w:rsidR="00573958">
        <w:t xml:space="preserve">is </w:t>
      </w:r>
      <w:r w:rsidR="00BD108C">
        <w:t>occurring. R</w:t>
      </w:r>
      <w:r w:rsidR="00BD108C" w:rsidRPr="006F54C4">
        <w:rPr>
          <w:szCs w:val="20"/>
        </w:rPr>
        <w:t>oughly half of 800 North American organi</w:t>
      </w:r>
      <w:r w:rsidR="00573958">
        <w:rPr>
          <w:szCs w:val="20"/>
        </w:rPr>
        <w:t>s</w:t>
      </w:r>
      <w:r w:rsidR="00BD108C" w:rsidRPr="006F54C4">
        <w:rPr>
          <w:szCs w:val="20"/>
        </w:rPr>
        <w:t xml:space="preserve">ations confirmed they evaluate cloud based solutions when they </w:t>
      </w:r>
      <w:r w:rsidR="00A61472">
        <w:rPr>
          <w:szCs w:val="20"/>
        </w:rPr>
        <w:t>buying</w:t>
      </w:r>
      <w:r w:rsidR="00A61472" w:rsidRPr="006F54C4">
        <w:rPr>
          <w:szCs w:val="20"/>
        </w:rPr>
        <w:t xml:space="preserve"> </w:t>
      </w:r>
      <w:r w:rsidR="00BD108C" w:rsidRPr="006F54C4">
        <w:rPr>
          <w:szCs w:val="20"/>
        </w:rPr>
        <w:t>software</w:t>
      </w:r>
      <w:r w:rsidR="00BD108C" w:rsidRPr="006F54C4">
        <w:rPr>
          <w:szCs w:val="20"/>
          <w:vertAlign w:val="superscript"/>
        </w:rPr>
        <w:t>1</w:t>
      </w:r>
      <w:r w:rsidR="00BD108C" w:rsidRPr="006F54C4">
        <w:rPr>
          <w:szCs w:val="20"/>
        </w:rPr>
        <w:t>. Perpetual license revenue has been shrinking since 2004 while subscription revenue</w:t>
      </w:r>
      <w:r w:rsidR="00F4128D">
        <w:rPr>
          <w:szCs w:val="20"/>
        </w:rPr>
        <w:t xml:space="preserve"> (including SaaS)</w:t>
      </w:r>
      <w:r w:rsidR="00BD108C" w:rsidRPr="006F54C4">
        <w:rPr>
          <w:szCs w:val="20"/>
        </w:rPr>
        <w:t xml:space="preserve"> is forecast to </w:t>
      </w:r>
      <w:r w:rsidR="00A61472">
        <w:rPr>
          <w:szCs w:val="20"/>
        </w:rPr>
        <w:t>grow</w:t>
      </w:r>
      <w:r w:rsidR="00F4128D">
        <w:rPr>
          <w:szCs w:val="20"/>
        </w:rPr>
        <w:t xml:space="preserve"> at a</w:t>
      </w:r>
      <w:r w:rsidR="00A61472">
        <w:rPr>
          <w:szCs w:val="20"/>
        </w:rPr>
        <w:t xml:space="preserve"> </w:t>
      </w:r>
      <w:r w:rsidR="00BD108C" w:rsidRPr="006F54C4">
        <w:rPr>
          <w:szCs w:val="20"/>
        </w:rPr>
        <w:t>17.5%</w:t>
      </w:r>
      <w:r w:rsidR="00807324">
        <w:rPr>
          <w:szCs w:val="20"/>
        </w:rPr>
        <w:t xml:space="preserve"> com</w:t>
      </w:r>
      <w:r w:rsidR="00F4128D">
        <w:rPr>
          <w:szCs w:val="20"/>
        </w:rPr>
        <w:t xml:space="preserve">pounded annual rate, reaching </w:t>
      </w:r>
      <w:r w:rsidR="00807324">
        <w:rPr>
          <w:szCs w:val="20"/>
        </w:rPr>
        <w:t>24% of total software revenue</w:t>
      </w:r>
      <w:r w:rsidR="005048AB">
        <w:rPr>
          <w:szCs w:val="20"/>
        </w:rPr>
        <w:t xml:space="preserve"> </w:t>
      </w:r>
      <w:r w:rsidR="00807324">
        <w:rPr>
          <w:szCs w:val="20"/>
        </w:rPr>
        <w:t xml:space="preserve">by </w:t>
      </w:r>
      <w:r w:rsidR="00BD108C" w:rsidRPr="006F54C4">
        <w:rPr>
          <w:szCs w:val="20"/>
        </w:rPr>
        <w:t>2016</w:t>
      </w:r>
      <w:r w:rsidR="00715D7C">
        <w:rPr>
          <w:szCs w:val="20"/>
          <w:vertAlign w:val="superscript"/>
        </w:rPr>
        <w:t>2</w:t>
      </w:r>
      <w:r w:rsidR="00A61472">
        <w:rPr>
          <w:szCs w:val="20"/>
        </w:rPr>
        <w:t>.</w:t>
      </w:r>
      <w:r w:rsidR="00BD108C" w:rsidRPr="006F54C4">
        <w:rPr>
          <w:szCs w:val="20"/>
        </w:rPr>
        <w:t xml:space="preserve"> </w:t>
      </w:r>
      <w:r w:rsidR="006E64B8">
        <w:rPr>
          <w:szCs w:val="20"/>
        </w:rPr>
        <w:t>S</w:t>
      </w:r>
      <w:r w:rsidR="00BD108C" w:rsidRPr="006F54C4">
        <w:rPr>
          <w:szCs w:val="20"/>
        </w:rPr>
        <w:t xml:space="preserve">oftware companies are now </w:t>
      </w:r>
      <w:r w:rsidR="00A61472">
        <w:rPr>
          <w:szCs w:val="20"/>
        </w:rPr>
        <w:t>closely evaluat</w:t>
      </w:r>
      <w:r w:rsidR="00DC28C2">
        <w:rPr>
          <w:szCs w:val="20"/>
        </w:rPr>
        <w:t>ing</w:t>
      </w:r>
      <w:r w:rsidR="00A61472">
        <w:rPr>
          <w:szCs w:val="20"/>
        </w:rPr>
        <w:t xml:space="preserve"> </w:t>
      </w:r>
      <w:r w:rsidR="00BD108C">
        <w:t>aspects of their business models, including delivery methods, pricing strategies</w:t>
      </w:r>
      <w:r w:rsidR="00052B02">
        <w:t xml:space="preserve"> and sales compensation options</w:t>
      </w:r>
      <w:r w:rsidR="00573958">
        <w:t>.</w:t>
      </w:r>
    </w:p>
    <w:p w:rsidR="00D70CB0" w:rsidRPr="00DC28C2" w:rsidRDefault="006F54C4" w:rsidP="00D70CB0">
      <w:pPr>
        <w:pStyle w:val="ListParagraph"/>
        <w:numPr>
          <w:ilvl w:val="0"/>
          <w:numId w:val="19"/>
        </w:numPr>
        <w:autoSpaceDE w:val="0"/>
        <w:autoSpaceDN w:val="0"/>
        <w:adjustRightInd w:val="0"/>
        <w:spacing w:line="240" w:lineRule="auto"/>
        <w:rPr>
          <w:rFonts w:cs="Tahoma"/>
          <w:szCs w:val="20"/>
          <w:lang w:val="en-US" w:eastAsia="de-CH"/>
        </w:rPr>
      </w:pPr>
      <w:r w:rsidRPr="00DC28C2">
        <w:rPr>
          <w:b/>
          <w:szCs w:val="20"/>
        </w:rPr>
        <w:t>Customer is king:</w:t>
      </w:r>
      <w:r w:rsidRPr="00DC28C2">
        <w:rPr>
          <w:szCs w:val="20"/>
        </w:rPr>
        <w:t xml:space="preserve"> </w:t>
      </w:r>
      <w:r w:rsidR="00BD108C" w:rsidRPr="00DC28C2">
        <w:rPr>
          <w:szCs w:val="20"/>
        </w:rPr>
        <w:t>With the adoption of intuitive cloud services, mobile devices and low-cost apps, CIOs are no longer the sole decision maker</w:t>
      </w:r>
      <w:r w:rsidR="0003685D" w:rsidRPr="00DC28C2">
        <w:rPr>
          <w:szCs w:val="20"/>
        </w:rPr>
        <w:t>s</w:t>
      </w:r>
      <w:r w:rsidR="00BD108C" w:rsidRPr="00DC28C2">
        <w:rPr>
          <w:szCs w:val="20"/>
        </w:rPr>
        <w:t xml:space="preserve"> in the software purchasing process; end users must be satisfied in order to retain and grow enterprise sales. One Software 100 </w:t>
      </w:r>
      <w:r w:rsidR="004F7420" w:rsidRPr="00DC28C2">
        <w:rPr>
          <w:szCs w:val="20"/>
        </w:rPr>
        <w:t xml:space="preserve">report </w:t>
      </w:r>
      <w:r w:rsidR="00BD108C" w:rsidRPr="00DC28C2">
        <w:rPr>
          <w:szCs w:val="20"/>
        </w:rPr>
        <w:t xml:space="preserve">participant noted, </w:t>
      </w:r>
      <w:r w:rsidR="00BD108C" w:rsidRPr="006B6FDB">
        <w:rPr>
          <w:szCs w:val="20"/>
        </w:rPr>
        <w:t>“</w:t>
      </w:r>
      <w:r w:rsidR="008D38D8" w:rsidRPr="006B6FDB">
        <w:rPr>
          <w:rFonts w:cs="Tahoma"/>
          <w:color w:val="000000"/>
          <w:szCs w:val="20"/>
          <w:lang w:val="en-US" w:eastAsia="de-CH"/>
        </w:rPr>
        <w:t>Our investments around insights from big data, streamlining marketing, and customer experience mean that we’ve nearly tripled our technology investment.”</w:t>
      </w:r>
    </w:p>
    <w:p w:rsidR="00BD108C" w:rsidRPr="00BD108C" w:rsidRDefault="00BD108C" w:rsidP="00BD108C">
      <w:pPr>
        <w:pStyle w:val="ListParagraph"/>
        <w:numPr>
          <w:ilvl w:val="0"/>
          <w:numId w:val="19"/>
        </w:numPr>
      </w:pPr>
      <w:r w:rsidRPr="00BD108C">
        <w:rPr>
          <w:b/>
        </w:rPr>
        <w:t>Emerging h</w:t>
      </w:r>
      <w:r w:rsidR="006F54C4" w:rsidRPr="00BD108C">
        <w:rPr>
          <w:b/>
        </w:rPr>
        <w:t xml:space="preserve">ybrid models </w:t>
      </w:r>
      <w:r w:rsidRPr="00BD108C">
        <w:rPr>
          <w:b/>
        </w:rPr>
        <w:t>bring new challenges</w:t>
      </w:r>
      <w:r w:rsidR="006F54C4" w:rsidRPr="00BD108C">
        <w:rPr>
          <w:b/>
        </w:rPr>
        <w:t>:</w:t>
      </w:r>
      <w:r w:rsidR="006F54C4" w:rsidRPr="00117B17">
        <w:rPr>
          <w:szCs w:val="20"/>
        </w:rPr>
        <w:t xml:space="preserve"> </w:t>
      </w:r>
      <w:r w:rsidR="00A61472">
        <w:rPr>
          <w:szCs w:val="20"/>
        </w:rPr>
        <w:t xml:space="preserve">There will be a </w:t>
      </w:r>
      <w:r w:rsidR="00D70CB0" w:rsidRPr="00D70CB0">
        <w:rPr>
          <w:szCs w:val="20"/>
        </w:rPr>
        <w:t xml:space="preserve">range of business models, from the traditional licensed software to pure SaaS to hybrid </w:t>
      </w:r>
      <w:r w:rsidR="006B6FDB" w:rsidRPr="00D70CB0">
        <w:rPr>
          <w:szCs w:val="20"/>
        </w:rPr>
        <w:t xml:space="preserve">approaches, </w:t>
      </w:r>
      <w:r w:rsidR="006B6FDB">
        <w:rPr>
          <w:szCs w:val="20"/>
        </w:rPr>
        <w:t>which</w:t>
      </w:r>
      <w:r w:rsidR="00A61472">
        <w:rPr>
          <w:szCs w:val="20"/>
        </w:rPr>
        <w:t xml:space="preserve"> will pose </w:t>
      </w:r>
      <w:r w:rsidR="00D70CB0" w:rsidRPr="00D70CB0">
        <w:rPr>
          <w:szCs w:val="20"/>
        </w:rPr>
        <w:t xml:space="preserve">challenges for vendors for the foreseeable future.  </w:t>
      </w:r>
      <w:r w:rsidR="00A61472">
        <w:rPr>
          <w:szCs w:val="20"/>
        </w:rPr>
        <w:t xml:space="preserve">Vendors </w:t>
      </w:r>
      <w:r w:rsidR="00D70CB0" w:rsidRPr="00D70CB0">
        <w:rPr>
          <w:szCs w:val="20"/>
        </w:rPr>
        <w:t>will need to identify and adopt new business model</w:t>
      </w:r>
      <w:r w:rsidR="00A61472">
        <w:rPr>
          <w:szCs w:val="20"/>
        </w:rPr>
        <w:t>s</w:t>
      </w:r>
      <w:r w:rsidR="00D70CB0" w:rsidRPr="00D70CB0">
        <w:rPr>
          <w:szCs w:val="20"/>
        </w:rPr>
        <w:t xml:space="preserve"> while trying to maintain revenues and </w:t>
      </w:r>
      <w:r w:rsidR="00A61472">
        <w:rPr>
          <w:szCs w:val="20"/>
        </w:rPr>
        <w:t>profits</w:t>
      </w:r>
      <w:r w:rsidR="00715D7C">
        <w:rPr>
          <w:szCs w:val="20"/>
        </w:rPr>
        <w:t xml:space="preserve"> during a time when </w:t>
      </w:r>
      <w:r w:rsidR="00D70CB0" w:rsidRPr="00D70CB0">
        <w:rPr>
          <w:szCs w:val="20"/>
        </w:rPr>
        <w:t xml:space="preserve">overall </w:t>
      </w:r>
      <w:r w:rsidR="00715D7C">
        <w:rPr>
          <w:szCs w:val="20"/>
        </w:rPr>
        <w:t xml:space="preserve">industry </w:t>
      </w:r>
      <w:r w:rsidR="00D70CB0" w:rsidRPr="00D70CB0">
        <w:rPr>
          <w:szCs w:val="20"/>
        </w:rPr>
        <w:t>pricing is under pressure.</w:t>
      </w:r>
      <w:r w:rsidR="00117B17">
        <w:rPr>
          <w:szCs w:val="20"/>
        </w:rPr>
        <w:t xml:space="preserve"> </w:t>
      </w:r>
      <w:r w:rsidR="00D70CB0" w:rsidRPr="00D70CB0">
        <w:rPr>
          <w:szCs w:val="20"/>
        </w:rPr>
        <w:t xml:space="preserve">Industry executives also worry that the new subscription-based business models </w:t>
      </w:r>
      <w:r w:rsidR="00A61472">
        <w:rPr>
          <w:szCs w:val="20"/>
        </w:rPr>
        <w:t xml:space="preserve">will </w:t>
      </w:r>
      <w:r w:rsidR="00D70CB0" w:rsidRPr="00D70CB0">
        <w:rPr>
          <w:szCs w:val="20"/>
        </w:rPr>
        <w:t>increase dependency</w:t>
      </w:r>
      <w:r w:rsidR="009C4282">
        <w:rPr>
          <w:szCs w:val="20"/>
        </w:rPr>
        <w:t xml:space="preserve"> </w:t>
      </w:r>
      <w:r w:rsidRPr="00BD108C">
        <w:rPr>
          <w:szCs w:val="20"/>
        </w:rPr>
        <w:t>on renewals and risk of customer turnover</w:t>
      </w:r>
      <w:r w:rsidR="00A61472">
        <w:rPr>
          <w:szCs w:val="20"/>
        </w:rPr>
        <w:t>.</w:t>
      </w:r>
    </w:p>
    <w:p w:rsidR="00D74AC1" w:rsidRPr="00056596" w:rsidRDefault="006F54C4">
      <w:pPr>
        <w:pStyle w:val="ListParagraph"/>
        <w:numPr>
          <w:ilvl w:val="0"/>
          <w:numId w:val="19"/>
        </w:numPr>
        <w:autoSpaceDE w:val="0"/>
        <w:autoSpaceDN w:val="0"/>
        <w:adjustRightInd w:val="0"/>
        <w:spacing w:line="240" w:lineRule="auto"/>
        <w:rPr>
          <w:rFonts w:cs="Courier"/>
          <w:color w:val="000000"/>
          <w:szCs w:val="20"/>
          <w:lang w:val="en-US" w:eastAsia="de-CH"/>
        </w:rPr>
      </w:pPr>
      <w:r w:rsidRPr="00117B17">
        <w:rPr>
          <w:b/>
        </w:rPr>
        <w:t>Priority on pricing</w:t>
      </w:r>
      <w:r>
        <w:t xml:space="preserve">: </w:t>
      </w:r>
      <w:r w:rsidR="00D70CB0" w:rsidRPr="00D70CB0">
        <w:rPr>
          <w:szCs w:val="20"/>
        </w:rPr>
        <w:t xml:space="preserve">Pricing </w:t>
      </w:r>
      <w:r w:rsidR="0003685D">
        <w:rPr>
          <w:szCs w:val="20"/>
        </w:rPr>
        <w:t>is</w:t>
      </w:r>
      <w:r w:rsidR="00D70CB0" w:rsidRPr="00D70CB0">
        <w:rPr>
          <w:szCs w:val="20"/>
        </w:rPr>
        <w:t xml:space="preserve"> the paramount issue for the entire sector. With the</w:t>
      </w:r>
      <w:r w:rsidR="00715D7C">
        <w:rPr>
          <w:szCs w:val="20"/>
        </w:rPr>
        <w:t xml:space="preserve"> rise of</w:t>
      </w:r>
      <w:r w:rsidR="00D70CB0" w:rsidRPr="00D70CB0">
        <w:rPr>
          <w:szCs w:val="20"/>
        </w:rPr>
        <w:t xml:space="preserve"> </w:t>
      </w:r>
      <w:r w:rsidR="00E86A8E">
        <w:rPr>
          <w:szCs w:val="20"/>
        </w:rPr>
        <w:t xml:space="preserve">IT </w:t>
      </w:r>
      <w:r w:rsidR="00D70CB0" w:rsidRPr="00D70CB0">
        <w:rPr>
          <w:szCs w:val="20"/>
        </w:rPr>
        <w:t>consumerisation via low and no cost online platforms</w:t>
      </w:r>
      <w:r w:rsidR="00715D7C">
        <w:rPr>
          <w:szCs w:val="20"/>
        </w:rPr>
        <w:t>,</w:t>
      </w:r>
      <w:r w:rsidR="00117B17">
        <w:rPr>
          <w:szCs w:val="20"/>
        </w:rPr>
        <w:t xml:space="preserve"> </w:t>
      </w:r>
      <w:r w:rsidR="00D70CB0" w:rsidRPr="00D70CB0">
        <w:rPr>
          <w:szCs w:val="20"/>
        </w:rPr>
        <w:t>software companies</w:t>
      </w:r>
      <w:r w:rsidR="00117B17">
        <w:rPr>
          <w:szCs w:val="20"/>
        </w:rPr>
        <w:t xml:space="preserve"> </w:t>
      </w:r>
      <w:r w:rsidR="00D70CB0" w:rsidRPr="00D70CB0">
        <w:rPr>
          <w:szCs w:val="20"/>
        </w:rPr>
        <w:t>are already struggling to explain the difference in value between a low-cost</w:t>
      </w:r>
      <w:r w:rsidR="00117B17">
        <w:rPr>
          <w:szCs w:val="20"/>
        </w:rPr>
        <w:t xml:space="preserve"> </w:t>
      </w:r>
      <w:r w:rsidR="00D70CB0" w:rsidRPr="00D70CB0">
        <w:rPr>
          <w:szCs w:val="20"/>
        </w:rPr>
        <w:t>mobile app and a full-strength, licensed enterprise software package.</w:t>
      </w:r>
      <w:r w:rsidR="00D70CB0" w:rsidRPr="00D70CB0">
        <w:rPr>
          <w:szCs w:val="20"/>
        </w:rPr>
        <w:br/>
      </w:r>
    </w:p>
    <w:p w:rsidR="0023159F" w:rsidRDefault="001C11B1" w:rsidP="001E7D34">
      <w:r>
        <w:t>“</w:t>
      </w:r>
      <w:r w:rsidR="00F74C31">
        <w:t>C</w:t>
      </w:r>
      <w:r w:rsidR="00F74C31" w:rsidRPr="00C65F90">
        <w:t xml:space="preserve">loud computing </w:t>
      </w:r>
      <w:r w:rsidR="00F74C31">
        <w:t xml:space="preserve">has </w:t>
      </w:r>
      <w:r w:rsidR="00F74C31" w:rsidRPr="00C65F90">
        <w:t>enabl</w:t>
      </w:r>
      <w:r w:rsidR="00F74C31">
        <w:t>ed</w:t>
      </w:r>
      <w:r w:rsidR="00F74C31" w:rsidRPr="00C65F90">
        <w:t xml:space="preserve"> </w:t>
      </w:r>
      <w:r w:rsidR="00F74C31">
        <w:t>SaaS to grow as a new business model</w:t>
      </w:r>
      <w:r w:rsidR="00BE2943">
        <w:t xml:space="preserve">. </w:t>
      </w:r>
      <w:r w:rsidR="0003685D">
        <w:t>T</w:t>
      </w:r>
      <w:r>
        <w:t xml:space="preserve">he </w:t>
      </w:r>
      <w:r w:rsidR="001954C1">
        <w:t xml:space="preserve">entire </w:t>
      </w:r>
      <w:r>
        <w:t xml:space="preserve">structure of the software industry is fundamentally changing,” said </w:t>
      </w:r>
      <w:r w:rsidR="00715D7C" w:rsidRPr="00E54B44">
        <w:t>Mark McCaffrey, PwC's Global Software Leader</w:t>
      </w:r>
      <w:r>
        <w:t xml:space="preserve">. </w:t>
      </w:r>
      <w:r w:rsidR="00CD60E5">
        <w:t>“</w:t>
      </w:r>
      <w:r>
        <w:t xml:space="preserve">In the short term, </w:t>
      </w:r>
      <w:r w:rsidR="00BE2943">
        <w:t xml:space="preserve">we expect </w:t>
      </w:r>
      <w:r w:rsidR="0003685D">
        <w:t xml:space="preserve">business </w:t>
      </w:r>
      <w:r w:rsidR="00992EED">
        <w:t>models will continue to</w:t>
      </w:r>
      <w:r>
        <w:t xml:space="preserve"> range from t</w:t>
      </w:r>
      <w:r w:rsidR="00F74C31">
        <w:t>raditional licensing t</w:t>
      </w:r>
      <w:r w:rsidR="00FA3997">
        <w:t xml:space="preserve">o SaaS, </w:t>
      </w:r>
      <w:r w:rsidR="00FA3997">
        <w:lastRenderedPageBreak/>
        <w:t>subscriptions</w:t>
      </w:r>
      <w:r w:rsidR="00E86A8E">
        <w:t>.</w:t>
      </w:r>
      <w:r w:rsidR="00CD60E5">
        <w:t xml:space="preserve"> </w:t>
      </w:r>
      <w:r w:rsidR="00BE2943">
        <w:t>O</w:t>
      </w:r>
      <w:r>
        <w:t xml:space="preserve">ver time, we see a growing </w:t>
      </w:r>
      <w:r w:rsidR="0003685D">
        <w:t xml:space="preserve">range </w:t>
      </w:r>
      <w:r w:rsidR="00F74C31">
        <w:t xml:space="preserve">of services and functions, </w:t>
      </w:r>
      <w:r w:rsidR="00357B49">
        <w:t xml:space="preserve">such as </w:t>
      </w:r>
      <w:r w:rsidR="00F74C31">
        <w:t>PaaS, IaaS and XaaS</w:t>
      </w:r>
      <w:r w:rsidR="00357B49">
        <w:t xml:space="preserve">, </w:t>
      </w:r>
      <w:r w:rsidR="00A317E0">
        <w:t xml:space="preserve">will begin </w:t>
      </w:r>
      <w:r w:rsidR="00357B49">
        <w:t>to emerge.</w:t>
      </w:r>
      <w:r>
        <w:t>”</w:t>
      </w:r>
    </w:p>
    <w:p w:rsidR="00F4128D" w:rsidRPr="00A634C2" w:rsidRDefault="00F4128D" w:rsidP="001E7D34">
      <w:pPr>
        <w:rPr>
          <w:szCs w:val="20"/>
        </w:rPr>
      </w:pPr>
    </w:p>
    <w:p w:rsidR="00A34A0D" w:rsidRDefault="0003685D" w:rsidP="00A34A0D">
      <w:pPr>
        <w:spacing w:line="240" w:lineRule="auto"/>
      </w:pPr>
      <w:r>
        <w:rPr>
          <w:szCs w:val="20"/>
        </w:rPr>
        <w:t xml:space="preserve">According to </w:t>
      </w:r>
      <w:r w:rsidR="00270D80">
        <w:rPr>
          <w:szCs w:val="20"/>
        </w:rPr>
        <w:t>PwC’s</w:t>
      </w:r>
      <w:r w:rsidR="00C0200D">
        <w:rPr>
          <w:szCs w:val="20"/>
        </w:rPr>
        <w:t xml:space="preserve"> recent</w:t>
      </w:r>
      <w:r w:rsidR="00270D80">
        <w:rPr>
          <w:szCs w:val="20"/>
        </w:rPr>
        <w:t xml:space="preserve"> </w:t>
      </w:r>
      <w:r w:rsidR="00270D80" w:rsidRPr="00270D80">
        <w:rPr>
          <w:i/>
          <w:szCs w:val="20"/>
        </w:rPr>
        <w:t>Future of Software Pricing Excellence</w:t>
      </w:r>
      <w:r w:rsidR="00270D80">
        <w:rPr>
          <w:szCs w:val="20"/>
        </w:rPr>
        <w:t xml:space="preserve"> report series</w:t>
      </w:r>
      <w:r>
        <w:rPr>
          <w:szCs w:val="20"/>
        </w:rPr>
        <w:t>,</w:t>
      </w:r>
      <w:r w:rsidR="00A634C2">
        <w:rPr>
          <w:szCs w:val="20"/>
        </w:rPr>
        <w:t xml:space="preserve"> </w:t>
      </w:r>
      <w:r w:rsidR="00C0200D">
        <w:rPr>
          <w:szCs w:val="20"/>
        </w:rPr>
        <w:t>the top four companies surveyed</w:t>
      </w:r>
      <w:r w:rsidR="00697666">
        <w:rPr>
          <w:szCs w:val="20"/>
        </w:rPr>
        <w:t xml:space="preserve"> earned</w:t>
      </w:r>
      <w:r w:rsidR="00C0200D">
        <w:rPr>
          <w:szCs w:val="20"/>
        </w:rPr>
        <w:t xml:space="preserve"> less than 2 percent of 2011 revenue from SaaS</w:t>
      </w:r>
      <w:r w:rsidR="005121C2">
        <w:rPr>
          <w:szCs w:val="20"/>
        </w:rPr>
        <w:t>. But</w:t>
      </w:r>
      <w:r w:rsidR="00C0200D">
        <w:rPr>
          <w:szCs w:val="20"/>
        </w:rPr>
        <w:t xml:space="preserve">, data from the top 100 indicates considerable movement. </w:t>
      </w:r>
      <w:r w:rsidR="00F4128D">
        <w:rPr>
          <w:rFonts w:cs="ITC Charter Com"/>
          <w:color w:val="000000"/>
          <w:szCs w:val="20"/>
        </w:rPr>
        <w:t>SaaS revenue accounted for at least 40 percent of software revenue for 10 companies on the Global 100</w:t>
      </w:r>
      <w:r w:rsidR="00DD236C" w:rsidRPr="00DD236C">
        <w:rPr>
          <w:rFonts w:cs="ITC Charter Com"/>
          <w:color w:val="000000"/>
          <w:szCs w:val="20"/>
          <w:vertAlign w:val="superscript"/>
        </w:rPr>
        <w:t>3</w:t>
      </w:r>
      <w:r w:rsidR="00F4128D">
        <w:rPr>
          <w:rFonts w:cs="ITC Charter Com"/>
          <w:color w:val="000000"/>
          <w:szCs w:val="20"/>
        </w:rPr>
        <w:t>.</w:t>
      </w:r>
    </w:p>
    <w:p w:rsidR="00DC28C2" w:rsidRDefault="00DC28C2" w:rsidP="00052B02">
      <w:pPr>
        <w:spacing w:line="240" w:lineRule="auto"/>
        <w:rPr>
          <w:szCs w:val="20"/>
        </w:rPr>
      </w:pPr>
    </w:p>
    <w:p w:rsidR="005048AB" w:rsidRDefault="00052B02" w:rsidP="005048AB">
      <w:pPr>
        <w:spacing w:line="240" w:lineRule="auto"/>
        <w:rPr>
          <w:szCs w:val="20"/>
        </w:rPr>
      </w:pPr>
      <w:r>
        <w:rPr>
          <w:szCs w:val="20"/>
        </w:rPr>
        <w:t>Consolidati</w:t>
      </w:r>
      <w:r w:rsidR="00697666">
        <w:rPr>
          <w:szCs w:val="20"/>
        </w:rPr>
        <w:t>on</w:t>
      </w:r>
      <w:r>
        <w:rPr>
          <w:szCs w:val="20"/>
        </w:rPr>
        <w:t xml:space="preserve"> in the industry and increasing globalisation are also transforming the software sector</w:t>
      </w:r>
      <w:r w:rsidR="005121C2">
        <w:rPr>
          <w:szCs w:val="20"/>
        </w:rPr>
        <w:t>.</w:t>
      </w:r>
      <w:r>
        <w:rPr>
          <w:szCs w:val="20"/>
        </w:rPr>
        <w:t xml:space="preserve"> Acquisitions are viewed as an R&amp;D strategy, </w:t>
      </w:r>
      <w:r w:rsidR="005121C2">
        <w:rPr>
          <w:szCs w:val="20"/>
        </w:rPr>
        <w:t>as well</w:t>
      </w:r>
      <w:r>
        <w:rPr>
          <w:szCs w:val="20"/>
        </w:rPr>
        <w:t xml:space="preserve"> as a key way to acquire talent and build SaaS capabilities mo</w:t>
      </w:r>
      <w:r w:rsidR="00056596">
        <w:rPr>
          <w:szCs w:val="20"/>
        </w:rPr>
        <w:t>re effectively and efficiently.</w:t>
      </w:r>
    </w:p>
    <w:p w:rsidR="005048AB" w:rsidRDefault="005048AB" w:rsidP="005048AB">
      <w:pPr>
        <w:spacing w:line="240" w:lineRule="auto"/>
      </w:pPr>
    </w:p>
    <w:p w:rsidR="00052B02" w:rsidRDefault="00052B02" w:rsidP="005048AB">
      <w:pPr>
        <w:spacing w:line="240" w:lineRule="auto"/>
      </w:pPr>
      <w:r w:rsidRPr="00715D7C">
        <w:t xml:space="preserve">Currently, North American vendors dominate the Global 100, though the Emerging Markets 100 had $7.9 billion in software revenue combined, with China the leader </w:t>
      </w:r>
      <w:r w:rsidR="005121C2" w:rsidRPr="00715D7C">
        <w:t>at</w:t>
      </w:r>
      <w:r w:rsidR="00F63D4F" w:rsidRPr="00715D7C">
        <w:t xml:space="preserve"> over</w:t>
      </w:r>
      <w:r w:rsidR="005121C2" w:rsidRPr="00715D7C">
        <w:t xml:space="preserve"> $</w:t>
      </w:r>
      <w:r w:rsidR="00F63D4F" w:rsidRPr="00715D7C">
        <w:t>2.6 bn USD.</w:t>
      </w:r>
      <w:r w:rsidRPr="00715D7C">
        <w:t xml:space="preserve"> The </w:t>
      </w:r>
      <w:r w:rsidR="005C707A" w:rsidRPr="00715D7C">
        <w:t>Europe, Middle East and Africa markets (</w:t>
      </w:r>
      <w:r w:rsidRPr="00715D7C">
        <w:t>EMEA</w:t>
      </w:r>
      <w:r w:rsidR="00E86A8E" w:rsidRPr="00715D7C">
        <w:t>)</w:t>
      </w:r>
      <w:r w:rsidRPr="00715D7C">
        <w:t xml:space="preserve"> 100 had more than $</w:t>
      </w:r>
      <w:r w:rsidR="00F4128D">
        <w:t>50</w:t>
      </w:r>
      <w:r w:rsidR="00F4128D" w:rsidRPr="00715D7C">
        <w:t xml:space="preserve"> </w:t>
      </w:r>
      <w:r w:rsidRPr="00715D7C">
        <w:t>billion combined, with Germany the leader</w:t>
      </w:r>
      <w:r w:rsidR="005121C2" w:rsidRPr="00715D7C">
        <w:t xml:space="preserve"> at </w:t>
      </w:r>
      <w:r w:rsidR="00F63D4F" w:rsidRPr="00715D7C">
        <w:t>$22</w:t>
      </w:r>
      <w:r w:rsidR="00F53E03" w:rsidRPr="00715D7C">
        <w:t>bn</w:t>
      </w:r>
      <w:r w:rsidR="00F63D4F" w:rsidRPr="00715D7C">
        <w:t xml:space="preserve"> USD.</w:t>
      </w:r>
    </w:p>
    <w:p w:rsidR="00052B02" w:rsidRDefault="00052B02" w:rsidP="00052B02"/>
    <w:p w:rsidR="00052B02" w:rsidRPr="00052B02" w:rsidRDefault="00052B02" w:rsidP="00052B02">
      <w:pPr>
        <w:spacing w:line="240" w:lineRule="auto"/>
        <w:rPr>
          <w:b/>
        </w:rPr>
      </w:pPr>
      <w:r w:rsidRPr="00052B02">
        <w:rPr>
          <w:b/>
        </w:rPr>
        <w:t>Conclusion</w:t>
      </w:r>
    </w:p>
    <w:p w:rsidR="005121C2" w:rsidRDefault="005121C2" w:rsidP="005121C2">
      <w:pPr>
        <w:rPr>
          <w:szCs w:val="20"/>
        </w:rPr>
      </w:pPr>
      <w:r>
        <w:rPr>
          <w:szCs w:val="20"/>
        </w:rPr>
        <w:t>The effects of burgeoning globalisation and consolidation are reshaping the architecture of the software sector</w:t>
      </w:r>
      <w:r w:rsidR="00E86A8E">
        <w:rPr>
          <w:szCs w:val="20"/>
        </w:rPr>
        <w:t xml:space="preserve"> and how companies </w:t>
      </w:r>
      <w:r w:rsidR="00E86A8E">
        <w:t>develop, market, sell, distribute and support their products</w:t>
      </w:r>
      <w:r>
        <w:rPr>
          <w:szCs w:val="20"/>
        </w:rPr>
        <w:t>.</w:t>
      </w:r>
    </w:p>
    <w:p w:rsidR="00B81F3C" w:rsidRDefault="005121C2" w:rsidP="001954C1">
      <w:pPr>
        <w:rPr>
          <w:szCs w:val="20"/>
        </w:rPr>
      </w:pPr>
      <w:r>
        <w:rPr>
          <w:szCs w:val="20"/>
        </w:rPr>
        <w:t>S</w:t>
      </w:r>
      <w:r w:rsidR="00C0200D">
        <w:rPr>
          <w:szCs w:val="20"/>
        </w:rPr>
        <w:t xml:space="preserve">oftware vendors </w:t>
      </w:r>
      <w:r w:rsidR="00052B02">
        <w:rPr>
          <w:szCs w:val="20"/>
        </w:rPr>
        <w:t xml:space="preserve">will continue to grapple </w:t>
      </w:r>
      <w:r w:rsidR="00C0200D">
        <w:rPr>
          <w:szCs w:val="20"/>
        </w:rPr>
        <w:t xml:space="preserve">with enterprise customers’ changing priorities – they desire the flexibility </w:t>
      </w:r>
      <w:r>
        <w:rPr>
          <w:szCs w:val="20"/>
        </w:rPr>
        <w:t xml:space="preserve">of </w:t>
      </w:r>
      <w:r w:rsidR="00C0200D">
        <w:rPr>
          <w:szCs w:val="20"/>
        </w:rPr>
        <w:t>cloud</w:t>
      </w:r>
      <w:r>
        <w:rPr>
          <w:szCs w:val="20"/>
        </w:rPr>
        <w:t xml:space="preserve">, </w:t>
      </w:r>
      <w:r w:rsidR="00C0200D">
        <w:rPr>
          <w:szCs w:val="20"/>
        </w:rPr>
        <w:t>but maintain concerns about security and compliance</w:t>
      </w:r>
      <w:r>
        <w:rPr>
          <w:szCs w:val="20"/>
        </w:rPr>
        <w:t>.</w:t>
      </w:r>
      <w:r w:rsidR="00C0200D">
        <w:rPr>
          <w:szCs w:val="20"/>
        </w:rPr>
        <w:t xml:space="preserve">  The move towards SaaS </w:t>
      </w:r>
      <w:r>
        <w:rPr>
          <w:szCs w:val="20"/>
        </w:rPr>
        <w:t>will</w:t>
      </w:r>
      <w:r w:rsidR="00052B02">
        <w:rPr>
          <w:szCs w:val="20"/>
        </w:rPr>
        <w:t xml:space="preserve"> continue, but the shape and form of business models </w:t>
      </w:r>
      <w:r w:rsidR="00A20FF5">
        <w:rPr>
          <w:szCs w:val="20"/>
        </w:rPr>
        <w:t xml:space="preserve">in </w:t>
      </w:r>
      <w:r w:rsidR="00052B02">
        <w:rPr>
          <w:szCs w:val="20"/>
        </w:rPr>
        <w:t>the software industry is evolving</w:t>
      </w:r>
      <w:r w:rsidR="00056596">
        <w:rPr>
          <w:szCs w:val="20"/>
        </w:rPr>
        <w:t>.</w:t>
      </w:r>
    </w:p>
    <w:p w:rsidR="005C707A" w:rsidRDefault="005C707A" w:rsidP="001954C1">
      <w:pPr>
        <w:rPr>
          <w:szCs w:val="20"/>
        </w:rPr>
      </w:pPr>
    </w:p>
    <w:p w:rsidR="001954C1" w:rsidRDefault="00B81F3C" w:rsidP="001954C1">
      <w:r>
        <w:rPr>
          <w:szCs w:val="20"/>
        </w:rPr>
        <w:t xml:space="preserve">“Software companies should not underestimate the </w:t>
      </w:r>
      <w:r w:rsidR="001954C1">
        <w:rPr>
          <w:szCs w:val="20"/>
        </w:rPr>
        <w:t xml:space="preserve">influence of </w:t>
      </w:r>
      <w:r w:rsidR="00E86A8E">
        <w:rPr>
          <w:szCs w:val="20"/>
        </w:rPr>
        <w:t xml:space="preserve">the ability of </w:t>
      </w:r>
      <w:r w:rsidR="001954C1">
        <w:rPr>
          <w:szCs w:val="20"/>
        </w:rPr>
        <w:t xml:space="preserve">SaaS </w:t>
      </w:r>
      <w:r w:rsidR="00573958">
        <w:rPr>
          <w:szCs w:val="20"/>
        </w:rPr>
        <w:t xml:space="preserve">to </w:t>
      </w:r>
      <w:r w:rsidR="001954C1">
        <w:rPr>
          <w:szCs w:val="20"/>
        </w:rPr>
        <w:t>capture</w:t>
      </w:r>
      <w:r w:rsidR="001954C1">
        <w:t xml:space="preserve"> instant feedback from users, to improv</w:t>
      </w:r>
      <w:r w:rsidR="005121C2">
        <w:t>e</w:t>
      </w:r>
      <w:r w:rsidR="001954C1">
        <w:t xml:space="preserve"> existing products, provid</w:t>
      </w:r>
      <w:r w:rsidR="005121C2">
        <w:t>e</w:t>
      </w:r>
      <w:r w:rsidR="001954C1">
        <w:t xml:space="preserve"> better tech support, and develop</w:t>
      </w:r>
      <w:r w:rsidR="005C707A">
        <w:t xml:space="preserve"> </w:t>
      </w:r>
      <w:r w:rsidR="001954C1">
        <w:t>new products and features</w:t>
      </w:r>
      <w:r>
        <w:t xml:space="preserve">,” </w:t>
      </w:r>
      <w:r w:rsidR="00715D7C">
        <w:t>McCaffrey added</w:t>
      </w:r>
      <w:r w:rsidR="001954C1">
        <w:t xml:space="preserve">. </w:t>
      </w:r>
      <w:r>
        <w:t>“It is in software companies’ best interest to evaluate and harness the shifts in the sector</w:t>
      </w:r>
      <w:r w:rsidR="00212A94">
        <w:t>.</w:t>
      </w:r>
      <w:r w:rsidR="005C707A">
        <w:t xml:space="preserve"> </w:t>
      </w:r>
      <w:r w:rsidR="00212A94">
        <w:t>The best</w:t>
      </w:r>
      <w:r>
        <w:t xml:space="preserve"> companies </w:t>
      </w:r>
      <w:r w:rsidR="00212A94">
        <w:t xml:space="preserve">will </w:t>
      </w:r>
      <w:r>
        <w:t>evaluate and embrace change by adapting their models and practices. The rest will be left in their wake.”</w:t>
      </w:r>
    </w:p>
    <w:p w:rsidR="00C0200D" w:rsidRDefault="00C0200D" w:rsidP="00C0200D">
      <w:pPr>
        <w:spacing w:line="240" w:lineRule="auto"/>
        <w:rPr>
          <w:szCs w:val="20"/>
        </w:rPr>
      </w:pPr>
    </w:p>
    <w:p w:rsidR="00A34A0D" w:rsidRPr="008A788F" w:rsidRDefault="00D70CB0" w:rsidP="00A34A0D">
      <w:pPr>
        <w:rPr>
          <w:rFonts w:cs="Arial"/>
          <w:b/>
          <w:color w:val="000000"/>
          <w:lang w:val="en-US"/>
        </w:rPr>
      </w:pPr>
      <w:r w:rsidRPr="00D70CB0">
        <w:rPr>
          <w:rFonts w:cs="Arial"/>
          <w:b/>
          <w:color w:val="000000"/>
          <w:lang w:val="en-US"/>
        </w:rPr>
        <w:t>Notes:</w:t>
      </w:r>
    </w:p>
    <w:p w:rsidR="005048AB" w:rsidRPr="00D07F16" w:rsidRDefault="002F71D3" w:rsidP="005048AB">
      <w:r>
        <w:t>The PwC Software 100 report compiles relevant data for calendar year 2011, the most recent set of complete financials available. In all, software revenues for 294 vendors worldwide, including the top 100 globally, the top 100 in two geographically defined markets – North America, and Europe/Middle East/Africa (EMEA) – and one market defined by maturity, Emerging Markets (China, India, Brazil and others)</w:t>
      </w:r>
      <w:r w:rsidR="00B45E57">
        <w:t xml:space="preserve"> were included in the survey</w:t>
      </w:r>
      <w:r>
        <w:t xml:space="preserve">. </w:t>
      </w:r>
      <w:r w:rsidR="00B81F3C">
        <w:t xml:space="preserve">For access to the Software 100 study, please visit </w:t>
      </w:r>
      <w:hyperlink r:id="rId8" w:history="1">
        <w:r w:rsidR="00697666" w:rsidRPr="002A53F2">
          <w:rPr>
            <w:rStyle w:val="Hyperlink"/>
          </w:rPr>
          <w:t>www.pwc.com/globalsoftware100</w:t>
        </w:r>
      </w:hyperlink>
      <w:r w:rsidR="00697666">
        <w:t xml:space="preserve"> </w:t>
      </w:r>
      <w:r w:rsidR="005048AB">
        <w:t xml:space="preserve">. </w:t>
      </w:r>
      <w:r w:rsidR="00B81F3C" w:rsidRPr="00E54B44">
        <w:t xml:space="preserve">For additional analysis and commentary on PwC’s </w:t>
      </w:r>
      <w:r w:rsidR="00B81F3C" w:rsidRPr="00D07F16">
        <w:t xml:space="preserve">Software Pricing Series, please visit: </w:t>
      </w:r>
      <w:r w:rsidR="005048AB">
        <w:t>www.pwc.com/softwarepricing</w:t>
      </w:r>
    </w:p>
    <w:p w:rsidR="0023159F" w:rsidRPr="005048AB" w:rsidRDefault="0023159F">
      <w:pPr>
        <w:spacing w:line="240" w:lineRule="auto"/>
        <w:rPr>
          <w:sz w:val="16"/>
          <w:szCs w:val="16"/>
        </w:rPr>
      </w:pPr>
    </w:p>
    <w:p w:rsidR="003013B9" w:rsidRPr="005048AB" w:rsidRDefault="0023159F">
      <w:pPr>
        <w:spacing w:line="240" w:lineRule="auto"/>
        <w:rPr>
          <w:sz w:val="16"/>
          <w:szCs w:val="16"/>
        </w:rPr>
      </w:pPr>
      <w:r w:rsidRPr="005048AB">
        <w:rPr>
          <w:sz w:val="16"/>
          <w:szCs w:val="16"/>
          <w:vertAlign w:val="superscript"/>
        </w:rPr>
        <w:t>1</w:t>
      </w:r>
      <w:r w:rsidRPr="005048AB">
        <w:rPr>
          <w:sz w:val="16"/>
          <w:szCs w:val="16"/>
        </w:rPr>
        <w:t xml:space="preserve"> </w:t>
      </w:r>
      <w:hyperlink r:id="rId9" w:anchor=".UR57IGcoZ6g" w:history="1">
        <w:r w:rsidRPr="005048AB">
          <w:rPr>
            <w:rStyle w:val="Hyperlink"/>
            <w:sz w:val="16"/>
            <w:szCs w:val="16"/>
          </w:rPr>
          <w:t xml:space="preserve">IDC </w:t>
        </w:r>
        <w:r w:rsidR="00843897" w:rsidRPr="005048AB">
          <w:rPr>
            <w:rStyle w:val="Hyperlink"/>
            <w:sz w:val="16"/>
            <w:szCs w:val="16"/>
          </w:rPr>
          <w:t>Worldwide Software License Revenue 2012-2016 Forecast</w:t>
        </w:r>
      </w:hyperlink>
    </w:p>
    <w:p w:rsidR="00C0200D" w:rsidRPr="005048AB" w:rsidRDefault="003013B9">
      <w:pPr>
        <w:spacing w:line="240" w:lineRule="auto"/>
        <w:rPr>
          <w:sz w:val="16"/>
          <w:szCs w:val="16"/>
        </w:rPr>
      </w:pPr>
      <w:r w:rsidRPr="005048AB">
        <w:rPr>
          <w:sz w:val="16"/>
          <w:szCs w:val="16"/>
          <w:vertAlign w:val="superscript"/>
        </w:rPr>
        <w:t>2</w:t>
      </w:r>
      <w:r w:rsidRPr="005048AB">
        <w:rPr>
          <w:sz w:val="16"/>
          <w:szCs w:val="16"/>
        </w:rPr>
        <w:t xml:space="preserve"> </w:t>
      </w:r>
      <w:hyperlink r:id="rId10" w:anchor=".UR57IGcoZ6g" w:history="1">
        <w:r w:rsidRPr="005048AB">
          <w:rPr>
            <w:rStyle w:val="Hyperlink"/>
            <w:sz w:val="16"/>
            <w:szCs w:val="16"/>
          </w:rPr>
          <w:t xml:space="preserve">IDC </w:t>
        </w:r>
        <w:r w:rsidR="00843897" w:rsidRPr="005048AB">
          <w:rPr>
            <w:rStyle w:val="Hyperlink"/>
            <w:sz w:val="16"/>
            <w:szCs w:val="16"/>
          </w:rPr>
          <w:t>Worldwide Software License Revenue 2012-2016 Forecast</w:t>
        </w:r>
      </w:hyperlink>
    </w:p>
    <w:p w:rsidR="00697666" w:rsidRPr="005048AB" w:rsidRDefault="00C0200D">
      <w:pPr>
        <w:spacing w:line="240" w:lineRule="auto"/>
        <w:rPr>
          <w:sz w:val="16"/>
          <w:szCs w:val="16"/>
        </w:rPr>
      </w:pPr>
      <w:r w:rsidRPr="005048AB">
        <w:rPr>
          <w:sz w:val="16"/>
          <w:szCs w:val="16"/>
          <w:vertAlign w:val="superscript"/>
        </w:rPr>
        <w:t>3</w:t>
      </w:r>
      <w:r w:rsidRPr="005048AB">
        <w:rPr>
          <w:sz w:val="16"/>
          <w:szCs w:val="16"/>
        </w:rPr>
        <w:t xml:space="preserve"> </w:t>
      </w:r>
      <w:r w:rsidR="00357B49" w:rsidRPr="005048AB">
        <w:rPr>
          <w:sz w:val="16"/>
          <w:szCs w:val="16"/>
        </w:rPr>
        <w:t>PwC Global Software 100 Leaders Report</w:t>
      </w:r>
    </w:p>
    <w:p w:rsidR="00697666" w:rsidRDefault="00697666">
      <w:pPr>
        <w:spacing w:line="240" w:lineRule="auto"/>
      </w:pPr>
    </w:p>
    <w:p w:rsidR="00697666" w:rsidRPr="00F17ADF" w:rsidRDefault="00697666" w:rsidP="005048AB">
      <w:pPr>
        <w:rPr>
          <w:rFonts w:cs="Arial"/>
          <w:color w:val="000000"/>
          <w:lang w:val="en-US"/>
        </w:rPr>
      </w:pPr>
      <w:r w:rsidRPr="00F17ADF">
        <w:rPr>
          <w:bCs/>
          <w:szCs w:val="20"/>
          <w:lang w:val="en-US"/>
        </w:rPr>
        <w:t>P</w:t>
      </w:r>
      <w:r w:rsidRPr="00F17ADF">
        <w:rPr>
          <w:szCs w:val="20"/>
        </w:rPr>
        <w:t xml:space="preserve">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1" w:history="1">
        <w:r w:rsidRPr="00F17ADF">
          <w:rPr>
            <w:rStyle w:val="Hyperlink"/>
            <w:color w:val="auto"/>
            <w:szCs w:val="20"/>
          </w:rPr>
          <w:t>www.pwc.com</w:t>
        </w:r>
      </w:hyperlink>
      <w:r w:rsidRPr="00F17ADF">
        <w:rPr>
          <w:szCs w:val="20"/>
        </w:rPr>
        <w:t>.</w:t>
      </w:r>
      <w:r>
        <w:rPr>
          <w:szCs w:val="20"/>
        </w:rPr>
        <w:br/>
      </w:r>
      <w:r>
        <w:rPr>
          <w:szCs w:val="20"/>
        </w:rPr>
        <w:br/>
      </w:r>
      <w:r>
        <w:t>PwC refers to the PwC network and/or one or more of its member firms, each of which is a separate legal entity. Please see www.pwc.com/structure for further details.</w:t>
      </w:r>
    </w:p>
    <w:p w:rsidR="00697666" w:rsidRDefault="00697666" w:rsidP="00697666"/>
    <w:p w:rsidR="00D81336" w:rsidRDefault="00697666" w:rsidP="00DC28C2">
      <w:pPr>
        <w:spacing w:line="240" w:lineRule="auto"/>
        <w:rPr>
          <w:rFonts w:cs="Arial"/>
          <w:bCs/>
          <w:szCs w:val="24"/>
        </w:rPr>
      </w:pPr>
      <w:r>
        <w:rPr>
          <w:rFonts w:eastAsia="Times New Roman" w:cstheme="minorHAnsi"/>
          <w:sz w:val="17"/>
          <w:szCs w:val="17"/>
          <w:lang w:val="en-US" w:eastAsia="de-CH"/>
        </w:rPr>
        <w:t xml:space="preserve">© </w:t>
      </w:r>
      <w:r>
        <w:rPr>
          <w:rFonts w:cs="Arial"/>
        </w:rPr>
        <w:t>2013 PricewaterhouseCoopers. All rights reserved.</w:t>
      </w:r>
    </w:p>
    <w:sectPr w:rsidR="00D81336" w:rsidSect="00D81336">
      <w:headerReference w:type="even" r:id="rId12"/>
      <w:headerReference w:type="default" r:id="rId13"/>
      <w:footerReference w:type="even" r:id="rId14"/>
      <w:footerReference w:type="default" r:id="rId15"/>
      <w:headerReference w:type="first" r:id="rId16"/>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5AE" w:rsidRDefault="00FC45AE">
      <w:pPr>
        <w:spacing w:line="240" w:lineRule="auto"/>
      </w:pPr>
      <w:r>
        <w:separator/>
      </w:r>
    </w:p>
  </w:endnote>
  <w:endnote w:type="continuationSeparator" w:id="0">
    <w:p w:rsidR="00FC45AE" w:rsidRDefault="00FC45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4124E0">
    <w:pPr>
      <w:pStyle w:val="Footer"/>
    </w:pPr>
    <w:fldSimple w:instr=" PAGE  \* MERGEFORMAT ">
      <w:r w:rsidR="00056596">
        <w:rPr>
          <w:noProof/>
        </w:rPr>
        <w:t>2</w:t>
      </w:r>
    </w:fldSimple>
    <w:r w:rsidR="00A77FF6">
      <w:t xml:space="preserve"> of </w:t>
    </w:r>
    <w:fldSimple w:instr=" NUMPAGES  \* MERGEFORMAT ">
      <w:r w:rsidR="0005659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4124E0">
    <w:pPr>
      <w:pStyle w:val="Footer"/>
    </w:pPr>
    <w:fldSimple w:instr=" PAGE  \* MERGEFORMAT ">
      <w:r w:rsidR="005048AB">
        <w:rPr>
          <w:noProof/>
        </w:rPr>
        <w:t>3</w:t>
      </w:r>
    </w:fldSimple>
    <w:r w:rsidR="00A77FF6">
      <w:t xml:space="preserve"> of </w:t>
    </w:r>
    <w:fldSimple w:instr=" NUMPAGES  \* MERGEFORMAT ">
      <w:r w:rsidR="0005659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5AE" w:rsidRDefault="00FC45AE">
      <w:pPr>
        <w:spacing w:line="240" w:lineRule="auto"/>
      </w:pPr>
      <w:r>
        <w:separator/>
      </w:r>
    </w:p>
  </w:footnote>
  <w:footnote w:type="continuationSeparator" w:id="0">
    <w:p w:rsidR="00FC45AE" w:rsidRDefault="00FC45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23B043B2"/>
    <w:multiLevelType w:val="hybridMultilevel"/>
    <w:tmpl w:val="1982F5C0"/>
    <w:lvl w:ilvl="0" w:tplc="D370EA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F69E8"/>
    <w:multiLevelType w:val="hybridMultilevel"/>
    <w:tmpl w:val="42AAFE9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4">
    <w:nsid w:val="4C354225"/>
    <w:multiLevelType w:val="hybridMultilevel"/>
    <w:tmpl w:val="794263C6"/>
    <w:lvl w:ilvl="0" w:tplc="028AD3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6">
    <w:nsid w:val="6C5F59E5"/>
    <w:multiLevelType w:val="hybridMultilevel"/>
    <w:tmpl w:val="D2A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7"/>
  </w:num>
  <w:num w:numId="16">
    <w:abstractNumId w:val="16"/>
  </w:num>
  <w:num w:numId="17">
    <w:abstractNumId w:val="14"/>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hyphenationZone w:val="425"/>
  <w:evenAndOddHeaders/>
  <w:drawingGridHorizontalSpacing w:val="11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D81336"/>
    <w:rsid w:val="00010767"/>
    <w:rsid w:val="00014C02"/>
    <w:rsid w:val="000169F1"/>
    <w:rsid w:val="0003685D"/>
    <w:rsid w:val="00052B02"/>
    <w:rsid w:val="00056596"/>
    <w:rsid w:val="00066FFE"/>
    <w:rsid w:val="000676E5"/>
    <w:rsid w:val="000B45E4"/>
    <w:rsid w:val="000B52AA"/>
    <w:rsid w:val="00117B17"/>
    <w:rsid w:val="00141B44"/>
    <w:rsid w:val="001954C1"/>
    <w:rsid w:val="001A062C"/>
    <w:rsid w:val="001B7E11"/>
    <w:rsid w:val="001C11B1"/>
    <w:rsid w:val="001E7D34"/>
    <w:rsid w:val="001F6374"/>
    <w:rsid w:val="00212A94"/>
    <w:rsid w:val="00225657"/>
    <w:rsid w:val="002306DB"/>
    <w:rsid w:val="0023159F"/>
    <w:rsid w:val="00270D80"/>
    <w:rsid w:val="002809BB"/>
    <w:rsid w:val="002F71D3"/>
    <w:rsid w:val="003013B9"/>
    <w:rsid w:val="003017F6"/>
    <w:rsid w:val="0033240A"/>
    <w:rsid w:val="00357B49"/>
    <w:rsid w:val="003A6799"/>
    <w:rsid w:val="003C71A7"/>
    <w:rsid w:val="004124E0"/>
    <w:rsid w:val="0042694B"/>
    <w:rsid w:val="0048065C"/>
    <w:rsid w:val="00484381"/>
    <w:rsid w:val="00491591"/>
    <w:rsid w:val="004C20E7"/>
    <w:rsid w:val="004F7420"/>
    <w:rsid w:val="005048AB"/>
    <w:rsid w:val="005121C2"/>
    <w:rsid w:val="00520885"/>
    <w:rsid w:val="00526D51"/>
    <w:rsid w:val="00537515"/>
    <w:rsid w:val="00573958"/>
    <w:rsid w:val="005A2EB9"/>
    <w:rsid w:val="005C707A"/>
    <w:rsid w:val="00607230"/>
    <w:rsid w:val="00616052"/>
    <w:rsid w:val="00626B57"/>
    <w:rsid w:val="006760D5"/>
    <w:rsid w:val="00697666"/>
    <w:rsid w:val="006B6FDB"/>
    <w:rsid w:val="006E64B8"/>
    <w:rsid w:val="006F54C4"/>
    <w:rsid w:val="007042FE"/>
    <w:rsid w:val="00715D7C"/>
    <w:rsid w:val="007873A4"/>
    <w:rsid w:val="00794B23"/>
    <w:rsid w:val="007E35CA"/>
    <w:rsid w:val="00807324"/>
    <w:rsid w:val="00843897"/>
    <w:rsid w:val="0084587E"/>
    <w:rsid w:val="00871A9C"/>
    <w:rsid w:val="008A722F"/>
    <w:rsid w:val="008A788F"/>
    <w:rsid w:val="008C0240"/>
    <w:rsid w:val="008D38D8"/>
    <w:rsid w:val="00916C71"/>
    <w:rsid w:val="00935AFF"/>
    <w:rsid w:val="009414EF"/>
    <w:rsid w:val="00975FAD"/>
    <w:rsid w:val="0098029D"/>
    <w:rsid w:val="00982345"/>
    <w:rsid w:val="00992EED"/>
    <w:rsid w:val="009C4282"/>
    <w:rsid w:val="009D15A5"/>
    <w:rsid w:val="009D6316"/>
    <w:rsid w:val="00A20FF5"/>
    <w:rsid w:val="00A317E0"/>
    <w:rsid w:val="00A34A0D"/>
    <w:rsid w:val="00A61472"/>
    <w:rsid w:val="00A634C2"/>
    <w:rsid w:val="00A77FF6"/>
    <w:rsid w:val="00AB1938"/>
    <w:rsid w:val="00B106D7"/>
    <w:rsid w:val="00B3082C"/>
    <w:rsid w:val="00B45E57"/>
    <w:rsid w:val="00B73FAE"/>
    <w:rsid w:val="00B81F3C"/>
    <w:rsid w:val="00B85EAF"/>
    <w:rsid w:val="00BA0F15"/>
    <w:rsid w:val="00BA73D2"/>
    <w:rsid w:val="00BC0F61"/>
    <w:rsid w:val="00BC77FE"/>
    <w:rsid w:val="00BD108C"/>
    <w:rsid w:val="00BD4493"/>
    <w:rsid w:val="00BE2943"/>
    <w:rsid w:val="00C0200D"/>
    <w:rsid w:val="00C315EE"/>
    <w:rsid w:val="00C729A6"/>
    <w:rsid w:val="00C900EE"/>
    <w:rsid w:val="00CB15F8"/>
    <w:rsid w:val="00CD60E5"/>
    <w:rsid w:val="00CD73F0"/>
    <w:rsid w:val="00D61939"/>
    <w:rsid w:val="00D70CB0"/>
    <w:rsid w:val="00D727E5"/>
    <w:rsid w:val="00D74AC1"/>
    <w:rsid w:val="00D81336"/>
    <w:rsid w:val="00DA612B"/>
    <w:rsid w:val="00DA7BFD"/>
    <w:rsid w:val="00DB7485"/>
    <w:rsid w:val="00DC28C2"/>
    <w:rsid w:val="00DD236C"/>
    <w:rsid w:val="00DE6F65"/>
    <w:rsid w:val="00DF77D0"/>
    <w:rsid w:val="00E86A8E"/>
    <w:rsid w:val="00EA7B6B"/>
    <w:rsid w:val="00EB4C9D"/>
    <w:rsid w:val="00F11EF7"/>
    <w:rsid w:val="00F15ED3"/>
    <w:rsid w:val="00F17ADF"/>
    <w:rsid w:val="00F3784D"/>
    <w:rsid w:val="00F4128D"/>
    <w:rsid w:val="00F53A07"/>
    <w:rsid w:val="00F53E03"/>
    <w:rsid w:val="00F56A67"/>
    <w:rsid w:val="00F63D4F"/>
    <w:rsid w:val="00F74C31"/>
    <w:rsid w:val="00FA0B96"/>
    <w:rsid w:val="00FA3997"/>
    <w:rsid w:val="00FC45AE"/>
    <w:rsid w:val="00FD1AF4"/>
    <w:rsid w:val="00FE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A3997"/>
    <w:rPr>
      <w:sz w:val="16"/>
      <w:szCs w:val="16"/>
    </w:rPr>
  </w:style>
  <w:style w:type="paragraph" w:styleId="CommentText">
    <w:name w:val="annotation text"/>
    <w:basedOn w:val="Normal"/>
    <w:link w:val="CommentTextChar"/>
    <w:uiPriority w:val="99"/>
    <w:semiHidden/>
    <w:unhideWhenUsed/>
    <w:rsid w:val="00FA3997"/>
    <w:pPr>
      <w:spacing w:line="240" w:lineRule="auto"/>
    </w:pPr>
    <w:rPr>
      <w:szCs w:val="20"/>
    </w:rPr>
  </w:style>
  <w:style w:type="character" w:customStyle="1" w:styleId="CommentTextChar">
    <w:name w:val="Comment Text Char"/>
    <w:basedOn w:val="DefaultParagraphFont"/>
    <w:link w:val="CommentText"/>
    <w:uiPriority w:val="99"/>
    <w:semiHidden/>
    <w:rsid w:val="00FA3997"/>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A3997"/>
    <w:rPr>
      <w:b/>
      <w:bCs/>
    </w:rPr>
  </w:style>
  <w:style w:type="character" w:customStyle="1" w:styleId="CommentSubjectChar">
    <w:name w:val="Comment Subject Char"/>
    <w:basedOn w:val="CommentTextChar"/>
    <w:link w:val="CommentSubject"/>
    <w:uiPriority w:val="99"/>
    <w:semiHidden/>
    <w:rsid w:val="00FA3997"/>
    <w:rPr>
      <w:b/>
      <w:bCs/>
    </w:rPr>
  </w:style>
  <w:style w:type="paragraph" w:customStyle="1" w:styleId="BodySingle">
    <w:name w:val="Body Single"/>
    <w:basedOn w:val="BodyText"/>
    <w:link w:val="BodySingleChar"/>
    <w:uiPriority w:val="1"/>
    <w:qFormat/>
    <w:rsid w:val="00270D80"/>
    <w:pPr>
      <w:spacing w:after="0"/>
    </w:pPr>
    <w:rPr>
      <w:rFonts w:eastAsiaTheme="minorHAnsi" w:cstheme="minorBidi"/>
      <w:szCs w:val="20"/>
    </w:rPr>
  </w:style>
  <w:style w:type="character" w:customStyle="1" w:styleId="BodySingleChar">
    <w:name w:val="Body Single Char"/>
    <w:basedOn w:val="BodyTextChar"/>
    <w:link w:val="BodySingle"/>
    <w:uiPriority w:val="1"/>
    <w:rsid w:val="00270D80"/>
    <w:rPr>
      <w:rFonts w:eastAsiaTheme="minorHAnsi" w:cstheme="minorBidi"/>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lobalsoftware10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g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c.com/getdoc.jsp?containerId=237521" TargetMode="External"/><Relationship Id="rId4" Type="http://schemas.openxmlformats.org/officeDocument/2006/relationships/settings" Target="settings.xml"/><Relationship Id="rId9" Type="http://schemas.openxmlformats.org/officeDocument/2006/relationships/hyperlink" Target="http://www.idc.com/getdoc.jsp?containerId=2375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E7CAD-4EFF-410D-96DE-1C650DC7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4</cp:revision>
  <cp:lastPrinted>2013-05-15T15:20:00Z</cp:lastPrinted>
  <dcterms:created xsi:type="dcterms:W3CDTF">2013-05-15T15:19:00Z</dcterms:created>
  <dcterms:modified xsi:type="dcterms:W3CDTF">2013-05-15T15:21:00Z</dcterms:modified>
</cp:coreProperties>
</file>