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center" w:pos="4536"/>
        </w:tabs>
      </w:pPr>
      <w:r>
        <w:rPr>
          <w:noProof/>
          <w:lang w:eastAsia="en-GB"/>
        </w:rPr>
        <w:pict>
          <v:shape id="_x0000_s1026" style="position:absolute;margin-left:87.85pt;margin-top:771.05pt;width:465pt;height:11.35pt;z-index:251658240;mso-position-horizontal:absolute;mso-position-horizontal-relative:page;mso-position-vertical:absolute;mso-position-vertical-relative:page" coordsize="9301,228" path="m,228l,,9301,e" filled="f" strokecolor="#dc6900" strokeweight="1pt">
            <v:stroke dashstyle="1 1" endcap="round"/>
            <v:path arrowok="t"/>
            <o:lock v:ext="edit" aspectratio="t"/>
            <w10:wrap anchorx="page" anchory="page"/>
            <w10:anchorlock/>
          </v:shape>
        </w:pict>
      </w:r>
      <w:r>
        <w:tab/>
      </w:r>
    </w:p>
    <w:p>
      <w:pPr>
        <w:pStyle w:val="Title"/>
        <w:rPr>
          <w:rFonts w:ascii="Georgia" w:hAnsi="Georgia"/>
        </w:rPr>
      </w:pPr>
      <w:r>
        <w:rPr>
          <w:rFonts w:ascii="Georgia" w:hAnsi="Georgia"/>
        </w:rPr>
        <w:t>News release</w:t>
      </w:r>
    </w:p>
    <w:tbl>
      <w:tblPr>
        <w:tblpPr w:leftFromText="180" w:rightFromText="180" w:vertAnchor="text" w:tblpY="1"/>
        <w:tblOverlap w:val="never"/>
        <w:tblW w:w="0" w:type="auto"/>
        <w:tblLayout w:type="fixed"/>
        <w:tblLook w:val="0000"/>
      </w:tblPr>
      <w:tblGrid>
        <w:gridCol w:w="2268"/>
        <w:gridCol w:w="4645"/>
        <w:gridCol w:w="1700"/>
      </w:tblGrid>
      <w:tr>
        <w:tc>
          <w:tcPr>
            <w:tcW w:w="2268" w:type="dxa"/>
          </w:tcPr>
          <w:p>
            <w:pPr>
              <w:rPr>
                <w:i/>
              </w:rPr>
            </w:pPr>
            <w:r>
              <w:rPr>
                <w:i/>
              </w:rPr>
              <w:t>Date</w:t>
            </w:r>
          </w:p>
        </w:tc>
        <w:tc>
          <w:tcPr>
            <w:tcW w:w="6345" w:type="dxa"/>
            <w:gridSpan w:val="2"/>
          </w:tcPr>
          <w:p>
            <w:pPr>
              <w:rPr>
                <w:b/>
              </w:rPr>
            </w:pPr>
            <w:r>
              <w:rPr>
                <w:b/>
              </w:rPr>
              <w:t>Embargoed until 00.01am GMT Monday 11 March 2013</w:t>
            </w:r>
          </w:p>
          <w:p/>
        </w:tc>
      </w:tr>
      <w:tr>
        <w:trPr>
          <w:gridAfter w:val="1"/>
          <w:wAfter w:w="1700" w:type="dxa"/>
        </w:trPr>
        <w:tc>
          <w:tcPr>
            <w:tcW w:w="2268" w:type="dxa"/>
          </w:tcPr>
          <w:p>
            <w:pPr>
              <w:rPr>
                <w:i/>
              </w:rPr>
            </w:pPr>
            <w:r>
              <w:rPr>
                <w:i/>
              </w:rPr>
              <w:t>Contact</w:t>
            </w:r>
          </w:p>
        </w:tc>
        <w:tc>
          <w:tcPr>
            <w:tcW w:w="4645" w:type="dxa"/>
          </w:tcPr>
          <w:p>
            <w:pPr>
              <w:tabs>
                <w:tab w:val="left" w:pos="1440"/>
              </w:tabs>
              <w:ind w:left="1440" w:hanging="1440"/>
              <w:rPr>
                <w:rFonts w:cs="Arial"/>
                <w:lang w:val="it-IT"/>
              </w:rPr>
            </w:pPr>
            <w:r>
              <w:rPr>
                <w:rFonts w:cs="Arial"/>
                <w:bCs/>
                <w:lang w:val="it-IT"/>
              </w:rPr>
              <w:t>Rita Congera, media relations, PwC</w:t>
            </w:r>
          </w:p>
          <w:p>
            <w:pPr>
              <w:tabs>
                <w:tab w:val="left" w:pos="1440"/>
              </w:tabs>
              <w:ind w:left="1440" w:hanging="1440"/>
              <w:rPr>
                <w:rFonts w:cs="Arial"/>
                <w:lang w:val="it-IT"/>
              </w:rPr>
            </w:pPr>
            <w:r>
              <w:rPr>
                <w:rFonts w:cs="Arial"/>
                <w:lang w:val="it-IT"/>
              </w:rPr>
              <w:t>Tel: +44 207 2121231 / + 44 (0)7425141510</w:t>
            </w:r>
          </w:p>
          <w:p>
            <w:pPr>
              <w:tabs>
                <w:tab w:val="left" w:pos="1440"/>
              </w:tabs>
              <w:ind w:left="1440" w:hanging="1440"/>
              <w:rPr>
                <w:rFonts w:cs="Arial"/>
                <w:lang w:val="it-IT"/>
              </w:rPr>
            </w:pPr>
            <w:r>
              <w:rPr>
                <w:rFonts w:cs="Arial"/>
                <w:lang w:val="it-IT"/>
              </w:rPr>
              <w:t xml:space="preserve">e-mail: </w:t>
            </w:r>
            <w:hyperlink r:id="rId7" w:history="1">
              <w:r>
                <w:rPr>
                  <w:rStyle w:val="Hyperlink"/>
                  <w:rFonts w:cs="Arial"/>
                  <w:lang w:val="it-IT"/>
                </w:rPr>
                <w:t>rita.s.congera@uk.pwc.com</w:t>
              </w:r>
            </w:hyperlink>
            <w:r>
              <w:rPr>
                <w:lang w:val="de-DE"/>
              </w:rPr>
              <w:t xml:space="preserve"> </w:t>
            </w:r>
          </w:p>
          <w:p>
            <w:pPr>
              <w:tabs>
                <w:tab w:val="left" w:pos="1440"/>
              </w:tabs>
              <w:ind w:left="1440" w:hanging="1440"/>
              <w:rPr>
                <w:lang w:val="it-IT"/>
              </w:rPr>
            </w:pPr>
          </w:p>
        </w:tc>
      </w:tr>
      <w:tr>
        <w:trPr>
          <w:gridAfter w:val="1"/>
          <w:wAfter w:w="1700" w:type="dxa"/>
        </w:trPr>
        <w:tc>
          <w:tcPr>
            <w:tcW w:w="2268" w:type="dxa"/>
          </w:tcPr>
          <w:p>
            <w:pPr>
              <w:rPr>
                <w:i/>
              </w:rPr>
            </w:pPr>
            <w:r>
              <w:rPr>
                <w:i/>
              </w:rPr>
              <w:t xml:space="preserve">Pages </w:t>
            </w:r>
          </w:p>
        </w:tc>
        <w:tc>
          <w:tcPr>
            <w:tcW w:w="4645" w:type="dxa"/>
          </w:tcPr>
          <w:p>
            <w:r>
              <w:t>2</w:t>
            </w:r>
          </w:p>
        </w:tc>
      </w:tr>
    </w:tbl>
    <w:p>
      <w:pPr>
        <w:jc w:val="center"/>
        <w:rPr>
          <w:rFonts w:cs="Arial"/>
          <w:b/>
          <w:i/>
          <w:iCs/>
        </w:rPr>
      </w:pPr>
      <w:r>
        <w:rPr>
          <w:rFonts w:cs="Arial"/>
          <w:b/>
          <w:i/>
          <w:iCs/>
        </w:rPr>
        <w:br w:type="textWrapping" w:clear="all"/>
      </w:r>
    </w:p>
    <w:p>
      <w:pPr>
        <w:pStyle w:val="Heading"/>
        <w:jc w:val="center"/>
        <w:rPr>
          <w:rFonts w:ascii="Georgia" w:hAnsi="Georgia"/>
          <w:sz w:val="20"/>
        </w:rPr>
      </w:pPr>
    </w:p>
    <w:p>
      <w:pPr>
        <w:pStyle w:val="Heading"/>
        <w:jc w:val="center"/>
        <w:rPr>
          <w:rFonts w:ascii="Georgia" w:hAnsi="Georgia"/>
          <w:noProof/>
          <w:szCs w:val="24"/>
          <w:lang w:eastAsia="en-GB"/>
        </w:rPr>
      </w:pPr>
    </w:p>
    <w:p>
      <w:pPr>
        <w:pStyle w:val="Heading"/>
        <w:jc w:val="center"/>
        <w:rPr>
          <w:rFonts w:ascii="Georgia" w:hAnsi="Georgia"/>
          <w:sz w:val="20"/>
        </w:rPr>
      </w:pPr>
      <w:r>
        <w:rPr>
          <w:rFonts w:ascii="Georgia" w:hAnsi="Georgia"/>
          <w:noProof/>
          <w:szCs w:val="24"/>
          <w:lang w:eastAsia="en-GB"/>
        </w:rPr>
        <w:pict>
          <v:line id="_x0000_s1027" style="position:absolute;left:0;text-align:left;z-index:251659264;mso-position-horizontal-relative:page;mso-position-vertical-relative:page" from="94.05pt,304.5pt" to="549.1pt,304.5pt" strokecolor="#e36c0a">
            <w10:wrap anchorx="page" anchory="page"/>
          </v:line>
        </w:pict>
      </w:r>
      <w:r>
        <w:rPr>
          <w:rFonts w:ascii="Georgia" w:hAnsi="Georgia"/>
          <w:noProof/>
          <w:szCs w:val="24"/>
          <w:lang w:eastAsia="en-GB"/>
        </w:rPr>
        <w:t xml:space="preserve"> M</w:t>
      </w:r>
      <w:r>
        <w:rPr>
          <w:rFonts w:ascii="Georgia" w:hAnsi="Georgia"/>
          <w:szCs w:val="24"/>
        </w:rPr>
        <w:t xml:space="preserve">ega metal deals grind down in 2013 as bite size deals take off, says </w:t>
      </w:r>
      <w:r>
        <w:rPr>
          <w:rFonts w:ascii="Georgia" w:hAnsi="Georgia"/>
          <w:sz w:val="20"/>
        </w:rPr>
        <w:t>PwC</w:t>
      </w:r>
    </w:p>
    <w:p>
      <w:pPr>
        <w:pStyle w:val="Heading"/>
        <w:rPr>
          <w:rFonts w:ascii="Georgia" w:hAnsi="Georgia"/>
          <w:b w:val="0"/>
          <w:i/>
          <w:sz w:val="20"/>
        </w:rPr>
      </w:pPr>
    </w:p>
    <w:p>
      <w:pPr>
        <w:pStyle w:val="Heading"/>
        <w:numPr>
          <w:ilvl w:val="0"/>
          <w:numId w:val="1"/>
        </w:numPr>
        <w:rPr>
          <w:rFonts w:ascii="Georgia" w:hAnsi="Georgia"/>
          <w:b w:val="0"/>
          <w:i/>
          <w:sz w:val="20"/>
        </w:rPr>
      </w:pPr>
      <w:r>
        <w:rPr>
          <w:rFonts w:ascii="Georgia" w:hAnsi="Georgia"/>
          <w:b w:val="0"/>
          <w:i/>
          <w:sz w:val="20"/>
        </w:rPr>
        <w:t xml:space="preserve">Surge in smaller metals deals as CEOs remain cautious about investing  </w:t>
      </w:r>
    </w:p>
    <w:p>
      <w:pPr>
        <w:pStyle w:val="Heading"/>
        <w:numPr>
          <w:ilvl w:val="0"/>
          <w:numId w:val="1"/>
        </w:numPr>
        <w:rPr>
          <w:rFonts w:ascii="Georgia" w:hAnsi="Georgia"/>
          <w:b w:val="0"/>
          <w:i/>
          <w:sz w:val="20"/>
        </w:rPr>
      </w:pPr>
      <w:r>
        <w:rPr>
          <w:rFonts w:ascii="Georgia" w:hAnsi="Georgia"/>
          <w:b w:val="0"/>
          <w:i/>
          <w:sz w:val="20"/>
        </w:rPr>
        <w:t xml:space="preserve">PwC model forecasts an increase of 32.1% in (announced) deal numbers/ 40.2% in value for 2013 </w:t>
      </w:r>
    </w:p>
    <w:p>
      <w:pPr>
        <w:pStyle w:val="Heading"/>
        <w:numPr>
          <w:ilvl w:val="0"/>
          <w:numId w:val="1"/>
        </w:numPr>
        <w:rPr>
          <w:rFonts w:ascii="Georgia" w:hAnsi="Georgia" w:cs="Arial"/>
          <w:b w:val="0"/>
          <w:i/>
          <w:sz w:val="20"/>
        </w:rPr>
      </w:pPr>
      <w:r>
        <w:rPr>
          <w:rFonts w:ascii="Georgia" w:hAnsi="Georgia"/>
          <w:b w:val="0"/>
          <w:i/>
          <w:sz w:val="20"/>
        </w:rPr>
        <w:t xml:space="preserve">Some optimism as 2012 deal value is 203% higher than 2009 with Asia dominating  as Americas and European markets shrank  </w:t>
      </w:r>
    </w:p>
    <w:p>
      <w:pPr>
        <w:pStyle w:val="Heading"/>
        <w:ind w:left="360"/>
        <w:rPr>
          <w:rFonts w:ascii="Georgia" w:hAnsi="Georgia" w:cs="Arial"/>
          <w:b w:val="0"/>
          <w:i/>
          <w:sz w:val="20"/>
        </w:rPr>
      </w:pPr>
    </w:p>
    <w:p>
      <w:pPr>
        <w:jc w:val="both"/>
        <w:rPr>
          <w:rFonts w:eastAsia="Times New Roman" w:cs="Arial"/>
          <w:szCs w:val="20"/>
        </w:rPr>
      </w:pPr>
      <w:r>
        <w:rPr>
          <w:rFonts w:eastAsia="Times New Roman" w:cs="Arial"/>
          <w:szCs w:val="20"/>
        </w:rPr>
        <w:t xml:space="preserve">All eyes in the metal industry will be on the lookout for a silver lining in the uncertain economic </w:t>
      </w:r>
      <w:r>
        <w:rPr>
          <w:rFonts w:eastAsia="Times New Roman" w:cs="Arial"/>
          <w:szCs w:val="20"/>
        </w:rPr>
        <w:t>horizon</w:t>
      </w:r>
      <w:r>
        <w:rPr>
          <w:rFonts w:eastAsia="Times New Roman" w:cs="Arial"/>
          <w:szCs w:val="20"/>
        </w:rPr>
        <w:t xml:space="preserve"> this year as a PwC report out today predicts. Mega deals will dwindle against a surge in smaller announcements according to </w:t>
      </w:r>
      <w:hyperlink r:id="rId8" w:history="1">
        <w:r>
          <w:rPr>
            <w:rStyle w:val="Hyperlink"/>
            <w:rFonts w:eastAsia="Times New Roman" w:cs="Arial"/>
            <w:szCs w:val="20"/>
          </w:rPr>
          <w:t>Forging Ahead</w:t>
        </w:r>
      </w:hyperlink>
      <w:r>
        <w:rPr>
          <w:rFonts w:eastAsia="Times New Roman" w:cs="Arial"/>
          <w:szCs w:val="20"/>
        </w:rPr>
        <w:t xml:space="preserve">, with CEOs holding onto their purse strings.  </w:t>
      </w:r>
    </w:p>
    <w:p>
      <w:pPr>
        <w:jc w:val="both"/>
        <w:rPr>
          <w:rFonts w:eastAsia="Times New Roman" w:cs="Arial"/>
          <w:szCs w:val="20"/>
        </w:rPr>
      </w:pPr>
    </w:p>
    <w:p>
      <w:pPr>
        <w:autoSpaceDE w:val="0"/>
        <w:autoSpaceDN w:val="0"/>
        <w:adjustRightInd w:val="0"/>
        <w:spacing w:line="240" w:lineRule="auto"/>
        <w:jc w:val="both"/>
        <w:rPr>
          <w:rFonts w:eastAsia="Times New Roman" w:cs="Arial"/>
          <w:szCs w:val="20"/>
        </w:rPr>
      </w:pPr>
      <w:r>
        <w:rPr>
          <w:rFonts w:eastAsia="Times New Roman" w:cs="Arial"/>
          <w:szCs w:val="20"/>
        </w:rPr>
        <w:t xml:space="preserve">In PwC’s annual in-depth metals M&amp;A review and forecast, the headline trend is for a continuing recovery from a post credit-crunch low with Asia being the ‘star’ region dominating the 2012 deals market. It accounted for 68% of totals deals value, more than three times the 19% share it held in 2011. </w:t>
      </w:r>
    </w:p>
    <w:p>
      <w:pPr>
        <w:autoSpaceDE w:val="0"/>
        <w:autoSpaceDN w:val="0"/>
        <w:adjustRightInd w:val="0"/>
        <w:spacing w:line="240" w:lineRule="auto"/>
        <w:jc w:val="both"/>
        <w:rPr>
          <w:rFonts w:eastAsia="Times New Roman" w:cs="Arial"/>
          <w:szCs w:val="20"/>
        </w:rPr>
      </w:pPr>
    </w:p>
    <w:p>
      <w:pPr>
        <w:autoSpaceDE w:val="0"/>
        <w:autoSpaceDN w:val="0"/>
        <w:adjustRightInd w:val="0"/>
        <w:spacing w:line="240" w:lineRule="auto"/>
        <w:jc w:val="both"/>
        <w:rPr>
          <w:rFonts w:cs="Arial"/>
          <w:szCs w:val="20"/>
        </w:rPr>
      </w:pPr>
      <w:hyperlink r:id="rId9" w:history="1">
        <w:r>
          <w:rPr>
            <w:rStyle w:val="Hyperlink"/>
            <w:rFonts w:cs="Arial"/>
            <w:szCs w:val="20"/>
          </w:rPr>
          <w:t>Jim Forbes</w:t>
        </w:r>
      </w:hyperlink>
      <w:r>
        <w:rPr>
          <w:rFonts w:cs="Arial"/>
          <w:szCs w:val="20"/>
        </w:rPr>
        <w:t xml:space="preserve">, global metals leader, PwC, said:  </w:t>
      </w:r>
    </w:p>
    <w:p>
      <w:pPr>
        <w:autoSpaceDE w:val="0"/>
        <w:autoSpaceDN w:val="0"/>
        <w:adjustRightInd w:val="0"/>
        <w:spacing w:line="240" w:lineRule="auto"/>
        <w:jc w:val="both"/>
        <w:rPr>
          <w:rFonts w:cs="Arial"/>
          <w:szCs w:val="20"/>
        </w:rPr>
      </w:pPr>
    </w:p>
    <w:p>
      <w:pPr>
        <w:autoSpaceDE w:val="0"/>
        <w:autoSpaceDN w:val="0"/>
        <w:adjustRightInd w:val="0"/>
        <w:spacing w:line="240" w:lineRule="auto"/>
        <w:ind w:left="720"/>
        <w:jc w:val="both"/>
        <w:rPr>
          <w:rFonts w:cs="Arial"/>
          <w:szCs w:val="20"/>
        </w:rPr>
      </w:pPr>
      <w:r>
        <w:rPr>
          <w:rFonts w:cs="Arial"/>
          <w:szCs w:val="20"/>
        </w:rPr>
        <w:t>“There is no doubt that the industry is facing some of its toughest challenges yet as companies battle the headwinds of ongoing economic uncertainty and unpredictable costs around raw materials and energy. On the surface, we are still seeing some mega-deals but they are fewer and if we created a top 10 of the deals announced and completed in 2012 just half would have been valued above US$1 bn.</w:t>
      </w:r>
    </w:p>
    <w:p>
      <w:pPr>
        <w:autoSpaceDE w:val="0"/>
        <w:autoSpaceDN w:val="0"/>
        <w:adjustRightInd w:val="0"/>
        <w:spacing w:line="240" w:lineRule="auto"/>
        <w:jc w:val="both"/>
        <w:rPr>
          <w:rFonts w:cs="Arial"/>
          <w:szCs w:val="20"/>
        </w:rPr>
      </w:pPr>
    </w:p>
    <w:p>
      <w:pPr>
        <w:autoSpaceDE w:val="0"/>
        <w:autoSpaceDN w:val="0"/>
        <w:adjustRightInd w:val="0"/>
        <w:spacing w:line="240" w:lineRule="auto"/>
        <w:ind w:left="720"/>
        <w:jc w:val="both"/>
        <w:rPr>
          <w:rFonts w:cs="Arial"/>
          <w:szCs w:val="20"/>
        </w:rPr>
      </w:pPr>
      <w:r>
        <w:rPr>
          <w:rFonts w:cs="Arial"/>
          <w:szCs w:val="20"/>
        </w:rPr>
        <w:t>“We also found through our analysis that the metals sector has experienced a ‘double dip’ downturn in M&amp;A activity with deal numbers outside the Asia Pacific region falling back down to the post-credit crunch low of 2009.”</w:t>
      </w:r>
    </w:p>
    <w:p>
      <w:pPr>
        <w:autoSpaceDE w:val="0"/>
        <w:autoSpaceDN w:val="0"/>
        <w:adjustRightInd w:val="0"/>
        <w:spacing w:line="240" w:lineRule="auto"/>
        <w:jc w:val="both"/>
        <w:rPr>
          <w:rFonts w:eastAsia="Times New Roman" w:cs="Arial"/>
          <w:szCs w:val="20"/>
        </w:rPr>
      </w:pPr>
    </w:p>
    <w:p>
      <w:pPr>
        <w:autoSpaceDE w:val="0"/>
        <w:autoSpaceDN w:val="0"/>
        <w:adjustRightInd w:val="0"/>
        <w:spacing w:line="240" w:lineRule="auto"/>
        <w:jc w:val="both"/>
        <w:rPr>
          <w:rFonts w:eastAsia="Times New Roman" w:cs="Arial"/>
          <w:b/>
          <w:szCs w:val="20"/>
        </w:rPr>
      </w:pPr>
      <w:r>
        <w:rPr>
          <w:rFonts w:eastAsia="Times New Roman" w:cs="Arial"/>
          <w:b/>
          <w:szCs w:val="20"/>
        </w:rPr>
        <w:t>Deal values and breakdowns</w:t>
      </w:r>
    </w:p>
    <w:p>
      <w:pPr>
        <w:autoSpaceDE w:val="0"/>
        <w:autoSpaceDN w:val="0"/>
        <w:adjustRightInd w:val="0"/>
        <w:spacing w:line="240" w:lineRule="auto"/>
        <w:jc w:val="both"/>
        <w:rPr>
          <w:rFonts w:eastAsia="Times New Roman" w:cs="Arial"/>
          <w:szCs w:val="20"/>
        </w:rPr>
      </w:pPr>
    </w:p>
    <w:p>
      <w:pPr>
        <w:autoSpaceDE w:val="0"/>
        <w:autoSpaceDN w:val="0"/>
        <w:adjustRightInd w:val="0"/>
        <w:spacing w:line="240" w:lineRule="auto"/>
        <w:jc w:val="both"/>
        <w:rPr>
          <w:rFonts w:eastAsia="Times New Roman" w:cs="Arial"/>
          <w:szCs w:val="20"/>
        </w:rPr>
      </w:pPr>
      <w:r>
        <w:rPr>
          <w:rFonts w:eastAsia="Times New Roman" w:cs="Arial"/>
          <w:szCs w:val="20"/>
        </w:rPr>
        <w:t xml:space="preserve">In 2012 there were 507 deals against 2011’s 531, still </w:t>
      </w:r>
      <w:r>
        <w:rPr>
          <w:color w:val="000000"/>
          <w:szCs w:val="20"/>
          <w:lang w:val="en-US" w:eastAsia="en-GB"/>
        </w:rPr>
        <w:t xml:space="preserve">significantly above the highest pre-credit crunch volume of 411 in 2007. Deal value for 2012 is also 203.5% higher than the US$15.1bn deal value total of 2009.  </w:t>
      </w:r>
      <w:r>
        <w:rPr>
          <w:rFonts w:eastAsia="Times New Roman" w:cs="Arial"/>
          <w:szCs w:val="20"/>
        </w:rPr>
        <w:t xml:space="preserve">Completed deal value in the sector was up 20% year on year, rising from US$38.2bn in 2011 to US$45.8bn in 2012. </w:t>
      </w:r>
    </w:p>
    <w:p>
      <w:pPr>
        <w:autoSpaceDE w:val="0"/>
        <w:autoSpaceDN w:val="0"/>
        <w:adjustRightInd w:val="0"/>
        <w:spacing w:line="240" w:lineRule="auto"/>
        <w:jc w:val="both"/>
        <w:rPr>
          <w:rFonts w:eastAsia="Times New Roman" w:cs="Arial"/>
          <w:szCs w:val="20"/>
        </w:rPr>
      </w:pPr>
    </w:p>
    <w:p>
      <w:pPr>
        <w:autoSpaceDE w:val="0"/>
        <w:autoSpaceDN w:val="0"/>
        <w:adjustRightInd w:val="0"/>
        <w:spacing w:line="240" w:lineRule="auto"/>
        <w:jc w:val="both"/>
        <w:rPr>
          <w:rFonts w:cs="Arial"/>
          <w:color w:val="000000"/>
          <w:szCs w:val="20"/>
          <w:lang w:eastAsia="en-GB"/>
        </w:rPr>
      </w:pPr>
      <w:r>
        <w:rPr>
          <w:rFonts w:cs="Arial"/>
          <w:color w:val="000000"/>
          <w:szCs w:val="20"/>
          <w:lang w:eastAsia="en-GB"/>
        </w:rPr>
        <w:t xml:space="preserve">However, the totals for </w:t>
      </w:r>
      <w:proofErr w:type="gramStart"/>
      <w:r>
        <w:rPr>
          <w:rFonts w:cs="Arial"/>
          <w:color w:val="000000"/>
          <w:szCs w:val="20"/>
          <w:lang w:eastAsia="en-GB"/>
        </w:rPr>
        <w:t>2012,</w:t>
      </w:r>
      <w:proofErr w:type="gramEnd"/>
      <w:r>
        <w:rPr>
          <w:rFonts w:cs="Arial"/>
          <w:color w:val="000000"/>
          <w:szCs w:val="20"/>
          <w:lang w:eastAsia="en-GB"/>
        </w:rPr>
        <w:t xml:space="preserve"> mask a vast geographic imbalance, said </w:t>
      </w:r>
      <w:hyperlink r:id="rId10" w:history="1">
        <w:r>
          <w:rPr>
            <w:rStyle w:val="Hyperlink"/>
            <w:rFonts w:cs="Arial"/>
            <w:szCs w:val="20"/>
            <w:lang w:eastAsia="en-GB"/>
          </w:rPr>
          <w:t>Jim Forbes</w:t>
        </w:r>
      </w:hyperlink>
      <w:r>
        <w:rPr>
          <w:rFonts w:cs="Arial"/>
          <w:color w:val="000000"/>
          <w:szCs w:val="20"/>
          <w:lang w:eastAsia="en-GB"/>
        </w:rPr>
        <w:t>, PwC’s global metals leader as the Asia Pacific region accounts for US$31.1bn of the US$45.8bn total, and US$9.4bn of that was derived from the completion of the Sumitomo-Nippon Steel merger left pending from the previous year.</w:t>
      </w:r>
    </w:p>
    <w:p>
      <w:pPr>
        <w:jc w:val="both"/>
        <w:rPr>
          <w:rFonts w:cs="Arial"/>
          <w:color w:val="000000"/>
          <w:szCs w:val="20"/>
          <w:lang w:eastAsia="en-GB"/>
        </w:rPr>
      </w:pPr>
    </w:p>
    <w:p>
      <w:pPr>
        <w:rPr>
          <w:rFonts w:cs="Arial"/>
          <w:color w:val="000000"/>
          <w:szCs w:val="20"/>
          <w:lang w:eastAsia="en-GB"/>
        </w:rPr>
      </w:pPr>
      <w:r>
        <w:rPr>
          <w:rFonts w:cs="Arial"/>
          <w:color w:val="000000"/>
          <w:szCs w:val="20"/>
          <w:lang w:eastAsia="en-GB"/>
        </w:rPr>
        <w:t xml:space="preserve">In </w:t>
      </w:r>
      <w:r>
        <w:rPr>
          <w:rFonts w:cs="Arial"/>
          <w:b/>
          <w:color w:val="000000"/>
          <w:szCs w:val="20"/>
          <w:lang w:eastAsia="en-GB"/>
        </w:rPr>
        <w:t>North America</w:t>
      </w:r>
      <w:r>
        <w:rPr>
          <w:rFonts w:cs="Arial"/>
          <w:color w:val="000000"/>
          <w:szCs w:val="20"/>
          <w:lang w:eastAsia="en-GB"/>
        </w:rPr>
        <w:t>, deals declined by 18% from 118 (valued at US$12.2bn) in 2011 to 97 in 2012  (valued at US$4.3bn).  Share of world deal value went from 32% in 2011 to 9% in 2012.</w:t>
      </w:r>
    </w:p>
    <w:p>
      <w:pPr>
        <w:rPr>
          <w:rFonts w:cs="Arial"/>
          <w:color w:val="000000"/>
          <w:szCs w:val="20"/>
          <w:lang w:eastAsia="en-GB"/>
        </w:rPr>
      </w:pPr>
    </w:p>
    <w:p>
      <w:pPr>
        <w:rPr>
          <w:rFonts w:cs="Arial"/>
          <w:color w:val="000000"/>
          <w:szCs w:val="20"/>
          <w:lang w:eastAsia="en-GB"/>
        </w:rPr>
      </w:pPr>
      <w:r>
        <w:rPr>
          <w:rFonts w:cs="Arial"/>
          <w:b/>
          <w:color w:val="000000"/>
          <w:szCs w:val="20"/>
          <w:lang w:eastAsia="en-GB"/>
        </w:rPr>
        <w:t>Asia Pacific</w:t>
      </w:r>
      <w:r>
        <w:rPr>
          <w:rFonts w:cs="Arial"/>
          <w:color w:val="000000"/>
          <w:szCs w:val="20"/>
          <w:lang w:eastAsia="en-GB"/>
        </w:rPr>
        <w:t xml:space="preserve"> was the deals rider of 2012 dominating 50% of all world deals with 254 acquisitions valued at US$31.1bn against 206 in 2011.  It also took 68% of total deal value in 2012 up from 19% in 2011.</w:t>
      </w:r>
    </w:p>
    <w:p>
      <w:pPr>
        <w:rPr>
          <w:rFonts w:cs="Arial"/>
          <w:color w:val="000000"/>
          <w:szCs w:val="20"/>
          <w:lang w:eastAsia="en-GB"/>
        </w:rPr>
      </w:pPr>
    </w:p>
    <w:p>
      <w:pPr>
        <w:rPr>
          <w:rFonts w:cs="Arial"/>
          <w:color w:val="000000"/>
          <w:szCs w:val="20"/>
          <w:lang w:eastAsia="en-GB"/>
        </w:rPr>
      </w:pPr>
      <w:r>
        <w:rPr>
          <w:rFonts w:cs="Arial"/>
          <w:color w:val="000000"/>
          <w:szCs w:val="20"/>
          <w:lang w:eastAsia="en-GB"/>
        </w:rPr>
        <w:t xml:space="preserve">In </w:t>
      </w:r>
      <w:r>
        <w:rPr>
          <w:rFonts w:cs="Arial"/>
          <w:b/>
          <w:color w:val="000000"/>
          <w:szCs w:val="20"/>
          <w:lang w:eastAsia="en-GB"/>
        </w:rPr>
        <w:t>Western Europe</w:t>
      </w:r>
      <w:r>
        <w:rPr>
          <w:rFonts w:cs="Arial"/>
          <w:color w:val="000000"/>
          <w:szCs w:val="20"/>
          <w:lang w:eastAsia="en-GB"/>
        </w:rPr>
        <w:t xml:space="preserve"> there were 91 deals, down from 103 in 2011 and world market value halved also from 26% in 2011 to 13% last year. Central &amp; Eastern Europe deal numbers fell by 32%  and world market share was 1%.</w:t>
      </w:r>
    </w:p>
    <w:p>
      <w:pPr>
        <w:rPr>
          <w:rFonts w:cs="Arial"/>
          <w:color w:val="000000"/>
          <w:szCs w:val="20"/>
          <w:lang w:eastAsia="en-GB"/>
        </w:rPr>
      </w:pPr>
    </w:p>
    <w:p>
      <w:pPr>
        <w:rPr>
          <w:rFonts w:cs="Arial"/>
          <w:color w:val="000000"/>
          <w:szCs w:val="20"/>
          <w:lang w:eastAsia="en-GB"/>
        </w:rPr>
      </w:pPr>
      <w:r>
        <w:rPr>
          <w:rFonts w:cs="Arial"/>
          <w:color w:val="000000"/>
          <w:szCs w:val="20"/>
          <w:lang w:eastAsia="en-GB"/>
        </w:rPr>
        <w:t xml:space="preserve">In </w:t>
      </w:r>
      <w:r>
        <w:rPr>
          <w:rFonts w:cs="Arial"/>
          <w:b/>
          <w:color w:val="000000"/>
          <w:szCs w:val="20"/>
          <w:lang w:eastAsia="en-GB"/>
        </w:rPr>
        <w:t>Central and South America</w:t>
      </w:r>
      <w:r>
        <w:rPr>
          <w:rFonts w:cs="Arial"/>
          <w:color w:val="000000"/>
          <w:szCs w:val="20"/>
          <w:lang w:eastAsia="en-GB"/>
        </w:rPr>
        <w:t xml:space="preserve"> there were 16 deals in 2012 valued at US$4bn, a drop of 50% on 2011. </w:t>
      </w:r>
    </w:p>
    <w:p>
      <w:pPr>
        <w:rPr>
          <w:rFonts w:cs="Arial"/>
          <w:color w:val="000000"/>
          <w:szCs w:val="20"/>
          <w:lang w:eastAsia="en-GB"/>
        </w:rPr>
      </w:pPr>
    </w:p>
    <w:p>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b/>
          <w:szCs w:val="20"/>
          <w:lang w:eastAsia="en-GB"/>
        </w:rPr>
      </w:pPr>
      <w:r>
        <w:rPr>
          <w:rFonts w:cs="Arial"/>
          <w:b/>
          <w:color w:val="000000"/>
          <w:szCs w:val="20"/>
          <w:lang w:val="en-US"/>
        </w:rPr>
        <w:t>ENDS</w:t>
      </w:r>
    </w:p>
    <w:p>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b/>
          <w:szCs w:val="20"/>
          <w:lang w:eastAsia="en-GB"/>
        </w:rPr>
      </w:pPr>
    </w:p>
    <w:p>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b/>
          <w:szCs w:val="20"/>
          <w:lang w:eastAsia="en-GB"/>
        </w:rPr>
      </w:pPr>
      <w:r>
        <w:rPr>
          <w:b/>
          <w:szCs w:val="20"/>
          <w:lang w:eastAsia="en-GB"/>
        </w:rPr>
        <w:t>Note to Editors</w:t>
      </w:r>
    </w:p>
    <w:p>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b/>
          <w:szCs w:val="20"/>
          <w:lang w:eastAsia="en-GB"/>
        </w:rPr>
      </w:pPr>
    </w:p>
    <w:p>
      <w:pPr>
        <w:pStyle w:val="ListParagraph"/>
        <w:numPr>
          <w:ilvl w:val="0"/>
          <w:numId w:val="3"/>
        </w:numPr>
        <w:tabs>
          <w:tab w:val="left" w:pos="1440"/>
        </w:tabs>
        <w:rPr>
          <w:rFonts w:cs="Arial"/>
          <w:lang w:val="it-IT"/>
        </w:rPr>
      </w:pPr>
      <w:r>
        <w:rPr>
          <w:szCs w:val="20"/>
          <w:lang w:eastAsia="en-GB"/>
        </w:rPr>
        <w:t xml:space="preserve">For further information/interviews please contact the Press Office </w:t>
      </w:r>
      <w:r>
        <w:rPr>
          <w:rFonts w:cs="Arial"/>
          <w:lang w:val="it-IT"/>
        </w:rPr>
        <w:t xml:space="preserve">on +44 207 2121231 / + 44 (0)7425141510 or email: </w:t>
      </w:r>
      <w:hyperlink r:id="rId11" w:history="1">
        <w:r>
          <w:rPr>
            <w:rStyle w:val="Hyperlink"/>
            <w:rFonts w:cs="Arial"/>
            <w:lang w:val="it-IT"/>
          </w:rPr>
          <w:t>rita.s.congera@uk.pwc.com</w:t>
        </w:r>
      </w:hyperlink>
      <w:r>
        <w:t>.</w:t>
      </w:r>
    </w:p>
    <w:p>
      <w:pPr>
        <w:pStyle w:val="ListParagraph"/>
        <w:numPr>
          <w:ilvl w:val="0"/>
          <w:numId w:val="3"/>
        </w:numPr>
        <w:tabs>
          <w:tab w:val="left" w:pos="1440"/>
        </w:tabs>
        <w:rPr>
          <w:rFonts w:cs="Arial"/>
          <w:lang w:val="it-IT"/>
        </w:rPr>
      </w:pPr>
      <w:r>
        <w:rPr>
          <w:rFonts w:cs="Arial"/>
          <w:lang w:val="it-IT"/>
        </w:rPr>
        <w:t>Details of deal activities and PwC’s modelling can be found in the report.</w:t>
      </w:r>
    </w:p>
    <w:p>
      <w:pPr>
        <w:pStyle w:val="ListParagraph"/>
        <w:numPr>
          <w:ilvl w:val="0"/>
          <w:numId w:val="3"/>
        </w:numPr>
        <w:tabs>
          <w:tab w:val="left" w:pos="1440"/>
        </w:tabs>
        <w:rPr>
          <w:rFonts w:cs="Arial"/>
          <w:lang w:val="it-IT"/>
        </w:rPr>
      </w:pPr>
      <w:r>
        <w:rPr>
          <w:szCs w:val="20"/>
        </w:rPr>
        <w:t xml:space="preserve">PwC’s global Metals practice is a </w:t>
      </w:r>
      <w:r>
        <w:rPr>
          <w:rFonts w:cs="Charter"/>
          <w:szCs w:val="20"/>
          <w:lang w:eastAsia="en-GB"/>
        </w:rPr>
        <w:t xml:space="preserve">network of industry professionals serving metals clients in over 30 countries around the world. PwC serves global clients involved in ferrous and non-ferrous primary and secondary metals production around the world, bringing experience, international industry best practices and a wealth of specialised resources to help solve business issues.  </w:t>
      </w:r>
    </w:p>
    <w:p>
      <w:pPr>
        <w:tabs>
          <w:tab w:val="left" w:pos="0"/>
          <w:tab w:val="left" w:pos="720"/>
          <w:tab w:val="left" w:pos="1440"/>
          <w:tab w:val="left" w:pos="2160"/>
          <w:tab w:val="left" w:pos="2880"/>
          <w:tab w:val="left" w:pos="3600"/>
          <w:tab w:val="left" w:pos="4320"/>
        </w:tabs>
        <w:autoSpaceDE w:val="0"/>
        <w:autoSpaceDN w:val="0"/>
        <w:adjustRightInd w:val="0"/>
        <w:spacing w:line="240" w:lineRule="auto"/>
        <w:rPr>
          <w:rFonts w:cs="Georgia"/>
          <w:b/>
          <w:i/>
          <w:iCs/>
          <w:color w:val="000000"/>
          <w:szCs w:val="20"/>
          <w:lang w:eastAsia="en-GB"/>
        </w:rPr>
      </w:pPr>
    </w:p>
    <w:p>
      <w:pPr>
        <w:tabs>
          <w:tab w:val="left" w:pos="0"/>
          <w:tab w:val="left" w:pos="720"/>
          <w:tab w:val="left" w:pos="1440"/>
          <w:tab w:val="left" w:pos="2160"/>
          <w:tab w:val="left" w:pos="2880"/>
          <w:tab w:val="left" w:pos="3600"/>
          <w:tab w:val="left" w:pos="4320"/>
        </w:tabs>
        <w:autoSpaceDE w:val="0"/>
        <w:autoSpaceDN w:val="0"/>
        <w:adjustRightInd w:val="0"/>
        <w:spacing w:line="240" w:lineRule="auto"/>
        <w:rPr>
          <w:rFonts w:cs="Georgia"/>
          <w:b/>
          <w:i/>
          <w:iCs/>
          <w:color w:val="000000"/>
          <w:szCs w:val="20"/>
          <w:lang w:eastAsia="en-GB"/>
        </w:rPr>
      </w:pPr>
      <w:r>
        <w:rPr>
          <w:rFonts w:cs="Georgia"/>
          <w:b/>
          <w:i/>
          <w:iCs/>
          <w:color w:val="000000"/>
          <w:szCs w:val="20"/>
          <w:lang w:eastAsia="en-GB"/>
        </w:rPr>
        <w:t>About PwC</w:t>
      </w:r>
    </w:p>
    <w:p>
      <w:pPr>
        <w:tabs>
          <w:tab w:val="left" w:pos="0"/>
          <w:tab w:val="left" w:pos="720"/>
          <w:tab w:val="left" w:pos="1440"/>
          <w:tab w:val="left" w:pos="2160"/>
          <w:tab w:val="left" w:pos="2880"/>
          <w:tab w:val="left" w:pos="3600"/>
          <w:tab w:val="left" w:pos="4320"/>
        </w:tabs>
        <w:autoSpaceDE w:val="0"/>
        <w:autoSpaceDN w:val="0"/>
        <w:adjustRightInd w:val="0"/>
        <w:spacing w:line="240" w:lineRule="auto"/>
        <w:rPr>
          <w:rFonts w:cs="Georgia"/>
          <w:i/>
          <w:iCs/>
          <w:color w:val="000000"/>
          <w:szCs w:val="20"/>
          <w:lang w:eastAsia="en-GB"/>
        </w:rPr>
      </w:pPr>
      <w:r>
        <w:rPr>
          <w:rFonts w:cs="Georgia"/>
          <w:i/>
          <w:iCs/>
          <w:color w:val="000000"/>
          <w:szCs w:val="20"/>
          <w:lang w:eastAsia="en-GB"/>
        </w:rPr>
        <w:t>PwC firms provide industry-focused assurance, tax and advisory services to enhance value for their clients. More than 161,000 people in 154 countries in firms across the PwC network share their thinking, experience and solutions to develop fresh perspectives and practical advice. See pwc.com for more information.</w:t>
      </w:r>
    </w:p>
    <w:sectPr>
      <w:headerReference w:type="even" r:id="rId12"/>
      <w:headerReference w:type="default" r:id="rId13"/>
      <w:footerReference w:type="even" r:id="rId14"/>
      <w:footerReference w:type="default" r:id="rId15"/>
      <w:headerReference w:type="first" r:id="rId16"/>
      <w:footerReference w:type="first" r:id="rId17"/>
      <w:pgSz w:w="11907" w:h="16839"/>
      <w:pgMar w:top="3137" w:right="850" w:bottom="1417" w:left="1984" w:header="567" w:footer="567"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harte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fldSimple w:instr=" PAGE  \* MERGEFORMAT ">
      <w:r>
        <w:rPr>
          <w:noProof/>
        </w:rPr>
        <w:t>2</w:t>
      </w:r>
    </w:fldSimple>
    <w:r>
      <w:t xml:space="preserve"> of </w:t>
    </w:r>
    <w:fldSimple w:instr=" NUMPAGES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fldSimple w:instr=" PAGE  \* MERGEFORMAT ">
      <w:r>
        <w:rPr>
          <w:noProof/>
        </w:rPr>
        <w:t>2</w:t>
      </w:r>
    </w:fldSimple>
    <w:r>
      <w:t xml:space="preserve"> of </w:t>
    </w:r>
    <w:fldSimple w:instr=" NUMPAGES  \* MERGEFORMAT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ddress"/>
    </w:pPr>
    <w:bookmarkStart w:id="0" w:name="FirstPageFooter"/>
    <w:bookmarkEnd w:id="0"/>
    <w:r>
      <w:t xml:space="preserve">PricewaterhouseCoopers LLP, </w:t>
    </w:r>
    <w:smartTag w:uri="urn:schemas-microsoft-com:office:smarttags" w:element="address">
      <w:smartTag w:uri="urn:schemas-microsoft-com:office:smarttags" w:element="Street">
        <w:r>
          <w:t>1 Embankment Place</w:t>
        </w:r>
      </w:smartTag>
    </w:smartTag>
    <w:r>
      <w:t xml:space="preserve">. </w:t>
    </w:r>
    <w:smartTag w:uri="urn:schemas-microsoft-com:office:smarttags" w:element="place">
      <w:smartTag w:uri="urn:schemas-microsoft-com:office:smarttags" w:element="City">
        <w:r>
          <w:t>London</w:t>
        </w:r>
      </w:smartTag>
      <w:r>
        <w:t xml:space="preserve">, </w:t>
      </w:r>
      <w:smartTag w:uri="urn:schemas-microsoft-com:office:smarttags" w:element="PostalCode">
        <w:r>
          <w:t>WC2N 6RH</w:t>
        </w:r>
      </w:smartTag>
    </w:smartTag>
  </w:p>
  <w:p>
    <w:pPr>
      <w:pStyle w:val="Address"/>
      <w:rPr>
        <w:lang w:val="de-DE"/>
      </w:rPr>
    </w:pPr>
    <w:r>
      <w:rPr>
        <w:lang w:val="de-DE"/>
      </w:rPr>
      <w:t>T: +44 (0)20 7 583 5000, F: +44 (0)20 7 822 4652, www.pwc.co.uk</w:t>
    </w:r>
  </w:p>
  <w:p>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rPr>
        <w:noProof/>
        <w:lang w:eastAsia="en-GB"/>
      </w:rPr>
      <w:drawing>
        <wp:anchor distT="0" distB="0" distL="114300" distR="114300" simplePos="0" relativeHeight="251658752" behindDoc="0" locked="1" layoutInCell="1" allowOverlap="1">
          <wp:simplePos x="0" y="0"/>
          <wp:positionH relativeFrom="page">
            <wp:posOffset>431165</wp:posOffset>
          </wp:positionH>
          <wp:positionV relativeFrom="page">
            <wp:posOffset>490855</wp:posOffset>
          </wp:positionV>
          <wp:extent cx="1410970" cy="12687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10970" cy="1268730"/>
                  </a:xfrm>
                  <a:prstGeom prst="rect">
                    <a:avLst/>
                  </a:prstGeom>
                  <a:noFill/>
                </pic:spPr>
              </pic:pic>
            </a:graphicData>
          </a:graphic>
        </wp:anchor>
      </w:drawing>
    </w:r>
  </w:p>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rPr>
        <w:noProof/>
        <w:lang w:eastAsia="en-GB"/>
      </w:rPr>
      <w:drawing>
        <wp:anchor distT="0" distB="0" distL="114300" distR="114300" simplePos="0" relativeHeight="251657728" behindDoc="0" locked="1" layoutInCell="1" allowOverlap="1">
          <wp:simplePos x="0" y="0"/>
          <wp:positionH relativeFrom="page">
            <wp:posOffset>431165</wp:posOffset>
          </wp:positionH>
          <wp:positionV relativeFrom="page">
            <wp:posOffset>490855</wp:posOffset>
          </wp:positionV>
          <wp:extent cx="1410970" cy="12687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0970" cy="1268730"/>
                  </a:xfrm>
                  <a:prstGeom prst="rect">
                    <a:avLst/>
                  </a:prstGeom>
                  <a:noFill/>
                </pic:spPr>
              </pic:pic>
            </a:graphicData>
          </a:graphic>
        </wp:anchor>
      </w:drawing>
    </w:r>
  </w:p>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rPr>
        <w:noProof/>
        <w:lang w:eastAsia="en-GB"/>
      </w:rPr>
      <w:drawing>
        <wp:anchor distT="0" distB="0" distL="114300" distR="114300" simplePos="0" relativeHeight="251656704" behindDoc="0" locked="1" layoutInCell="1" allowOverlap="1">
          <wp:simplePos x="0" y="0"/>
          <wp:positionH relativeFrom="page">
            <wp:posOffset>431165</wp:posOffset>
          </wp:positionH>
          <wp:positionV relativeFrom="page">
            <wp:posOffset>490855</wp:posOffset>
          </wp:positionV>
          <wp:extent cx="1410970" cy="1268730"/>
          <wp:effectExtent l="0" t="0" r="0" b="0"/>
          <wp:wrapNone/>
          <wp:docPr id="3"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C3314"/>
    <w:multiLevelType w:val="hybridMultilevel"/>
    <w:tmpl w:val="09D21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2A4899"/>
    <w:multiLevelType w:val="hybridMultilevel"/>
    <w:tmpl w:val="09D21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A60099"/>
    <w:multiLevelType w:val="hybridMultilevel"/>
    <w:tmpl w:val="4038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2F3E9C"/>
    <w:multiLevelType w:val="hybridMultilevel"/>
    <w:tmpl w:val="13526CD2"/>
    <w:lvl w:ilvl="0" w:tplc="1C8C8372">
      <w:start w:val="1"/>
      <w:numFmt w:val="bullet"/>
      <w:lvlText w:val=""/>
      <w:lvlJc w:val="left"/>
      <w:pPr>
        <w:tabs>
          <w:tab w:val="num" w:pos="720"/>
        </w:tabs>
        <w:ind w:left="720" w:hanging="36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Georgia" w:hAnsi="Georgia"/>
      <w:sz w:val="20"/>
      <w:lang w:eastAsia="en-US"/>
    </w:rPr>
  </w:style>
  <w:style w:type="paragraph" w:styleId="Heading1">
    <w:name w:val="heading 1"/>
    <w:basedOn w:val="Normal"/>
    <w:next w:val="Normal"/>
    <w:link w:val="Heading1Char"/>
    <w:uiPriority w:val="99"/>
    <w:qFormat/>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Header">
    <w:name w:val="header"/>
    <w:basedOn w:val="Normal"/>
    <w:link w:val="HeaderChar"/>
    <w:uiPriority w:val="99"/>
    <w:semiHidden/>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semiHidden/>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Pr>
      <w:rFonts w:cs="Times New Roman"/>
    </w:rPr>
  </w:style>
  <w:style w:type="paragraph" w:styleId="BodyText">
    <w:name w:val="Body Text"/>
    <w:basedOn w:val="Normal"/>
    <w:link w:val="BodyTextChar"/>
    <w:uiPriority w:val="99"/>
    <w:semiHidden/>
    <w:pPr>
      <w:spacing w:after="240"/>
    </w:pPr>
  </w:style>
  <w:style w:type="character" w:customStyle="1" w:styleId="BodyTextChar">
    <w:name w:val="Body Text Char"/>
    <w:basedOn w:val="DefaultParagraphFont"/>
    <w:link w:val="BodyText"/>
    <w:uiPriority w:val="99"/>
    <w:semiHidden/>
    <w:locked/>
    <w:rPr>
      <w:rFonts w:ascii="Georgia" w:hAnsi="Georgia" w:cs="Times New Roman"/>
      <w:sz w:val="20"/>
    </w:rPr>
  </w:style>
  <w:style w:type="paragraph" w:styleId="Title">
    <w:name w:val="Title"/>
    <w:basedOn w:val="Normal"/>
    <w:next w:val="Normal"/>
    <w:link w:val="TitleChar"/>
    <w:uiPriority w:val="99"/>
    <w:qFormat/>
    <w:pPr>
      <w:pBdr>
        <w:top w:val="single" w:sz="8" w:space="1" w:color="DC6900"/>
      </w:pBdr>
      <w:spacing w:after="240" w:line="240" w:lineRule="auto"/>
      <w:contextualSpacing/>
    </w:pPr>
    <w:rPr>
      <w:rFonts w:ascii="Cambria" w:eastAsia="Times New Roman" w:hAnsi="Cambria"/>
      <w:b/>
      <w:i/>
      <w:color w:val="000000"/>
      <w:spacing w:val="5"/>
      <w:kern w:val="28"/>
      <w:sz w:val="24"/>
      <w:szCs w:val="52"/>
    </w:rPr>
  </w:style>
  <w:style w:type="character" w:customStyle="1" w:styleId="TitleChar">
    <w:name w:val="Title Char"/>
    <w:basedOn w:val="DefaultParagraphFont"/>
    <w:link w:val="Title"/>
    <w:uiPriority w:val="99"/>
    <w:locked/>
    <w:rPr>
      <w:rFonts w:ascii="Cambria" w:hAnsi="Cambria" w:cs="Times New Roman"/>
      <w:b/>
      <w:i/>
      <w:color w:val="000000"/>
      <w:spacing w:val="5"/>
      <w:kern w:val="28"/>
      <w:sz w:val="52"/>
      <w:szCs w:val="52"/>
    </w:rPr>
  </w:style>
  <w:style w:type="paragraph" w:customStyle="1" w:styleId="Address">
    <w:name w:val="Address"/>
    <w:basedOn w:val="Normal"/>
    <w:link w:val="AddressChar"/>
    <w:uiPriority w:val="99"/>
    <w:pPr>
      <w:spacing w:line="200" w:lineRule="atLeast"/>
    </w:pPr>
    <w:rPr>
      <w:i/>
      <w:sz w:val="18"/>
    </w:rPr>
  </w:style>
  <w:style w:type="character" w:customStyle="1" w:styleId="AddressChar">
    <w:name w:val="Address Char"/>
    <w:basedOn w:val="DefaultParagraphFont"/>
    <w:link w:val="Address"/>
    <w:uiPriority w:val="99"/>
    <w:locked/>
    <w:rPr>
      <w:rFonts w:ascii="Georgia" w:hAnsi="Georgia" w:cs="Times New Roman"/>
      <w:i/>
      <w:sz w:val="18"/>
    </w:rPr>
  </w:style>
  <w:style w:type="paragraph" w:customStyle="1" w:styleId="Disclaimer">
    <w:name w:val="Disclaimer"/>
    <w:basedOn w:val="Normal"/>
    <w:link w:val="DisclaimerChar"/>
    <w:uiPriority w:val="99"/>
    <w:pPr>
      <w:spacing w:line="140" w:lineRule="atLeast"/>
    </w:pPr>
    <w:rPr>
      <w:rFonts w:ascii="Arial" w:hAnsi="Arial" w:cs="Arial"/>
      <w:sz w:val="12"/>
    </w:rPr>
  </w:style>
  <w:style w:type="character" w:customStyle="1" w:styleId="DisclaimerChar">
    <w:name w:val="Disclaimer Char"/>
    <w:basedOn w:val="DefaultParagraphFont"/>
    <w:link w:val="Disclaimer"/>
    <w:uiPriority w:val="99"/>
    <w:locked/>
    <w:rPr>
      <w:rFonts w:ascii="Arial" w:hAnsi="Arial" w:cs="Arial"/>
      <w:sz w:val="12"/>
    </w:rPr>
  </w:style>
  <w:style w:type="paragraph" w:customStyle="1" w:styleId="ReleaseBodyText">
    <w:name w:val="Release Body Text"/>
    <w:uiPriority w:val="99"/>
    <w:rPr>
      <w:rFonts w:ascii="Arial" w:eastAsia="Times New Roman" w:hAnsi="Arial" w:cs="Arial"/>
      <w:sz w:val="20"/>
      <w:szCs w:val="20"/>
      <w:lang w:eastAsia="en-US"/>
    </w:rPr>
  </w:style>
  <w:style w:type="paragraph" w:customStyle="1" w:styleId="Heading">
    <w:name w:val="Heading"/>
    <w:basedOn w:val="Normal"/>
    <w:uiPriority w:val="99"/>
    <w:pPr>
      <w:spacing w:line="240" w:lineRule="auto"/>
    </w:pPr>
    <w:rPr>
      <w:rFonts w:ascii="Arial" w:eastAsia="Times New Roman" w:hAnsi="Arial"/>
      <w:b/>
      <w:sz w:val="24"/>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Cs w:val="20"/>
    </w:rPr>
  </w:style>
  <w:style w:type="character" w:customStyle="1" w:styleId="CommentTextChar">
    <w:name w:val="Comment Text Char"/>
    <w:basedOn w:val="DefaultParagraphFont"/>
    <w:link w:val="CommentText"/>
    <w:uiPriority w:val="99"/>
    <w:semiHidden/>
    <w:locked/>
    <w:rPr>
      <w:rFonts w:ascii="Georgia" w:hAnsi="Georgia" w:cs="Times New Roman"/>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wcprd-wip.pwcinternal.com/en_GX/gx/metals/mergers-acquisitions/forging-ahead-global-metals-deals-2013-outlook-and-2012-review.j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ta.s.congera@uk.pwc.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ta.s.congera@uk.pwc.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ecure.ca.pwc.com/Extweb/webpeopleprof.nsf/00/545673AF2DA7C414852575660073659C?OpenDocument&amp;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cure.ca.pwc.com/Extweb/webpeopleprof.nsf/00/545673AF2DA7C414852575660073659C?OpenDocument&amp;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ngdale\AppData\Local\Microsoft\Windows\Temporary%20Internet%20Files\Content.Outlook\QVFKR2U3\News%20release%20a4%20no%20disclaimer%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 release a4 no disclaimer colour.dotx</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Hollingdale</dc:creator>
  <cp:lastModifiedBy>897136</cp:lastModifiedBy>
  <cp:revision>2</cp:revision>
  <cp:lastPrinted>2013-03-08T10:32:00Z</cp:lastPrinted>
  <dcterms:created xsi:type="dcterms:W3CDTF">2013-03-08T14:16:00Z</dcterms:created>
  <dcterms:modified xsi:type="dcterms:W3CDTF">2013-03-08T14:16:00Z</dcterms:modified>
</cp:coreProperties>
</file>