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6A" w:rsidRDefault="00B15BAE">
      <w:pPr>
        <w:tabs>
          <w:tab w:val="center" w:pos="4536"/>
        </w:tabs>
      </w:pPr>
      <w:r>
        <w:tab/>
      </w:r>
    </w:p>
    <w:p w:rsidR="00247D6A" w:rsidRDefault="00247D6A">
      <w:pPr>
        <w:pStyle w:val="Title"/>
        <w:rPr>
          <w:rFonts w:ascii="Georgia" w:hAnsi="Georgia"/>
        </w:rPr>
      </w:pPr>
    </w:p>
    <w:p w:rsidR="00247D6A" w:rsidRDefault="00B15BAE">
      <w:pPr>
        <w:pStyle w:val="Title"/>
        <w:rPr>
          <w:rFonts w:ascii="Georgia" w:hAnsi="Georgia"/>
        </w:rPr>
      </w:pPr>
      <w:r>
        <w:rPr>
          <w:rFonts w:ascii="Georgia" w:hAnsi="Georgia"/>
        </w:rPr>
        <w:t xml:space="preserve">Press release </w:t>
      </w:r>
    </w:p>
    <w:tbl>
      <w:tblPr>
        <w:tblW w:w="0" w:type="auto"/>
        <w:tblLayout w:type="fixed"/>
        <w:tblLook w:val="04A0"/>
      </w:tblPr>
      <w:tblGrid>
        <w:gridCol w:w="2268"/>
        <w:gridCol w:w="4645"/>
      </w:tblGrid>
      <w:tr w:rsidR="00247D6A">
        <w:tc>
          <w:tcPr>
            <w:tcW w:w="2268" w:type="dxa"/>
            <w:hideMark/>
          </w:tcPr>
          <w:p w:rsidR="00247D6A" w:rsidRDefault="00B15BAE">
            <w:pPr>
              <w:rPr>
                <w:i/>
              </w:rPr>
            </w:pPr>
            <w:r>
              <w:rPr>
                <w:i/>
              </w:rPr>
              <w:t>Date</w:t>
            </w:r>
          </w:p>
        </w:tc>
        <w:tc>
          <w:tcPr>
            <w:tcW w:w="4645" w:type="dxa"/>
            <w:hideMark/>
          </w:tcPr>
          <w:p w:rsidR="00247D6A" w:rsidRPr="00C14AA9" w:rsidRDefault="00C14AA9">
            <w:pPr>
              <w:rPr>
                <w:b/>
              </w:rPr>
            </w:pPr>
            <w:r w:rsidRPr="00C14AA9">
              <w:rPr>
                <w:b/>
              </w:rPr>
              <w:t xml:space="preserve">EMBARGOED: </w:t>
            </w:r>
            <w:r w:rsidR="00B15BAE" w:rsidRPr="00C14AA9">
              <w:rPr>
                <w:b/>
              </w:rPr>
              <w:t>6</w:t>
            </w:r>
            <w:r w:rsidR="00B15BAE" w:rsidRPr="00C14AA9">
              <w:rPr>
                <w:b/>
                <w:vertAlign w:val="superscript"/>
              </w:rPr>
              <w:t>th</w:t>
            </w:r>
            <w:r w:rsidR="00E461BB" w:rsidRPr="00C14AA9">
              <w:rPr>
                <w:b/>
              </w:rPr>
              <w:t xml:space="preserve"> March 2013, 00:0</w:t>
            </w:r>
            <w:r w:rsidR="00B15BAE" w:rsidRPr="00C14AA9">
              <w:rPr>
                <w:b/>
              </w:rPr>
              <w:t>1 GMT</w:t>
            </w:r>
          </w:p>
        </w:tc>
      </w:tr>
      <w:tr w:rsidR="00247D6A">
        <w:tc>
          <w:tcPr>
            <w:tcW w:w="2268" w:type="dxa"/>
          </w:tcPr>
          <w:p w:rsidR="00247D6A" w:rsidRDefault="00247D6A">
            <w:pPr>
              <w:rPr>
                <w:i/>
              </w:rPr>
            </w:pPr>
          </w:p>
          <w:p w:rsidR="00247D6A" w:rsidRDefault="00B15BAE">
            <w:pPr>
              <w:rPr>
                <w:i/>
              </w:rPr>
            </w:pPr>
            <w:r>
              <w:rPr>
                <w:i/>
              </w:rPr>
              <w:t>Contacts</w:t>
            </w:r>
          </w:p>
          <w:p w:rsidR="00247D6A" w:rsidRDefault="00247D6A">
            <w:pPr>
              <w:rPr>
                <w:i/>
              </w:rPr>
            </w:pPr>
          </w:p>
          <w:p w:rsidR="00247D6A" w:rsidRDefault="00247D6A">
            <w:pPr>
              <w:rPr>
                <w:i/>
              </w:rPr>
            </w:pPr>
          </w:p>
          <w:p w:rsidR="00247D6A" w:rsidRDefault="00247D6A">
            <w:pPr>
              <w:rPr>
                <w:i/>
              </w:rPr>
            </w:pPr>
          </w:p>
          <w:p w:rsidR="00247D6A" w:rsidRDefault="00247D6A">
            <w:pPr>
              <w:rPr>
                <w:i/>
              </w:rPr>
            </w:pPr>
          </w:p>
          <w:p w:rsidR="00247D6A" w:rsidRDefault="00247D6A">
            <w:pPr>
              <w:rPr>
                <w:i/>
              </w:rPr>
            </w:pPr>
          </w:p>
          <w:p w:rsidR="00247D6A" w:rsidRDefault="00247D6A">
            <w:pPr>
              <w:rPr>
                <w:i/>
              </w:rPr>
            </w:pPr>
          </w:p>
          <w:p w:rsidR="00247D6A" w:rsidRDefault="00247D6A">
            <w:pPr>
              <w:rPr>
                <w:i/>
              </w:rPr>
            </w:pPr>
          </w:p>
          <w:p w:rsidR="00247D6A" w:rsidRDefault="00247D6A">
            <w:pPr>
              <w:rPr>
                <w:i/>
              </w:rPr>
            </w:pPr>
          </w:p>
          <w:p w:rsidR="00247D6A" w:rsidRDefault="00B15BAE">
            <w:pPr>
              <w:rPr>
                <w:i/>
              </w:rPr>
            </w:pPr>
            <w:r>
              <w:rPr>
                <w:i/>
              </w:rPr>
              <w:t>Pages</w:t>
            </w:r>
          </w:p>
        </w:tc>
        <w:tc>
          <w:tcPr>
            <w:tcW w:w="4645" w:type="dxa"/>
          </w:tcPr>
          <w:p w:rsidR="00247D6A" w:rsidRDefault="00247D6A">
            <w:pPr>
              <w:tabs>
                <w:tab w:val="left" w:pos="1440"/>
              </w:tabs>
              <w:ind w:left="1440" w:hanging="1440"/>
              <w:rPr>
                <w:rFonts w:cs="Arial"/>
                <w:bCs/>
                <w:color w:val="000000"/>
              </w:rPr>
            </w:pPr>
          </w:p>
          <w:p w:rsidR="00247D6A" w:rsidRDefault="00B15BAE">
            <w:pPr>
              <w:tabs>
                <w:tab w:val="left" w:pos="1440"/>
              </w:tabs>
              <w:ind w:left="1440" w:hanging="1440"/>
              <w:rPr>
                <w:rFonts w:cs="Arial"/>
                <w:bCs/>
                <w:color w:val="000000"/>
              </w:rPr>
            </w:pPr>
            <w:r>
              <w:rPr>
                <w:rFonts w:cs="Arial"/>
                <w:bCs/>
                <w:color w:val="000000"/>
              </w:rPr>
              <w:t>Mike Davies +44</w:t>
            </w:r>
            <w:r>
              <w:rPr>
                <w:rFonts w:eastAsiaTheme="minorHAnsi" w:cs="Tms Rmn"/>
                <w:color w:val="000000"/>
                <w:szCs w:val="20"/>
                <w:lang w:val="en-US"/>
              </w:rPr>
              <w:t xml:space="preserve"> (0) 7803 974136</w:t>
            </w:r>
          </w:p>
          <w:p w:rsidR="00247D6A" w:rsidRDefault="00FC7540">
            <w:pPr>
              <w:tabs>
                <w:tab w:val="left" w:pos="1440"/>
              </w:tabs>
              <w:ind w:left="1440" w:hanging="1440"/>
            </w:pPr>
            <w:hyperlink r:id="rId7" w:history="1">
              <w:r w:rsidR="00B15BAE">
                <w:rPr>
                  <w:rStyle w:val="Hyperlink"/>
                  <w:rFonts w:cs="Arial"/>
                  <w:bCs/>
                </w:rPr>
                <w:t>mike.davies@uk.pwc.com</w:t>
              </w:r>
            </w:hyperlink>
          </w:p>
          <w:p w:rsidR="00247D6A" w:rsidRDefault="00247D6A">
            <w:pPr>
              <w:tabs>
                <w:tab w:val="left" w:pos="1440"/>
              </w:tabs>
              <w:ind w:left="1440" w:hanging="1440"/>
            </w:pPr>
          </w:p>
          <w:p w:rsidR="00247D6A" w:rsidRDefault="00B15BAE">
            <w:pPr>
              <w:tabs>
                <w:tab w:val="left" w:pos="1440"/>
              </w:tabs>
              <w:ind w:left="1440" w:hanging="1440"/>
            </w:pPr>
            <w:r>
              <w:t>John Dwyer +44 (0) 20 7213 1133</w:t>
            </w:r>
          </w:p>
          <w:p w:rsidR="00247D6A" w:rsidRDefault="00FC7540">
            <w:pPr>
              <w:tabs>
                <w:tab w:val="left" w:pos="1440"/>
              </w:tabs>
              <w:ind w:left="1440" w:hanging="1440"/>
            </w:pPr>
            <w:hyperlink r:id="rId8" w:history="1">
              <w:r w:rsidR="00B15BAE">
                <w:rPr>
                  <w:rStyle w:val="Hyperlink"/>
                </w:rPr>
                <w:t>john.p.dwyer@uk.pwc.com</w:t>
              </w:r>
            </w:hyperlink>
          </w:p>
          <w:p w:rsidR="00247D6A" w:rsidRDefault="00247D6A">
            <w:pPr>
              <w:tabs>
                <w:tab w:val="left" w:pos="1440"/>
              </w:tabs>
              <w:ind w:left="1440" w:hanging="1440"/>
            </w:pPr>
          </w:p>
          <w:p w:rsidR="00247D6A" w:rsidRDefault="00B15BAE">
            <w:pPr>
              <w:tabs>
                <w:tab w:val="left" w:pos="1440"/>
              </w:tabs>
              <w:ind w:left="1440" w:hanging="1440"/>
            </w:pPr>
            <w:r>
              <w:t>Nick Page +44 (0) 20 7213 1442</w:t>
            </w:r>
          </w:p>
          <w:p w:rsidR="00247D6A" w:rsidRDefault="00FC7540">
            <w:pPr>
              <w:tabs>
                <w:tab w:val="left" w:pos="1440"/>
              </w:tabs>
              <w:ind w:left="1440" w:hanging="1440"/>
            </w:pPr>
            <w:hyperlink r:id="rId9" w:history="1">
              <w:r w:rsidR="00B15BAE">
                <w:rPr>
                  <w:rStyle w:val="Hyperlink"/>
                </w:rPr>
                <w:t>nick.r.page@uk.pwc.com</w:t>
              </w:r>
            </w:hyperlink>
          </w:p>
          <w:p w:rsidR="00247D6A" w:rsidRDefault="00247D6A">
            <w:pPr>
              <w:tabs>
                <w:tab w:val="left" w:pos="1440"/>
              </w:tabs>
              <w:ind w:left="1440" w:hanging="1440"/>
            </w:pPr>
          </w:p>
          <w:p w:rsidR="00247D6A" w:rsidRDefault="00B15BAE">
            <w:pPr>
              <w:tabs>
                <w:tab w:val="left" w:pos="1440"/>
              </w:tabs>
              <w:rPr>
                <w:rFonts w:cs="Arial"/>
                <w:bCs/>
                <w:color w:val="000000"/>
                <w:lang w:val="it-IT"/>
              </w:rPr>
            </w:pPr>
            <w:r>
              <w:rPr>
                <w:rFonts w:cs="Arial"/>
                <w:bCs/>
                <w:color w:val="000000"/>
                <w:lang w:val="it-IT"/>
              </w:rPr>
              <w:t>3</w:t>
            </w:r>
          </w:p>
          <w:p w:rsidR="00247D6A" w:rsidRDefault="00247D6A">
            <w:pPr>
              <w:tabs>
                <w:tab w:val="left" w:pos="1440"/>
              </w:tabs>
            </w:pPr>
          </w:p>
        </w:tc>
      </w:tr>
      <w:tr w:rsidR="00247D6A">
        <w:tc>
          <w:tcPr>
            <w:tcW w:w="2268" w:type="dxa"/>
          </w:tcPr>
          <w:p w:rsidR="00247D6A" w:rsidRDefault="00247D6A">
            <w:pPr>
              <w:spacing w:line="240" w:lineRule="auto"/>
              <w:rPr>
                <w:i/>
              </w:rPr>
            </w:pPr>
          </w:p>
        </w:tc>
        <w:tc>
          <w:tcPr>
            <w:tcW w:w="4645" w:type="dxa"/>
          </w:tcPr>
          <w:p w:rsidR="00247D6A" w:rsidRDefault="00247D6A">
            <w:pPr>
              <w:tabs>
                <w:tab w:val="left" w:pos="1440"/>
              </w:tabs>
              <w:ind w:left="1440" w:hanging="1440"/>
              <w:rPr>
                <w:rFonts w:cs="Arial"/>
                <w:bCs/>
                <w:color w:val="000000"/>
              </w:rPr>
            </w:pPr>
          </w:p>
        </w:tc>
      </w:tr>
    </w:tbl>
    <w:p w:rsidR="00247D6A" w:rsidRDefault="00247D6A">
      <w:pPr>
        <w:pStyle w:val="Title"/>
        <w:rPr>
          <w:rFonts w:ascii="Georgia" w:hAnsi="Georgia"/>
        </w:rPr>
      </w:pPr>
    </w:p>
    <w:p w:rsidR="00247D6A" w:rsidRPr="004D7234" w:rsidRDefault="00B15BAE" w:rsidP="004D7234">
      <w:pPr>
        <w:autoSpaceDE w:val="0"/>
        <w:autoSpaceDN w:val="0"/>
        <w:adjustRightInd w:val="0"/>
        <w:jc w:val="center"/>
        <w:rPr>
          <w:rFonts w:cs="Arial"/>
          <w:b/>
          <w:i/>
          <w:color w:val="000000"/>
          <w:sz w:val="24"/>
          <w:szCs w:val="24"/>
          <w:lang w:eastAsia="en-GB"/>
        </w:rPr>
      </w:pPr>
      <w:r w:rsidRPr="004D7234">
        <w:rPr>
          <w:rFonts w:cs="Arial"/>
          <w:b/>
          <w:i/>
          <w:color w:val="000000"/>
          <w:sz w:val="24"/>
          <w:szCs w:val="24"/>
          <w:lang w:eastAsia="en-GB"/>
        </w:rPr>
        <w:t xml:space="preserve">The rise in investment by High Growth Markets into mature markets represents a </w:t>
      </w:r>
      <w:r w:rsidR="004D7234" w:rsidRPr="004D7234">
        <w:rPr>
          <w:rFonts w:cs="Arial"/>
          <w:b/>
          <w:i/>
          <w:color w:val="000000"/>
          <w:sz w:val="24"/>
          <w:szCs w:val="24"/>
          <w:lang w:eastAsia="en-GB"/>
        </w:rPr>
        <w:t>whole new M&amp;A dynamic, says PwC</w:t>
      </w:r>
    </w:p>
    <w:p w:rsidR="00247D6A" w:rsidRDefault="00247D6A">
      <w:pPr>
        <w:autoSpaceDE w:val="0"/>
        <w:autoSpaceDN w:val="0"/>
        <w:adjustRightInd w:val="0"/>
        <w:rPr>
          <w:rFonts w:cs="Arial"/>
          <w:b/>
          <w:color w:val="000000"/>
          <w:sz w:val="24"/>
          <w:szCs w:val="24"/>
          <w:lang w:eastAsia="en-GB"/>
        </w:rPr>
      </w:pPr>
    </w:p>
    <w:p w:rsidR="00247D6A" w:rsidRDefault="00B15BAE">
      <w:pPr>
        <w:autoSpaceDE w:val="0"/>
        <w:autoSpaceDN w:val="0"/>
        <w:adjustRightInd w:val="0"/>
        <w:rPr>
          <w:rFonts w:cs="Arial"/>
          <w:i/>
          <w:color w:val="000000"/>
          <w:sz w:val="24"/>
          <w:szCs w:val="24"/>
          <w:lang w:eastAsia="en-GB"/>
        </w:rPr>
      </w:pPr>
      <w:r>
        <w:rPr>
          <w:rFonts w:cs="Arial"/>
          <w:i/>
          <w:color w:val="000000"/>
          <w:sz w:val="24"/>
          <w:szCs w:val="24"/>
          <w:lang w:eastAsia="en-GB"/>
        </w:rPr>
        <w:t>But it is critical for buyers and sellers to gain a clear understanding of what each wants from the deal for there to be a successful outcome.</w:t>
      </w:r>
    </w:p>
    <w:p w:rsidR="00247D6A" w:rsidRDefault="00247D6A">
      <w:pPr>
        <w:autoSpaceDE w:val="0"/>
        <w:autoSpaceDN w:val="0"/>
        <w:adjustRightInd w:val="0"/>
        <w:rPr>
          <w:rFonts w:cs="Arial"/>
          <w:i/>
          <w:color w:val="000000"/>
          <w:sz w:val="24"/>
          <w:szCs w:val="24"/>
          <w:lang w:eastAsia="en-GB"/>
        </w:rPr>
      </w:pPr>
    </w:p>
    <w:p w:rsidR="00247D6A" w:rsidRDefault="00247D6A">
      <w:pPr>
        <w:autoSpaceDE w:val="0"/>
        <w:autoSpaceDN w:val="0"/>
        <w:adjustRightInd w:val="0"/>
        <w:spacing w:line="240" w:lineRule="auto"/>
        <w:rPr>
          <w:rFonts w:ascii="Helv" w:hAnsi="Helv" w:cs="Helv"/>
          <w:i/>
          <w:iCs/>
          <w:color w:val="000000"/>
          <w:szCs w:val="20"/>
          <w:lang w:eastAsia="en-GB"/>
        </w:rPr>
      </w:pPr>
    </w:p>
    <w:p w:rsidR="00247D6A" w:rsidRDefault="00A97282">
      <w:pPr>
        <w:autoSpaceDE w:val="0"/>
        <w:autoSpaceDN w:val="0"/>
        <w:adjustRightInd w:val="0"/>
        <w:spacing w:line="240" w:lineRule="auto"/>
        <w:rPr>
          <w:rFonts w:cs="Helv"/>
          <w:iCs/>
          <w:color w:val="000000"/>
          <w:sz w:val="22"/>
          <w:lang w:eastAsia="en-GB"/>
        </w:rPr>
      </w:pPr>
      <w:r>
        <w:rPr>
          <w:rFonts w:cs="Helv"/>
          <w:b/>
          <w:iCs/>
          <w:color w:val="000000"/>
          <w:sz w:val="22"/>
          <w:lang w:eastAsia="en-GB"/>
        </w:rPr>
        <w:t xml:space="preserve">London, </w:t>
      </w:r>
      <w:r w:rsidR="00B15BAE">
        <w:rPr>
          <w:rFonts w:cs="Helv"/>
          <w:b/>
          <w:iCs/>
          <w:color w:val="000000"/>
          <w:sz w:val="22"/>
          <w:lang w:eastAsia="en-GB"/>
        </w:rPr>
        <w:t>6</w:t>
      </w:r>
      <w:r w:rsidR="00B15BAE">
        <w:rPr>
          <w:rFonts w:cs="Helv"/>
          <w:b/>
          <w:iCs/>
          <w:color w:val="000000"/>
          <w:sz w:val="22"/>
          <w:vertAlign w:val="superscript"/>
          <w:lang w:eastAsia="en-GB"/>
        </w:rPr>
        <w:t>th</w:t>
      </w:r>
      <w:r w:rsidR="00B15BAE">
        <w:rPr>
          <w:rFonts w:cs="Helv"/>
          <w:b/>
          <w:iCs/>
          <w:color w:val="000000"/>
          <w:sz w:val="22"/>
          <w:lang w:eastAsia="en-GB"/>
        </w:rPr>
        <w:t xml:space="preserve"> March 2013</w:t>
      </w:r>
      <w:r w:rsidRPr="00A97282">
        <w:rPr>
          <w:rFonts w:cs="Helv"/>
          <w:iCs/>
          <w:color w:val="000000"/>
          <w:sz w:val="22"/>
          <w:lang w:eastAsia="en-GB"/>
        </w:rPr>
        <w:t xml:space="preserve"> </w:t>
      </w:r>
      <w:r w:rsidRPr="00A97282">
        <w:rPr>
          <w:rFonts w:cs="Helv"/>
          <w:iCs/>
          <w:color w:val="000000"/>
          <w:sz w:val="22"/>
          <w:lang w:eastAsia="en-GB"/>
        </w:rPr>
        <w:noBreakHyphen/>
      </w:r>
      <w:r w:rsidR="00B15BAE">
        <w:rPr>
          <w:rFonts w:cs="Helv"/>
          <w:iCs/>
          <w:color w:val="000000"/>
          <w:sz w:val="22"/>
          <w:lang w:eastAsia="en-GB"/>
        </w:rPr>
        <w:t xml:space="preserve"> A rise in the number of high growth market (HGM) companies investing into mature markets is set to inject a new dynamism into cross-border mergers and acquisitions (M&amp;A) in the coming years, says PwC in a new report titled </w:t>
      </w:r>
      <w:r w:rsidR="00B15BAE">
        <w:rPr>
          <w:rFonts w:cs="Helv"/>
          <w:b/>
          <w:i/>
          <w:iCs/>
          <w:color w:val="000000"/>
          <w:sz w:val="22"/>
          <w:lang w:eastAsia="en-GB"/>
        </w:rPr>
        <w:t xml:space="preserve">Resetting the Compass: </w:t>
      </w:r>
      <w:r w:rsidR="00B15BAE">
        <w:rPr>
          <w:rFonts w:cs="Helv"/>
          <w:b/>
          <w:i/>
          <w:iCs/>
          <w:sz w:val="22"/>
          <w:lang w:eastAsia="en-GB"/>
        </w:rPr>
        <w:t>Navigating success in deal-making for mature market sellers and high growth market buyers</w:t>
      </w:r>
      <w:r w:rsidR="004D7234">
        <w:rPr>
          <w:rFonts w:cs="Helv"/>
          <w:b/>
          <w:i/>
          <w:iCs/>
          <w:sz w:val="22"/>
          <w:lang w:eastAsia="en-GB"/>
        </w:rPr>
        <w:t>.</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iCs/>
          <w:color w:val="000000"/>
          <w:sz w:val="22"/>
          <w:lang w:eastAsia="en-GB"/>
        </w:rPr>
        <w:t xml:space="preserve">The research was conducted by means of interviews with PwC partners and deal specialists globally, and with </w:t>
      </w:r>
      <w:r>
        <w:rPr>
          <w:rFonts w:cs="Helv"/>
          <w:iCs/>
          <w:sz w:val="22"/>
          <w:lang w:eastAsia="en-GB"/>
        </w:rPr>
        <w:t>clients</w:t>
      </w:r>
      <w:r>
        <w:rPr>
          <w:rFonts w:cs="Helv"/>
          <w:iCs/>
          <w:color w:val="000000"/>
          <w:sz w:val="22"/>
          <w:lang w:eastAsia="en-GB"/>
        </w:rPr>
        <w:t xml:space="preserve"> of PwC. It shows that with major differences in the areas of heritage, international experience and decision-making, it is even more important for buyers from high growth markets and targets/sellers in developed markets to gain a clear understanding of each other’s aims and ambitions in order to complete a successful deal.</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iCs/>
          <w:color w:val="000000"/>
          <w:sz w:val="22"/>
          <w:lang w:eastAsia="en-GB"/>
        </w:rPr>
        <w:t>Throughout the paper and analysis, ‘High Growth Markets’ are identified as China, India, the Gulf States/Saudi Arabia, Russia and Brazil; while the ‘mature market’ consists of the US, UK, Germany, Australia, Japan and Canada.</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iCs/>
          <w:color w:val="000000"/>
          <w:sz w:val="22"/>
          <w:lang w:eastAsia="en-GB"/>
        </w:rPr>
        <w:t xml:space="preserve">Currently, HGM company acquisitions of mature market targets represent just 1.5% of global M&amp;A and </w:t>
      </w:r>
      <w:r>
        <w:rPr>
          <w:rFonts w:cs="Helv"/>
          <w:iCs/>
          <w:sz w:val="22"/>
          <w:lang w:eastAsia="en-GB"/>
        </w:rPr>
        <w:t>5.3%</w:t>
      </w:r>
      <w:r>
        <w:rPr>
          <w:rFonts w:cs="Helv"/>
          <w:iCs/>
          <w:color w:val="000000"/>
          <w:sz w:val="22"/>
          <w:lang w:eastAsia="en-GB"/>
        </w:rPr>
        <w:t xml:space="preserve"> of global cross-border deals; but this is on the rise. Large and mid-sized private companies have now joined the state-backed investors who were among the first to acquire mature market targets. And the range of industry M&amp;A targets is also widening to include everything from energy, raw materials and engineering to media, retail and consumer goods companies.</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iCs/>
          <w:color w:val="000000"/>
          <w:sz w:val="22"/>
          <w:lang w:eastAsia="en-GB"/>
        </w:rPr>
        <w:lastRenderedPageBreak/>
        <w:t>Increasingly, HGM companies are unlocking or accelerating their domestic opportunities by acquiring state-of-the-art technology and expertise or buying into established global brands.</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iCs/>
          <w:color w:val="000000"/>
          <w:sz w:val="22"/>
          <w:lang w:eastAsia="en-GB"/>
        </w:rPr>
        <w:t>John Dwyer, Global Deals Leader at PwC said:</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ind w:left="720"/>
        <w:rPr>
          <w:rFonts w:cs="Helv"/>
          <w:iCs/>
          <w:color w:val="000000"/>
          <w:sz w:val="22"/>
          <w:lang w:eastAsia="en-GB"/>
        </w:rPr>
      </w:pPr>
      <w:r>
        <w:rPr>
          <w:rFonts w:cs="Helv"/>
          <w:iCs/>
          <w:color w:val="000000"/>
          <w:sz w:val="22"/>
          <w:lang w:eastAsia="en-GB"/>
        </w:rPr>
        <w:t>“Through deals, they are bringing their products and those of others to new countries by buying into established distribution channels, brand names and know-how. A growing number of HGM companies are already poised to go from being a national leader to a global one, and are using strategic M&amp;A to accelerate that move.”</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iCs/>
          <w:color w:val="000000"/>
          <w:sz w:val="22"/>
          <w:lang w:eastAsia="en-GB"/>
        </w:rPr>
        <w:t>The PwC report looks at how the rise of HGM companies acquiring mature market firms brings not just a change of direction to the M&amp;A market, but a new dynamic. For HGM companies and mature market companies there can be contrasting differences in cultural, political and economic context and processes.</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iCs/>
          <w:color w:val="000000"/>
          <w:sz w:val="22"/>
          <w:lang w:eastAsia="en-GB"/>
        </w:rPr>
        <w:t>Nick Page, PwC Transaction Services partner, added:</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ind w:left="720"/>
      </w:pPr>
      <w:r>
        <w:rPr>
          <w:rFonts w:cs="Helv"/>
          <w:iCs/>
          <w:color w:val="000000"/>
          <w:sz w:val="22"/>
          <w:lang w:eastAsia="en-GB"/>
        </w:rPr>
        <w:t>“There is no simple recipe for a great deal; but when the ingredients change, it becomes even more important that both buyers and sellers know what it is the other wants from the deal. This issue came up repeatedly in conversations with our clients and deals partners worldwide.”</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iCs/>
          <w:color w:val="000000"/>
          <w:sz w:val="22"/>
          <w:lang w:eastAsia="en-GB"/>
        </w:rPr>
        <w:t xml:space="preserve">Here are just some of PwC’s suggested measures for buyers and sellers in deals between high growth and mature market companies: </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b/>
          <w:iCs/>
          <w:color w:val="000000"/>
          <w:sz w:val="22"/>
          <w:lang w:eastAsia="en-GB"/>
        </w:rPr>
        <w:t>Addressing valuation mismatches:</w:t>
      </w:r>
      <w:r>
        <w:rPr>
          <w:rFonts w:cs="Helv"/>
          <w:iCs/>
          <w:color w:val="000000"/>
          <w:sz w:val="22"/>
          <w:lang w:eastAsia="en-GB"/>
        </w:rPr>
        <w:t xml:space="preserve"> </w:t>
      </w:r>
    </w:p>
    <w:p w:rsidR="00247D6A" w:rsidRDefault="00B15BAE">
      <w:pPr>
        <w:pStyle w:val="ListParagraph"/>
        <w:numPr>
          <w:ilvl w:val="0"/>
          <w:numId w:val="4"/>
        </w:numPr>
        <w:autoSpaceDE w:val="0"/>
        <w:autoSpaceDN w:val="0"/>
        <w:adjustRightInd w:val="0"/>
        <w:spacing w:line="240" w:lineRule="auto"/>
        <w:rPr>
          <w:rFonts w:cs="Helv"/>
          <w:iCs/>
          <w:color w:val="000000"/>
          <w:sz w:val="22"/>
          <w:lang w:eastAsia="en-GB"/>
        </w:rPr>
      </w:pPr>
      <w:r>
        <w:rPr>
          <w:rFonts w:cs="Helv"/>
          <w:iCs/>
          <w:color w:val="000000"/>
          <w:sz w:val="22"/>
          <w:lang w:eastAsia="en-GB"/>
        </w:rPr>
        <w:t>Greater transparency by both buyers and sellers around deal drivers can increase trust/manage expectations</w:t>
      </w:r>
    </w:p>
    <w:p w:rsidR="00247D6A" w:rsidRDefault="00B15BAE">
      <w:pPr>
        <w:pStyle w:val="ListParagraph"/>
        <w:numPr>
          <w:ilvl w:val="0"/>
          <w:numId w:val="4"/>
        </w:numPr>
        <w:autoSpaceDE w:val="0"/>
        <w:autoSpaceDN w:val="0"/>
        <w:adjustRightInd w:val="0"/>
        <w:spacing w:line="240" w:lineRule="auto"/>
        <w:rPr>
          <w:rFonts w:cs="Helv"/>
          <w:iCs/>
          <w:color w:val="000000"/>
          <w:sz w:val="22"/>
          <w:lang w:eastAsia="en-GB"/>
        </w:rPr>
      </w:pPr>
      <w:r>
        <w:rPr>
          <w:rFonts w:cs="Helv"/>
          <w:iCs/>
          <w:color w:val="000000"/>
          <w:sz w:val="22"/>
          <w:lang w:eastAsia="en-GB"/>
        </w:rPr>
        <w:t>Sellers should not assume that an HGM company may have easier access to capital</w:t>
      </w:r>
    </w:p>
    <w:p w:rsidR="00247D6A" w:rsidRDefault="00B15BAE">
      <w:pPr>
        <w:pStyle w:val="ListParagraph"/>
        <w:numPr>
          <w:ilvl w:val="0"/>
          <w:numId w:val="4"/>
        </w:numPr>
        <w:autoSpaceDE w:val="0"/>
        <w:autoSpaceDN w:val="0"/>
        <w:adjustRightInd w:val="0"/>
        <w:spacing w:line="240" w:lineRule="auto"/>
        <w:rPr>
          <w:rFonts w:cs="Helv"/>
          <w:iCs/>
          <w:color w:val="000000"/>
          <w:sz w:val="22"/>
          <w:lang w:eastAsia="en-GB"/>
        </w:rPr>
      </w:pPr>
      <w:r>
        <w:rPr>
          <w:rFonts w:cs="Helv"/>
          <w:iCs/>
          <w:color w:val="000000"/>
          <w:sz w:val="22"/>
          <w:lang w:eastAsia="en-GB"/>
        </w:rPr>
        <w:t>Sellers need to understand the buyer’s investment timeframe and shareholder environment before setting premium</w:t>
      </w:r>
    </w:p>
    <w:p w:rsidR="00247D6A" w:rsidRDefault="00B15BAE">
      <w:pPr>
        <w:pStyle w:val="ListParagraph"/>
        <w:numPr>
          <w:ilvl w:val="0"/>
          <w:numId w:val="4"/>
        </w:numPr>
        <w:autoSpaceDE w:val="0"/>
        <w:autoSpaceDN w:val="0"/>
        <w:adjustRightInd w:val="0"/>
        <w:spacing w:line="240" w:lineRule="auto"/>
        <w:rPr>
          <w:rFonts w:cs="Helv"/>
          <w:iCs/>
          <w:color w:val="000000"/>
          <w:sz w:val="22"/>
          <w:lang w:eastAsia="en-GB"/>
        </w:rPr>
      </w:pPr>
      <w:r>
        <w:rPr>
          <w:rFonts w:cs="Helv"/>
          <w:iCs/>
          <w:color w:val="000000"/>
          <w:sz w:val="22"/>
          <w:lang w:eastAsia="en-GB"/>
        </w:rPr>
        <w:t>Clarify valuation techniques to ensure both parties are working with the same parameters.</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b/>
          <w:iCs/>
          <w:color w:val="000000"/>
          <w:sz w:val="22"/>
          <w:lang w:eastAsia="en-GB"/>
        </w:rPr>
        <w:t>Agreeing a timeframe for completion:</w:t>
      </w:r>
      <w:r>
        <w:rPr>
          <w:rFonts w:cs="Helv"/>
          <w:iCs/>
          <w:color w:val="000000"/>
          <w:sz w:val="22"/>
          <w:lang w:eastAsia="en-GB"/>
        </w:rPr>
        <w:t xml:space="preserve"> </w:t>
      </w:r>
    </w:p>
    <w:p w:rsidR="00247D6A" w:rsidRDefault="00B15BAE">
      <w:pPr>
        <w:pStyle w:val="ListParagraph"/>
        <w:numPr>
          <w:ilvl w:val="0"/>
          <w:numId w:val="5"/>
        </w:numPr>
        <w:autoSpaceDE w:val="0"/>
        <w:autoSpaceDN w:val="0"/>
        <w:adjustRightInd w:val="0"/>
        <w:spacing w:line="240" w:lineRule="auto"/>
        <w:rPr>
          <w:rFonts w:cs="Helv"/>
          <w:iCs/>
          <w:color w:val="000000"/>
          <w:sz w:val="22"/>
          <w:lang w:eastAsia="en-GB"/>
        </w:rPr>
      </w:pPr>
      <w:r>
        <w:rPr>
          <w:rFonts w:cs="Helv"/>
          <w:iCs/>
          <w:color w:val="000000"/>
          <w:sz w:val="22"/>
          <w:lang w:eastAsia="en-GB"/>
        </w:rPr>
        <w:t>Both parties need to understand what constitutes a ‘normal’ timespan for negotiations and completion</w:t>
      </w:r>
    </w:p>
    <w:p w:rsidR="00247D6A" w:rsidRDefault="00B15BAE">
      <w:pPr>
        <w:pStyle w:val="ListParagraph"/>
        <w:numPr>
          <w:ilvl w:val="0"/>
          <w:numId w:val="5"/>
        </w:numPr>
        <w:autoSpaceDE w:val="0"/>
        <w:autoSpaceDN w:val="0"/>
        <w:adjustRightInd w:val="0"/>
        <w:spacing w:line="240" w:lineRule="auto"/>
        <w:rPr>
          <w:rFonts w:cs="Helv"/>
          <w:iCs/>
          <w:color w:val="000000"/>
          <w:sz w:val="22"/>
          <w:lang w:eastAsia="en-GB"/>
        </w:rPr>
      </w:pPr>
      <w:r>
        <w:rPr>
          <w:rFonts w:cs="Helv"/>
          <w:iCs/>
          <w:color w:val="000000"/>
          <w:sz w:val="22"/>
          <w:lang w:eastAsia="en-GB"/>
        </w:rPr>
        <w:t>Buyers should educate sellers early if special approval processes need to be followed</w:t>
      </w:r>
    </w:p>
    <w:p w:rsidR="00247D6A" w:rsidRDefault="00B15BAE">
      <w:pPr>
        <w:pStyle w:val="ListParagraph"/>
        <w:numPr>
          <w:ilvl w:val="0"/>
          <w:numId w:val="5"/>
        </w:numPr>
        <w:autoSpaceDE w:val="0"/>
        <w:autoSpaceDN w:val="0"/>
        <w:adjustRightInd w:val="0"/>
        <w:spacing w:line="240" w:lineRule="auto"/>
        <w:rPr>
          <w:rFonts w:cs="Helv"/>
          <w:iCs/>
          <w:color w:val="000000"/>
          <w:sz w:val="22"/>
          <w:lang w:eastAsia="en-GB"/>
        </w:rPr>
      </w:pPr>
      <w:r>
        <w:rPr>
          <w:rFonts w:cs="Helv"/>
          <w:iCs/>
          <w:color w:val="000000"/>
          <w:sz w:val="22"/>
          <w:lang w:eastAsia="en-GB"/>
        </w:rPr>
        <w:t xml:space="preserve">Foster relationships with key decision-makers at an early stage, so that dialogue is possible if the deal timetable begins to slip. </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b/>
          <w:iCs/>
          <w:color w:val="000000"/>
          <w:sz w:val="22"/>
          <w:lang w:eastAsia="en-GB"/>
        </w:rPr>
        <w:t>Connecting with decision-makers:</w:t>
      </w:r>
      <w:r>
        <w:rPr>
          <w:rFonts w:cs="Helv"/>
          <w:iCs/>
          <w:color w:val="000000"/>
          <w:sz w:val="22"/>
          <w:lang w:eastAsia="en-GB"/>
        </w:rPr>
        <w:t xml:space="preserve"> </w:t>
      </w:r>
    </w:p>
    <w:p w:rsidR="00247D6A" w:rsidRDefault="00B15BAE">
      <w:pPr>
        <w:pStyle w:val="ListParagraph"/>
        <w:numPr>
          <w:ilvl w:val="0"/>
          <w:numId w:val="6"/>
        </w:numPr>
        <w:autoSpaceDE w:val="0"/>
        <w:autoSpaceDN w:val="0"/>
        <w:adjustRightInd w:val="0"/>
        <w:spacing w:line="240" w:lineRule="auto"/>
        <w:rPr>
          <w:rFonts w:cs="Helv"/>
          <w:iCs/>
          <w:color w:val="000000"/>
          <w:sz w:val="22"/>
          <w:lang w:eastAsia="en-GB"/>
        </w:rPr>
      </w:pPr>
      <w:r>
        <w:rPr>
          <w:rFonts w:cs="Helv"/>
          <w:iCs/>
          <w:color w:val="000000"/>
          <w:sz w:val="22"/>
          <w:lang w:eastAsia="en-GB"/>
        </w:rPr>
        <w:t>Take time early on to understand decision-making hierarchies – and who has the final say. This is particularly true for deals involving state-owned enterprises</w:t>
      </w:r>
    </w:p>
    <w:p w:rsidR="00247D6A" w:rsidRDefault="00B15BAE">
      <w:pPr>
        <w:pStyle w:val="ListParagraph"/>
        <w:numPr>
          <w:ilvl w:val="0"/>
          <w:numId w:val="6"/>
        </w:numPr>
        <w:autoSpaceDE w:val="0"/>
        <w:autoSpaceDN w:val="0"/>
        <w:adjustRightInd w:val="0"/>
        <w:spacing w:line="240" w:lineRule="auto"/>
        <w:rPr>
          <w:rFonts w:cs="Helv"/>
          <w:iCs/>
          <w:color w:val="000000"/>
          <w:sz w:val="22"/>
          <w:lang w:eastAsia="en-GB"/>
        </w:rPr>
      </w:pPr>
      <w:r>
        <w:rPr>
          <w:rFonts w:cs="Helv"/>
          <w:iCs/>
          <w:color w:val="000000"/>
          <w:sz w:val="22"/>
          <w:lang w:eastAsia="en-GB"/>
        </w:rPr>
        <w:t>Buyers bidding for targets with private equity (PE) involvement should have direct contact with the PE side as well as the target company’s management</w:t>
      </w:r>
    </w:p>
    <w:p w:rsidR="00247D6A" w:rsidRDefault="00B15BAE">
      <w:pPr>
        <w:pStyle w:val="ListParagraph"/>
        <w:numPr>
          <w:ilvl w:val="0"/>
          <w:numId w:val="6"/>
        </w:numPr>
        <w:autoSpaceDE w:val="0"/>
        <w:autoSpaceDN w:val="0"/>
        <w:adjustRightInd w:val="0"/>
        <w:spacing w:line="240" w:lineRule="auto"/>
        <w:rPr>
          <w:rFonts w:cs="Helv"/>
          <w:iCs/>
          <w:color w:val="000000"/>
          <w:sz w:val="22"/>
          <w:lang w:eastAsia="en-GB"/>
        </w:rPr>
      </w:pPr>
      <w:r>
        <w:rPr>
          <w:rFonts w:cs="Helv"/>
          <w:iCs/>
          <w:color w:val="000000"/>
          <w:sz w:val="22"/>
          <w:lang w:eastAsia="en-GB"/>
        </w:rPr>
        <w:t>Bear in mind that the time needed to develop relationships varies greatly from culture to culture</w:t>
      </w:r>
    </w:p>
    <w:p w:rsidR="00247D6A" w:rsidRDefault="00247D6A">
      <w:pPr>
        <w:autoSpaceDE w:val="0"/>
        <w:autoSpaceDN w:val="0"/>
        <w:adjustRightInd w:val="0"/>
        <w:spacing w:line="240" w:lineRule="auto"/>
        <w:ind w:left="360"/>
        <w:rPr>
          <w:rFonts w:cs="Helv"/>
          <w:iCs/>
          <w:color w:val="000000"/>
          <w:sz w:val="22"/>
          <w:lang w:eastAsia="en-GB"/>
        </w:rPr>
      </w:pP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b/>
          <w:iCs/>
          <w:color w:val="000000"/>
          <w:sz w:val="22"/>
          <w:lang w:eastAsia="en-GB"/>
        </w:rPr>
        <w:lastRenderedPageBreak/>
        <w:t>Reconciling deal process differences:</w:t>
      </w:r>
      <w:r>
        <w:rPr>
          <w:rFonts w:cs="Helv"/>
          <w:iCs/>
          <w:color w:val="000000"/>
          <w:sz w:val="22"/>
          <w:lang w:eastAsia="en-GB"/>
        </w:rPr>
        <w:t xml:space="preserve"> </w:t>
      </w:r>
    </w:p>
    <w:p w:rsidR="00247D6A" w:rsidRDefault="00B15BAE">
      <w:pPr>
        <w:pStyle w:val="ListParagraph"/>
        <w:numPr>
          <w:ilvl w:val="0"/>
          <w:numId w:val="7"/>
        </w:numPr>
        <w:autoSpaceDE w:val="0"/>
        <w:autoSpaceDN w:val="0"/>
        <w:adjustRightInd w:val="0"/>
        <w:spacing w:line="240" w:lineRule="auto"/>
        <w:rPr>
          <w:rFonts w:cs="Helv"/>
          <w:iCs/>
          <w:color w:val="000000"/>
          <w:sz w:val="22"/>
          <w:lang w:eastAsia="en-GB"/>
        </w:rPr>
      </w:pPr>
      <w:r>
        <w:rPr>
          <w:rFonts w:cs="Helv"/>
          <w:iCs/>
          <w:color w:val="000000"/>
          <w:sz w:val="22"/>
          <w:lang w:eastAsia="en-GB"/>
        </w:rPr>
        <w:t>Plotting the deal process and due diligence approaches of buyer and seller will highlight where they diverge</w:t>
      </w:r>
    </w:p>
    <w:p w:rsidR="00247D6A" w:rsidRDefault="00B15BAE">
      <w:pPr>
        <w:pStyle w:val="ListParagraph"/>
        <w:numPr>
          <w:ilvl w:val="0"/>
          <w:numId w:val="7"/>
        </w:numPr>
        <w:autoSpaceDE w:val="0"/>
        <w:autoSpaceDN w:val="0"/>
        <w:adjustRightInd w:val="0"/>
        <w:spacing w:line="240" w:lineRule="auto"/>
        <w:rPr>
          <w:rFonts w:cs="Helv"/>
          <w:iCs/>
          <w:color w:val="000000"/>
          <w:sz w:val="22"/>
          <w:lang w:eastAsia="en-GB"/>
        </w:rPr>
      </w:pPr>
      <w:r>
        <w:rPr>
          <w:rFonts w:cs="Helv"/>
          <w:iCs/>
          <w:color w:val="000000"/>
          <w:sz w:val="22"/>
          <w:lang w:eastAsia="en-GB"/>
        </w:rPr>
        <w:t>Communicating the reasoning behind due diligence practices can make the other party more comfortable/willing to cooperate with the process</w:t>
      </w:r>
    </w:p>
    <w:p w:rsidR="00247D6A" w:rsidRDefault="00B15BAE">
      <w:pPr>
        <w:pStyle w:val="ListParagraph"/>
        <w:numPr>
          <w:ilvl w:val="0"/>
          <w:numId w:val="7"/>
        </w:numPr>
        <w:autoSpaceDE w:val="0"/>
        <w:autoSpaceDN w:val="0"/>
        <w:adjustRightInd w:val="0"/>
        <w:spacing w:line="240" w:lineRule="auto"/>
        <w:rPr>
          <w:rFonts w:cs="Helv"/>
          <w:iCs/>
          <w:color w:val="000000"/>
          <w:sz w:val="22"/>
          <w:lang w:eastAsia="en-GB"/>
        </w:rPr>
      </w:pPr>
      <w:r>
        <w:rPr>
          <w:rFonts w:cs="Helv"/>
          <w:iCs/>
          <w:color w:val="000000"/>
          <w:sz w:val="22"/>
          <w:lang w:eastAsia="en-GB"/>
        </w:rPr>
        <w:t>Be aware that high growth markets can have very different reporting, tax and legal demands and systems that can slow the due diligence process and necessitate more requests for information.</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jc w:val="right"/>
        <w:rPr>
          <w:rFonts w:cs="Helv"/>
          <w:iCs/>
          <w:color w:val="000000"/>
          <w:sz w:val="22"/>
          <w:lang w:eastAsia="en-GB"/>
        </w:rPr>
      </w:pPr>
      <w:r>
        <w:rPr>
          <w:rFonts w:cs="Helv"/>
          <w:iCs/>
          <w:color w:val="000000"/>
          <w:sz w:val="22"/>
          <w:lang w:eastAsia="en-GB"/>
        </w:rPr>
        <w:t>ENDS</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pStyle w:val="Standardheading"/>
        <w:rPr>
          <w:rFonts w:ascii="Georgia" w:hAnsi="Georgia"/>
        </w:rPr>
      </w:pPr>
      <w:r>
        <w:rPr>
          <w:rFonts w:ascii="Georgia" w:hAnsi="Georgia"/>
        </w:rPr>
        <w:t>Notes to editor:</w:t>
      </w:r>
    </w:p>
    <w:p w:rsidR="00247D6A" w:rsidRDefault="00247D6A">
      <w:pPr>
        <w:pStyle w:val="Standardheading"/>
        <w:rPr>
          <w:rFonts w:ascii="Georgia" w:hAnsi="Georgia"/>
        </w:rPr>
      </w:pPr>
    </w:p>
    <w:p w:rsidR="00247D6A" w:rsidRDefault="00B15BAE">
      <w:pPr>
        <w:pStyle w:val="Standardheading"/>
        <w:rPr>
          <w:rFonts w:ascii="Georgia" w:hAnsi="Georgia" w:cs="Helv"/>
          <w:b w:val="0"/>
          <w:iCs/>
          <w:color w:val="000000"/>
          <w:sz w:val="22"/>
          <w:lang w:eastAsia="en-GB"/>
        </w:rPr>
      </w:pPr>
      <w:r>
        <w:rPr>
          <w:rFonts w:ascii="Georgia" w:hAnsi="Georgia" w:cs="Helv"/>
          <w:b w:val="0"/>
          <w:iCs/>
          <w:color w:val="000000"/>
          <w:sz w:val="22"/>
          <w:lang w:eastAsia="en-GB"/>
        </w:rPr>
        <w:t xml:space="preserve">A copy of the report </w:t>
      </w:r>
      <w:r>
        <w:rPr>
          <w:rFonts w:ascii="Georgia" w:hAnsi="Georgia" w:cs="Helv"/>
          <w:i/>
          <w:iCs/>
          <w:color w:val="000000"/>
          <w:sz w:val="22"/>
          <w:lang w:eastAsia="en-GB"/>
        </w:rPr>
        <w:t xml:space="preserve">Resetting the Compass: Navigating success in deal-making for mature market sellers and high growth market buyers </w:t>
      </w:r>
      <w:r>
        <w:rPr>
          <w:rFonts w:ascii="Georgia" w:hAnsi="Georgia" w:cs="Helv"/>
          <w:b w:val="0"/>
          <w:iCs/>
          <w:color w:val="000000"/>
          <w:sz w:val="22"/>
          <w:lang w:eastAsia="en-GB"/>
        </w:rPr>
        <w:t>can be download at: www.pwc.com/hgm</w:t>
      </w:r>
    </w:p>
    <w:p w:rsidR="00247D6A" w:rsidRDefault="00247D6A">
      <w:pPr>
        <w:pStyle w:val="ListParagraph"/>
        <w:autoSpaceDE w:val="0"/>
        <w:autoSpaceDN w:val="0"/>
        <w:adjustRightInd w:val="0"/>
        <w:spacing w:line="240" w:lineRule="auto"/>
        <w:rPr>
          <w:b/>
        </w:rPr>
      </w:pPr>
    </w:p>
    <w:p w:rsidR="00247D6A" w:rsidRDefault="00247D6A">
      <w:pPr>
        <w:pStyle w:val="Standardheading"/>
        <w:rPr>
          <w:rFonts w:ascii="Georgia" w:hAnsi="Georgia"/>
        </w:rPr>
      </w:pPr>
    </w:p>
    <w:p w:rsidR="00247D6A" w:rsidRDefault="00B15BAE">
      <w:pPr>
        <w:autoSpaceDE w:val="0"/>
        <w:autoSpaceDN w:val="0"/>
        <w:adjustRightInd w:val="0"/>
        <w:spacing w:line="240" w:lineRule="auto"/>
        <w:rPr>
          <w:rFonts w:cs="Helv"/>
          <w:b/>
          <w:szCs w:val="20"/>
        </w:rPr>
      </w:pPr>
      <w:r>
        <w:rPr>
          <w:rFonts w:cs="Helv"/>
          <w:b/>
          <w:szCs w:val="20"/>
        </w:rPr>
        <w:t>About PwC</w:t>
      </w:r>
    </w:p>
    <w:p w:rsidR="00247D6A" w:rsidRDefault="00247D6A">
      <w:pPr>
        <w:spacing w:line="240" w:lineRule="auto"/>
        <w:rPr>
          <w:rFonts w:cs="Arial"/>
          <w:color w:val="000000"/>
          <w:szCs w:val="20"/>
          <w:lang w:val="en-US"/>
        </w:rPr>
      </w:pPr>
    </w:p>
    <w:p w:rsidR="00247D6A" w:rsidRDefault="00B15BAE">
      <w:pPr>
        <w:autoSpaceDE w:val="0"/>
        <w:autoSpaceDN w:val="0"/>
        <w:adjustRightInd w:val="0"/>
        <w:spacing w:line="240" w:lineRule="auto"/>
        <w:rPr>
          <w:rFonts w:cs="Helv"/>
          <w:iCs/>
          <w:color w:val="000000"/>
          <w:sz w:val="22"/>
          <w:lang w:eastAsia="en-GB"/>
        </w:rPr>
      </w:pPr>
      <w:r>
        <w:rPr>
          <w:rFonts w:cs="Helv"/>
          <w:iCs/>
          <w:color w:val="000000"/>
          <w:sz w:val="22"/>
          <w:lang w:eastAsia="en-GB"/>
        </w:rPr>
        <w:t>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w:t>
      </w:r>
      <w:hyperlink r:id="rId10" w:history="1">
        <w:r>
          <w:rPr>
            <w:rFonts w:cs="Helv"/>
            <w:iCs/>
            <w:color w:val="000000"/>
            <w:sz w:val="22"/>
            <w:lang w:eastAsia="en-GB"/>
          </w:rPr>
          <w:t xml:space="preserve"> www.pwc.com</w:t>
        </w:r>
      </w:hyperlink>
      <w:r>
        <w:rPr>
          <w:rFonts w:cs="Helv"/>
          <w:iCs/>
          <w:color w:val="000000"/>
          <w:sz w:val="22"/>
          <w:lang w:eastAsia="en-GB"/>
        </w:rPr>
        <w:t xml:space="preserve">. </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cs="Helv"/>
          <w:iCs/>
          <w:color w:val="000000"/>
          <w:sz w:val="22"/>
          <w:lang w:eastAsia="en-GB"/>
        </w:rPr>
      </w:pPr>
      <w:r>
        <w:rPr>
          <w:rFonts w:cs="Helv"/>
          <w:iCs/>
          <w:color w:val="000000"/>
          <w:sz w:val="22"/>
          <w:lang w:eastAsia="en-GB"/>
        </w:rPr>
        <w:t xml:space="preserve">PwC refers to the PwC network and/or one or more of its member firms, each of which is a separate legal entity. Please see </w:t>
      </w:r>
      <w:r>
        <w:rPr>
          <w:rFonts w:cs="Helv"/>
          <w:iCs/>
          <w:sz w:val="22"/>
          <w:lang w:eastAsia="en-GB"/>
        </w:rPr>
        <w:t>www.pwc.com/structure</w:t>
      </w:r>
      <w:r>
        <w:rPr>
          <w:rFonts w:cs="Helv"/>
          <w:iCs/>
          <w:color w:val="000000"/>
          <w:sz w:val="22"/>
          <w:lang w:eastAsia="en-GB"/>
        </w:rPr>
        <w:t xml:space="preserve"> for further details.</w:t>
      </w:r>
    </w:p>
    <w:p w:rsidR="00247D6A" w:rsidRDefault="00247D6A">
      <w:pPr>
        <w:autoSpaceDE w:val="0"/>
        <w:autoSpaceDN w:val="0"/>
        <w:adjustRightInd w:val="0"/>
        <w:spacing w:line="240" w:lineRule="auto"/>
        <w:rPr>
          <w:rFonts w:cs="Helv"/>
          <w:iCs/>
          <w:color w:val="000000"/>
          <w:sz w:val="22"/>
          <w:lang w:eastAsia="en-GB"/>
        </w:rPr>
      </w:pPr>
    </w:p>
    <w:p w:rsidR="00247D6A" w:rsidRDefault="00B15BAE">
      <w:pPr>
        <w:autoSpaceDE w:val="0"/>
        <w:autoSpaceDN w:val="0"/>
        <w:adjustRightInd w:val="0"/>
        <w:spacing w:line="240" w:lineRule="auto"/>
        <w:rPr>
          <w:rFonts w:eastAsiaTheme="minorHAnsi" w:cs="Georgia"/>
          <w:color w:val="000000"/>
          <w:szCs w:val="20"/>
        </w:rPr>
      </w:pPr>
      <w:r>
        <w:rPr>
          <w:rFonts w:eastAsiaTheme="minorHAnsi" w:cs="Georgia"/>
          <w:color w:val="000000"/>
          <w:szCs w:val="20"/>
        </w:rPr>
        <w:t>©2013 PwC. All rights reserved.</w:t>
      </w:r>
    </w:p>
    <w:sectPr w:rsidR="00247D6A" w:rsidSect="00247D6A">
      <w:headerReference w:type="even" r:id="rId11"/>
      <w:headerReference w:type="default" r:id="rId12"/>
      <w:footerReference w:type="even" r:id="rId13"/>
      <w:footerReference w:type="default" r:id="rId14"/>
      <w:headerReference w:type="first" r:id="rId15"/>
      <w:pgSz w:w="11907" w:h="16839"/>
      <w:pgMar w:top="2694" w:right="850" w:bottom="1417"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E17" w:rsidRDefault="00FD2E17">
      <w:pPr>
        <w:spacing w:line="240" w:lineRule="auto"/>
      </w:pPr>
      <w:r>
        <w:separator/>
      </w:r>
    </w:p>
  </w:endnote>
  <w:endnote w:type="continuationSeparator" w:id="0">
    <w:p w:rsidR="00FD2E17" w:rsidRDefault="00FD2E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6A" w:rsidRDefault="00FC7540">
    <w:pPr>
      <w:pStyle w:val="Footer"/>
    </w:pPr>
    <w:fldSimple w:instr=" PAGE  \* MERGEFORMAT ">
      <w:r w:rsidR="00B15BAE">
        <w:rPr>
          <w:noProof/>
        </w:rPr>
        <w:t>3</w:t>
      </w:r>
    </w:fldSimple>
    <w:r w:rsidR="00B15BAE">
      <w:t xml:space="preserve"> of </w:t>
    </w:r>
    <w:fldSimple w:instr=" NUMPAGES  \* MERGEFORMAT ">
      <w:r w:rsidR="00B15BAE">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6A" w:rsidRDefault="00FC7540">
    <w:pPr>
      <w:pStyle w:val="Footer"/>
    </w:pPr>
    <w:fldSimple w:instr=" PAGE  \* MERGEFORMAT ">
      <w:r w:rsidR="004D7234">
        <w:rPr>
          <w:noProof/>
        </w:rPr>
        <w:t>2</w:t>
      </w:r>
    </w:fldSimple>
    <w:r w:rsidR="00B15BAE">
      <w:t xml:space="preserve"> of </w:t>
    </w:r>
    <w:fldSimple w:instr=" NUMPAGES  \* MERGEFORMAT ">
      <w:r w:rsidR="004D7234">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E17" w:rsidRDefault="00FD2E17">
      <w:pPr>
        <w:spacing w:line="240" w:lineRule="auto"/>
      </w:pPr>
      <w:r>
        <w:separator/>
      </w:r>
    </w:p>
  </w:footnote>
  <w:footnote w:type="continuationSeparator" w:id="0">
    <w:p w:rsidR="00FD2E17" w:rsidRDefault="00FD2E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6A" w:rsidRDefault="00B15BAE">
    <w:pPr>
      <w:pStyle w:val="Header"/>
    </w:pPr>
    <w:r>
      <w:rPr>
        <w:noProof/>
        <w:lang w:val="en-US"/>
      </w:rPr>
      <w:drawing>
        <wp:anchor distT="0" distB="0" distL="114300" distR="114300" simplePos="0" relativeHeight="25166131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247D6A" w:rsidRDefault="00247D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6A" w:rsidRDefault="00B15BAE">
    <w:pPr>
      <w:pStyle w:val="Header"/>
    </w:pPr>
    <w:r>
      <w:rPr>
        <w:noProof/>
        <w:lang w:val="en-US"/>
      </w:rPr>
      <w:drawing>
        <wp:anchor distT="0" distB="0" distL="114300" distR="114300" simplePos="0" relativeHeight="25166028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247D6A" w:rsidRDefault="00247D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6A" w:rsidRDefault="00B15BAE">
    <w:pPr>
      <w:pStyle w:val="Header"/>
    </w:pPr>
    <w:r>
      <w:rPr>
        <w:noProof/>
        <w:lang w:val="en-US"/>
      </w:rPr>
      <w:drawing>
        <wp:anchor distT="0" distB="0" distL="114300" distR="114300" simplePos="0" relativeHeight="25165926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E80"/>
    <w:multiLevelType w:val="hybridMultilevel"/>
    <w:tmpl w:val="1264E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644AF"/>
    <w:multiLevelType w:val="hybridMultilevel"/>
    <w:tmpl w:val="3F7A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926E7"/>
    <w:multiLevelType w:val="hybridMultilevel"/>
    <w:tmpl w:val="355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E7BE2"/>
    <w:multiLevelType w:val="hybridMultilevel"/>
    <w:tmpl w:val="B4C0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E0C1B"/>
    <w:multiLevelType w:val="hybridMultilevel"/>
    <w:tmpl w:val="1BCE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A276A5"/>
    <w:multiLevelType w:val="hybridMultilevel"/>
    <w:tmpl w:val="F512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AE7515"/>
    <w:multiLevelType w:val="hybridMultilevel"/>
    <w:tmpl w:val="150C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1"/>
    <w:footnote w:id="0"/>
  </w:footnotePr>
  <w:endnotePr>
    <w:endnote w:id="-1"/>
    <w:endnote w:id="0"/>
  </w:endnotePr>
  <w:compat/>
  <w:rsids>
    <w:rsidRoot w:val="00247D6A"/>
    <w:rsid w:val="00247D6A"/>
    <w:rsid w:val="004D7234"/>
    <w:rsid w:val="00A97282"/>
    <w:rsid w:val="00B15BAE"/>
    <w:rsid w:val="00C14AA9"/>
    <w:rsid w:val="00E461BB"/>
    <w:rsid w:val="00FC7540"/>
    <w:rsid w:val="00FD2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6A"/>
    <w:pPr>
      <w:spacing w:after="0" w:line="240" w:lineRule="atLeast"/>
    </w:pPr>
    <w:rPr>
      <w:rFonts w:ascii="Georgia" w:eastAsia="Calibri" w:hAnsi="Georgia"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47D6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47D6A"/>
    <w:rPr>
      <w:rFonts w:ascii="Georgia" w:eastAsia="Calibri" w:hAnsi="Georgia" w:cs="Times New Roman"/>
      <w:sz w:val="20"/>
      <w:lang w:val="en-GB"/>
    </w:rPr>
  </w:style>
  <w:style w:type="paragraph" w:styleId="Footer">
    <w:name w:val="footer"/>
    <w:basedOn w:val="Normal"/>
    <w:link w:val="FooterChar"/>
    <w:uiPriority w:val="99"/>
    <w:semiHidden/>
    <w:rsid w:val="00247D6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47D6A"/>
    <w:rPr>
      <w:rFonts w:ascii="Georgia" w:eastAsia="Calibri" w:hAnsi="Georgia" w:cs="Times New Roman"/>
      <w:sz w:val="20"/>
      <w:lang w:val="en-GB"/>
    </w:rPr>
  </w:style>
  <w:style w:type="paragraph" w:styleId="Title">
    <w:name w:val="Title"/>
    <w:basedOn w:val="Normal"/>
    <w:next w:val="Normal"/>
    <w:link w:val="TitleChar"/>
    <w:uiPriority w:val="10"/>
    <w:qFormat/>
    <w:rsid w:val="00247D6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247D6A"/>
    <w:rPr>
      <w:rFonts w:ascii="Cambria" w:eastAsia="Times New Roman" w:hAnsi="Cambria" w:cs="Times New Roman"/>
      <w:b/>
      <w:i/>
      <w:color w:val="000000"/>
      <w:spacing w:val="5"/>
      <w:kern w:val="28"/>
      <w:sz w:val="24"/>
      <w:szCs w:val="52"/>
      <w:lang w:val="en-GB"/>
    </w:rPr>
  </w:style>
  <w:style w:type="paragraph" w:customStyle="1" w:styleId="Heading">
    <w:name w:val="Heading"/>
    <w:basedOn w:val="Normal"/>
    <w:uiPriority w:val="99"/>
    <w:rsid w:val="00247D6A"/>
    <w:pPr>
      <w:spacing w:line="240" w:lineRule="auto"/>
    </w:pPr>
    <w:rPr>
      <w:rFonts w:ascii="Arial" w:eastAsia="Times New Roman" w:hAnsi="Arial"/>
      <w:b/>
      <w:sz w:val="24"/>
      <w:szCs w:val="20"/>
    </w:rPr>
  </w:style>
  <w:style w:type="paragraph" w:customStyle="1" w:styleId="Standardheading">
    <w:name w:val="Standard heading"/>
    <w:basedOn w:val="Normal"/>
    <w:uiPriority w:val="99"/>
    <w:rsid w:val="00247D6A"/>
    <w:pPr>
      <w:spacing w:line="240" w:lineRule="auto"/>
    </w:pPr>
    <w:rPr>
      <w:rFonts w:ascii="Arial" w:eastAsia="Times New Roman" w:hAnsi="Arial" w:cs="Arial"/>
      <w:b/>
      <w:szCs w:val="20"/>
    </w:rPr>
  </w:style>
  <w:style w:type="character" w:styleId="Hyperlink">
    <w:name w:val="Hyperlink"/>
    <w:basedOn w:val="DefaultParagraphFont"/>
    <w:uiPriority w:val="99"/>
    <w:rsid w:val="00247D6A"/>
    <w:rPr>
      <w:rFonts w:cs="Times New Roman"/>
      <w:color w:val="0000FF"/>
      <w:u w:val="single"/>
    </w:rPr>
  </w:style>
  <w:style w:type="paragraph" w:styleId="FootnoteText">
    <w:name w:val="footnote text"/>
    <w:basedOn w:val="Normal"/>
    <w:link w:val="FootnoteTextChar"/>
    <w:uiPriority w:val="99"/>
    <w:semiHidden/>
    <w:unhideWhenUsed/>
    <w:rsid w:val="00247D6A"/>
    <w:pPr>
      <w:spacing w:line="240" w:lineRule="auto"/>
    </w:pPr>
    <w:rPr>
      <w:szCs w:val="20"/>
    </w:rPr>
  </w:style>
  <w:style w:type="character" w:customStyle="1" w:styleId="FootnoteTextChar">
    <w:name w:val="Footnote Text Char"/>
    <w:basedOn w:val="DefaultParagraphFont"/>
    <w:link w:val="FootnoteText"/>
    <w:uiPriority w:val="99"/>
    <w:semiHidden/>
    <w:rsid w:val="00247D6A"/>
    <w:rPr>
      <w:rFonts w:ascii="Georgia" w:eastAsia="Calibri" w:hAnsi="Georgia" w:cs="Times New Roman"/>
      <w:sz w:val="20"/>
      <w:szCs w:val="20"/>
      <w:lang w:val="en-GB"/>
    </w:rPr>
  </w:style>
  <w:style w:type="character" w:styleId="FootnoteReference">
    <w:name w:val="footnote reference"/>
    <w:basedOn w:val="DefaultParagraphFont"/>
    <w:uiPriority w:val="99"/>
    <w:semiHidden/>
    <w:unhideWhenUsed/>
    <w:rsid w:val="00247D6A"/>
    <w:rPr>
      <w:vertAlign w:val="superscript"/>
    </w:rPr>
  </w:style>
  <w:style w:type="paragraph" w:styleId="ListParagraph">
    <w:name w:val="List Paragraph"/>
    <w:basedOn w:val="Normal"/>
    <w:uiPriority w:val="34"/>
    <w:qFormat/>
    <w:rsid w:val="00247D6A"/>
    <w:pPr>
      <w:ind w:left="720"/>
      <w:contextualSpacing/>
    </w:pPr>
  </w:style>
  <w:style w:type="paragraph" w:styleId="CommentText">
    <w:name w:val="annotation text"/>
    <w:basedOn w:val="Normal"/>
    <w:uiPriority w:val="99"/>
    <w:semiHidden/>
    <w:unhideWhenUsed/>
    <w:rsid w:val="00247D6A"/>
    <w:pPr>
      <w:spacing w:line="240" w:lineRule="auto"/>
    </w:pPr>
    <w:rPr>
      <w:szCs w:val="20"/>
    </w:rPr>
  </w:style>
</w:styles>
</file>

<file path=word/webSettings.xml><?xml version="1.0" encoding="utf-8"?>
<w:webSettings xmlns:r="http://schemas.openxmlformats.org/officeDocument/2006/relationships" xmlns:w="http://schemas.openxmlformats.org/wordprocessingml/2006/main">
  <w:divs>
    <w:div w:id="428626750">
      <w:bodyDiv w:val="1"/>
      <w:marLeft w:val="0"/>
      <w:marRight w:val="0"/>
      <w:marTop w:val="0"/>
      <w:marBottom w:val="0"/>
      <w:divBdr>
        <w:top w:val="none" w:sz="0" w:space="0" w:color="auto"/>
        <w:left w:val="none" w:sz="0" w:space="0" w:color="auto"/>
        <w:bottom w:val="none" w:sz="0" w:space="0" w:color="auto"/>
        <w:right w:val="none" w:sz="0" w:space="0" w:color="auto"/>
      </w:divBdr>
    </w:div>
    <w:div w:id="520776075">
      <w:bodyDiv w:val="1"/>
      <w:marLeft w:val="0"/>
      <w:marRight w:val="0"/>
      <w:marTop w:val="0"/>
      <w:marBottom w:val="0"/>
      <w:divBdr>
        <w:top w:val="none" w:sz="0" w:space="0" w:color="auto"/>
        <w:left w:val="none" w:sz="0" w:space="0" w:color="auto"/>
        <w:bottom w:val="none" w:sz="0" w:space="0" w:color="auto"/>
        <w:right w:val="none" w:sz="0" w:space="0" w:color="auto"/>
      </w:divBdr>
    </w:div>
    <w:div w:id="15991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p.dwyer@uk.pw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davies@uk.pwc.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wc.com/gx" TargetMode="External"/><Relationship Id="rId4" Type="http://schemas.openxmlformats.org/officeDocument/2006/relationships/webSettings" Target="webSettings.xml"/><Relationship Id="rId9" Type="http://schemas.openxmlformats.org/officeDocument/2006/relationships/hyperlink" Target="mailto:nick.r.page@uk.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gautam virkar</dc:creator>
  <cp:lastModifiedBy>Windows User</cp:lastModifiedBy>
  <cp:revision>3</cp:revision>
  <cp:lastPrinted>2013-02-27T16:18:00Z</cp:lastPrinted>
  <dcterms:created xsi:type="dcterms:W3CDTF">2013-02-28T16:39:00Z</dcterms:created>
  <dcterms:modified xsi:type="dcterms:W3CDTF">2013-02-28T16:52:00Z</dcterms:modified>
</cp:coreProperties>
</file>