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5760"/>
      </w:tblGrid>
      <w:tr w:rsidR="00D81336" w:rsidTr="003A3BC6">
        <w:tc>
          <w:tcPr>
            <w:tcW w:w="2268" w:type="dxa"/>
          </w:tcPr>
          <w:p w:rsidR="00D81336" w:rsidRDefault="00A77FF6">
            <w:pPr>
              <w:rPr>
                <w:i/>
              </w:rPr>
            </w:pPr>
            <w:r>
              <w:rPr>
                <w:i/>
              </w:rPr>
              <w:t>Date</w:t>
            </w:r>
          </w:p>
        </w:tc>
        <w:tc>
          <w:tcPr>
            <w:tcW w:w="5760" w:type="dxa"/>
          </w:tcPr>
          <w:p w:rsidR="00D81336" w:rsidRDefault="003A3BC6">
            <w:r w:rsidRPr="003A3BC6">
              <w:rPr>
                <w:b/>
                <w:color w:val="FF0000"/>
              </w:rPr>
              <w:t>EMBARGOED until 0900 ET</w:t>
            </w:r>
            <w:r>
              <w:t xml:space="preserve"> </w:t>
            </w:r>
            <w:r w:rsidR="007624CA">
              <w:t>12</w:t>
            </w:r>
            <w:r w:rsidR="0091287B">
              <w:t xml:space="preserve"> </w:t>
            </w:r>
            <w:r w:rsidR="009E3086">
              <w:t>February</w:t>
            </w:r>
            <w:r w:rsidR="0091287B">
              <w:t xml:space="preserve"> 2013</w:t>
            </w:r>
          </w:p>
          <w:p w:rsidR="00D81336" w:rsidRDefault="00D81336"/>
        </w:tc>
      </w:tr>
      <w:tr w:rsidR="00D81336" w:rsidTr="003A3BC6">
        <w:tc>
          <w:tcPr>
            <w:tcW w:w="2268" w:type="dxa"/>
          </w:tcPr>
          <w:p w:rsidR="00D81336" w:rsidRDefault="00A77FF6">
            <w:pPr>
              <w:rPr>
                <w:i/>
              </w:rPr>
            </w:pPr>
            <w:r>
              <w:rPr>
                <w:i/>
              </w:rPr>
              <w:t>Contact</w:t>
            </w:r>
          </w:p>
        </w:tc>
        <w:tc>
          <w:tcPr>
            <w:tcW w:w="5760" w:type="dxa"/>
          </w:tcPr>
          <w:p w:rsidR="00D81336" w:rsidRDefault="0091287B">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91287B">
              <w:rPr>
                <w:rFonts w:cs="Arial"/>
                <w:color w:val="000000"/>
                <w:lang w:val="fr-CH"/>
              </w:rPr>
              <w:t>+1 646 471 4039</w:t>
            </w:r>
            <w:r w:rsidR="00ED693D">
              <w:rPr>
                <w:rFonts w:cs="Arial"/>
                <w:color w:val="000000"/>
                <w:lang w:val="fr-CH"/>
              </w:rPr>
              <w:t xml:space="preserve"> or +1 917 213 1121</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91287B">
              <w:rPr>
                <w:rFonts w:cs="Arial"/>
                <w:color w:val="000000"/>
                <w:lang w:val="it-IT"/>
              </w:rPr>
              <w:t>alayna.francis@us.pwc.com</w:t>
            </w:r>
          </w:p>
        </w:tc>
      </w:tr>
      <w:tr w:rsidR="00D81336" w:rsidTr="003A3BC6">
        <w:tc>
          <w:tcPr>
            <w:tcW w:w="2268" w:type="dxa"/>
          </w:tcPr>
          <w:p w:rsidR="00D81336" w:rsidRDefault="00D81336">
            <w:pPr>
              <w:rPr>
                <w:i/>
                <w:lang w:val="it-IT"/>
              </w:rPr>
            </w:pPr>
          </w:p>
          <w:p w:rsidR="00D81336" w:rsidRDefault="00A77FF6">
            <w:pPr>
              <w:rPr>
                <w:i/>
              </w:rPr>
            </w:pPr>
            <w:r>
              <w:rPr>
                <w:i/>
              </w:rPr>
              <w:t xml:space="preserve">Pages </w:t>
            </w:r>
          </w:p>
        </w:tc>
        <w:tc>
          <w:tcPr>
            <w:tcW w:w="5760" w:type="dxa"/>
          </w:tcPr>
          <w:p w:rsidR="00D81336" w:rsidRDefault="00D81336"/>
          <w:p w:rsidR="00D81336" w:rsidRDefault="009E3086">
            <w:r>
              <w:t>2</w:t>
            </w:r>
            <w:r w:rsidR="001E7D34">
              <w:t xml:space="preserve"> pages</w:t>
            </w:r>
          </w:p>
        </w:tc>
      </w:tr>
    </w:tbl>
    <w:p w:rsidR="00D81336" w:rsidRPr="00F17ADF" w:rsidRDefault="00D81336">
      <w:pPr>
        <w:pStyle w:val="Title"/>
        <w:rPr>
          <w:i w:val="0"/>
        </w:rPr>
      </w:pPr>
    </w:p>
    <w:p w:rsidR="00B55923" w:rsidRDefault="00B55923" w:rsidP="00F17ADF">
      <w:pPr>
        <w:jc w:val="center"/>
        <w:rPr>
          <w:b/>
          <w:sz w:val="28"/>
          <w:szCs w:val="28"/>
        </w:rPr>
      </w:pPr>
      <w:r>
        <w:rPr>
          <w:b/>
          <w:sz w:val="28"/>
          <w:szCs w:val="28"/>
        </w:rPr>
        <w:t xml:space="preserve">Shifts in </w:t>
      </w:r>
      <w:r w:rsidR="00EE4DA8">
        <w:rPr>
          <w:b/>
          <w:sz w:val="28"/>
          <w:szCs w:val="28"/>
        </w:rPr>
        <w:t xml:space="preserve">Software Market Model </w:t>
      </w:r>
    </w:p>
    <w:p w:rsidR="00EE4DA8" w:rsidRDefault="00EE4DA8" w:rsidP="00F17ADF">
      <w:pPr>
        <w:jc w:val="center"/>
        <w:rPr>
          <w:b/>
          <w:sz w:val="28"/>
          <w:szCs w:val="28"/>
        </w:rPr>
      </w:pPr>
      <w:r>
        <w:rPr>
          <w:b/>
          <w:sz w:val="28"/>
          <w:szCs w:val="28"/>
        </w:rPr>
        <w:t>Reveal Potential</w:t>
      </w:r>
      <w:r w:rsidR="00C37957">
        <w:rPr>
          <w:b/>
          <w:sz w:val="28"/>
          <w:szCs w:val="28"/>
        </w:rPr>
        <w:t xml:space="preserve"> </w:t>
      </w:r>
      <w:r>
        <w:rPr>
          <w:b/>
          <w:sz w:val="28"/>
          <w:szCs w:val="28"/>
        </w:rPr>
        <w:t>for Revenue Increase</w:t>
      </w:r>
    </w:p>
    <w:p w:rsidR="00EE4DA8" w:rsidRDefault="00EE4DA8" w:rsidP="00F17ADF">
      <w:pPr>
        <w:jc w:val="center"/>
        <w:rPr>
          <w:b/>
          <w:sz w:val="28"/>
          <w:szCs w:val="28"/>
        </w:rPr>
      </w:pPr>
    </w:p>
    <w:p w:rsidR="005E0A6D" w:rsidRDefault="00085036" w:rsidP="00F17ADF">
      <w:pPr>
        <w:jc w:val="center"/>
        <w:rPr>
          <w:b/>
          <w:i/>
          <w:szCs w:val="20"/>
        </w:rPr>
      </w:pPr>
      <w:r w:rsidRPr="00085036">
        <w:rPr>
          <w:b/>
          <w:i/>
          <w:szCs w:val="20"/>
        </w:rPr>
        <w:t xml:space="preserve">PwC Series on </w:t>
      </w:r>
      <w:r w:rsidR="00ED693D">
        <w:rPr>
          <w:b/>
          <w:i/>
          <w:szCs w:val="20"/>
        </w:rPr>
        <w:t xml:space="preserve">Pricing Excellence Offers Strategy for </w:t>
      </w:r>
    </w:p>
    <w:p w:rsidR="00085036" w:rsidRPr="00085036" w:rsidRDefault="00ED693D" w:rsidP="00F17ADF">
      <w:pPr>
        <w:jc w:val="center"/>
        <w:rPr>
          <w:b/>
          <w:i/>
          <w:szCs w:val="20"/>
        </w:rPr>
      </w:pPr>
      <w:r>
        <w:rPr>
          <w:b/>
          <w:i/>
          <w:szCs w:val="20"/>
        </w:rPr>
        <w:t>Array of Business Models</w:t>
      </w:r>
      <w:r w:rsidR="004A7202">
        <w:rPr>
          <w:b/>
          <w:i/>
          <w:szCs w:val="20"/>
        </w:rPr>
        <w:t xml:space="preserve"> from Traditional to Emerging</w:t>
      </w:r>
    </w:p>
    <w:p w:rsidR="00D81336" w:rsidRDefault="00D81336">
      <w:pPr>
        <w:rPr>
          <w:sz w:val="24"/>
          <w:szCs w:val="24"/>
        </w:rPr>
      </w:pPr>
    </w:p>
    <w:p w:rsidR="00D81336" w:rsidRDefault="00D81336" w:rsidP="001E7D34">
      <w:pPr>
        <w:rPr>
          <w:sz w:val="24"/>
          <w:szCs w:val="24"/>
        </w:rPr>
      </w:pPr>
    </w:p>
    <w:p w:rsidR="004A7202" w:rsidRDefault="00ED693D" w:rsidP="00ED693D">
      <w:pPr>
        <w:pStyle w:val="BodySingle"/>
      </w:pPr>
      <w:r w:rsidRPr="00E54B44">
        <w:t xml:space="preserve">SAN JOSE, CA </w:t>
      </w:r>
      <w:r w:rsidR="007624CA">
        <w:t>12</w:t>
      </w:r>
      <w:r w:rsidR="007D7624">
        <w:t xml:space="preserve"> </w:t>
      </w:r>
      <w:r w:rsidR="0084745C">
        <w:t>February</w:t>
      </w:r>
      <w:r w:rsidR="007D7624">
        <w:t>, 2013</w:t>
      </w:r>
      <w:r>
        <w:t xml:space="preserve"> – PwC has released the second</w:t>
      </w:r>
      <w:r w:rsidRPr="00E54B44">
        <w:t xml:space="preserve"> of a series of reports evaluating the </w:t>
      </w:r>
      <w:r w:rsidR="00DC1EAF">
        <w:t>impact</w:t>
      </w:r>
      <w:r w:rsidR="00B55923">
        <w:t xml:space="preserve"> on pricing </w:t>
      </w:r>
      <w:r w:rsidR="00DC1EAF">
        <w:t>of the s</w:t>
      </w:r>
      <w:r w:rsidRPr="00E54B44">
        <w:t xml:space="preserve">hift in the enterprise software sales </w:t>
      </w:r>
      <w:r w:rsidR="00DC1EAF">
        <w:t xml:space="preserve">model from license to services. </w:t>
      </w:r>
      <w:r w:rsidR="00601580">
        <w:t>The report</w:t>
      </w:r>
      <w:r w:rsidR="00E84932">
        <w:t xml:space="preserve">, </w:t>
      </w:r>
      <w:r w:rsidR="00E84932" w:rsidRPr="00E84932">
        <w:rPr>
          <w:i/>
        </w:rPr>
        <w:t>The Future of Software Pricing Excellence: The New State of the Art</w:t>
      </w:r>
      <w:r w:rsidR="00E84932">
        <w:t xml:space="preserve">, </w:t>
      </w:r>
      <w:r w:rsidR="004A7202">
        <w:t xml:space="preserve">focuses on how pricing strategies can </w:t>
      </w:r>
      <w:r w:rsidR="00B55923">
        <w:t>result</w:t>
      </w:r>
      <w:r w:rsidR="004A7202">
        <w:t xml:space="preserve"> in higher win rates, </w:t>
      </w:r>
      <w:r w:rsidR="00B55923">
        <w:t>reduce</w:t>
      </w:r>
      <w:r w:rsidR="004A7202">
        <w:t xml:space="preserve"> the gap between ‘real’ and list prices and </w:t>
      </w:r>
      <w:r w:rsidR="00B55923">
        <w:t xml:space="preserve">reduce </w:t>
      </w:r>
      <w:r w:rsidR="004A7202">
        <w:t xml:space="preserve">revenue leakage. </w:t>
      </w:r>
      <w:r w:rsidR="00601580">
        <w:t xml:space="preserve">Existing business models and pricing strategies are </w:t>
      </w:r>
      <w:r w:rsidR="00B7679D">
        <w:t>outlined</w:t>
      </w:r>
      <w:r w:rsidR="00E84932">
        <w:t xml:space="preserve"> in the findings</w:t>
      </w:r>
      <w:r w:rsidR="00B7679D">
        <w:t>;</w:t>
      </w:r>
      <w:r w:rsidR="00601580">
        <w:t xml:space="preserve"> demonstrating how each is lagging, leading or remaining consistent with the rest of the </w:t>
      </w:r>
      <w:r w:rsidR="00671DD2">
        <w:t xml:space="preserve">software </w:t>
      </w:r>
      <w:r w:rsidR="00601580">
        <w:t>industry.</w:t>
      </w:r>
    </w:p>
    <w:p w:rsidR="00B55923" w:rsidRDefault="00B55923" w:rsidP="00ED693D">
      <w:pPr>
        <w:pStyle w:val="BodySingle"/>
      </w:pPr>
    </w:p>
    <w:p w:rsidR="00B55923" w:rsidRPr="000C54CD" w:rsidRDefault="00B55923" w:rsidP="00B55923">
      <w:pPr>
        <w:spacing w:line="240" w:lineRule="auto"/>
        <w:rPr>
          <w:szCs w:val="20"/>
        </w:rPr>
      </w:pPr>
      <w:r w:rsidRPr="000C54CD">
        <w:rPr>
          <w:szCs w:val="20"/>
        </w:rPr>
        <w:t>Constant innovation and evolution in the software industry markets and business models require new pricing strategies. For companies that want to reduce undisciplined pricing, inconsistent analytics and decision maki</w:t>
      </w:r>
      <w:r>
        <w:rPr>
          <w:szCs w:val="20"/>
        </w:rPr>
        <w:t>ng without competitive insights, revamping pricing strategy can facilitate improved price decision making and enhance the identification of business opportunities, the report states</w:t>
      </w:r>
      <w:r w:rsidR="00493150">
        <w:rPr>
          <w:szCs w:val="20"/>
        </w:rPr>
        <w:t>.</w:t>
      </w:r>
      <w:r>
        <w:rPr>
          <w:szCs w:val="20"/>
        </w:rPr>
        <w:t xml:space="preserve">  </w:t>
      </w:r>
    </w:p>
    <w:p w:rsidR="00601580" w:rsidRDefault="00601580" w:rsidP="00ED693D">
      <w:pPr>
        <w:pStyle w:val="BodySingle"/>
      </w:pPr>
    </w:p>
    <w:p w:rsidR="00EE4DA8" w:rsidRPr="00EE4DA8" w:rsidRDefault="004A7202" w:rsidP="00493150">
      <w:pPr>
        <w:pStyle w:val="BodySingle"/>
      </w:pPr>
      <w:r>
        <w:t>“</w:t>
      </w:r>
      <w:r w:rsidR="008D7D28">
        <w:t xml:space="preserve">By combining </w:t>
      </w:r>
      <w:r>
        <w:t>analytics with formalised processes and standards</w:t>
      </w:r>
      <w:r w:rsidR="008D7D28">
        <w:t>, companies can get on a</w:t>
      </w:r>
      <w:r>
        <w:t xml:space="preserve"> path towards a more coherent, organisation wide pricing model that delivers proven results</w:t>
      </w:r>
      <w:r w:rsidR="007D7624">
        <w:t xml:space="preserve">, said </w:t>
      </w:r>
      <w:r w:rsidR="007D7624" w:rsidRPr="00E54B44">
        <w:t>Mark McCaffrey, PwC's Global Software Leader</w:t>
      </w:r>
      <w:r w:rsidR="007D7624">
        <w:t>,</w:t>
      </w:r>
      <w:r w:rsidR="00E84932" w:rsidRPr="00EE4DA8">
        <w:t xml:space="preserve"> </w:t>
      </w:r>
      <w:r w:rsidR="00493150">
        <w:t>“</w:t>
      </w:r>
      <w:r w:rsidR="00E84932" w:rsidRPr="00EE4DA8">
        <w:t xml:space="preserve">Companies today </w:t>
      </w:r>
      <w:r w:rsidR="00EE4DA8" w:rsidRPr="00EE4DA8">
        <w:t>are focusing more on pricing excellence</w:t>
      </w:r>
      <w:r w:rsidR="00EF6E20">
        <w:t>.  Those w</w:t>
      </w:r>
      <w:r w:rsidR="00EE4DA8" w:rsidRPr="00EE4DA8">
        <w:t xml:space="preserve">ho coordinate a pricing strategy framework with </w:t>
      </w:r>
      <w:r w:rsidR="00EE4DA8" w:rsidRPr="00EE4DA8">
        <w:rPr>
          <w:rFonts w:cs="ITCCharterCom-Regular"/>
          <w:lang w:val="en-US" w:eastAsia="de-CH"/>
        </w:rPr>
        <w:t>organisational processes</w:t>
      </w:r>
      <w:r w:rsidR="00B55923">
        <w:rPr>
          <w:rFonts w:cs="ITCCharterCom-Regular"/>
          <w:lang w:val="en-US" w:eastAsia="de-CH"/>
        </w:rPr>
        <w:t xml:space="preserve"> and </w:t>
      </w:r>
      <w:r w:rsidR="00EE4DA8" w:rsidRPr="00EE4DA8">
        <w:rPr>
          <w:lang w:val="en-US" w:eastAsia="de-CH"/>
        </w:rPr>
        <w:t xml:space="preserve">structure, systems, data and culture </w:t>
      </w:r>
      <w:r w:rsidR="00B55923">
        <w:rPr>
          <w:lang w:val="en-US" w:eastAsia="de-CH"/>
        </w:rPr>
        <w:t>can obtain</w:t>
      </w:r>
      <w:r w:rsidR="00EE4DA8" w:rsidRPr="00EE4DA8">
        <w:rPr>
          <w:lang w:val="en-US" w:eastAsia="de-CH"/>
        </w:rPr>
        <w:t xml:space="preserve"> notable increases in ROI and decreased revenue leakage among other benefits.”</w:t>
      </w:r>
    </w:p>
    <w:p w:rsidR="0022471F" w:rsidRDefault="0022471F" w:rsidP="005F091B">
      <w:pPr>
        <w:pStyle w:val="BodySingle"/>
      </w:pPr>
    </w:p>
    <w:p w:rsidR="005F091B" w:rsidRDefault="0022471F" w:rsidP="005F091B">
      <w:pPr>
        <w:pStyle w:val="BodySingle"/>
      </w:pPr>
      <w:r>
        <w:t xml:space="preserve">PwC’s four point pricing management framework </w:t>
      </w:r>
      <w:r w:rsidR="00A60325">
        <w:t>centres</w:t>
      </w:r>
      <w:r>
        <w:t xml:space="preserve"> on key factors effecting pricing maturity and financial results</w:t>
      </w:r>
      <w:r w:rsidR="00EC5CDD">
        <w:t xml:space="preserve">: pricing strategy, price formulation, transaction management and performance management. </w:t>
      </w:r>
      <w:r w:rsidR="004F13BF">
        <w:t>These four factors, working together in a functioning business, affect and are affected by process, organi</w:t>
      </w:r>
      <w:r w:rsidR="00240FC6">
        <w:t>sation and</w:t>
      </w:r>
      <w:r w:rsidR="004F13BF">
        <w:t xml:space="preserve"> technology and data analytics.</w:t>
      </w:r>
    </w:p>
    <w:p w:rsidR="005033BD" w:rsidRDefault="005033BD" w:rsidP="004F13BF">
      <w:pPr>
        <w:autoSpaceDE w:val="0"/>
        <w:autoSpaceDN w:val="0"/>
        <w:adjustRightInd w:val="0"/>
        <w:spacing w:line="240" w:lineRule="auto"/>
      </w:pPr>
    </w:p>
    <w:p w:rsidR="005033BD" w:rsidRDefault="00D979D6" w:rsidP="004F13BF">
      <w:pPr>
        <w:autoSpaceDE w:val="0"/>
        <w:autoSpaceDN w:val="0"/>
        <w:adjustRightInd w:val="0"/>
        <w:spacing w:line="240" w:lineRule="auto"/>
      </w:pPr>
      <w:r>
        <w:t>“</w:t>
      </w:r>
      <w:r w:rsidR="005033BD">
        <w:t xml:space="preserve">Once pricing strategy has been identified, </w:t>
      </w:r>
      <w:r>
        <w:t>companies</w:t>
      </w:r>
      <w:r w:rsidR="005033BD">
        <w:t xml:space="preserve"> can review the factors that influence cash flow starting with list price through minimum required revenue</w:t>
      </w:r>
      <w:r>
        <w:t xml:space="preserve">, McCaffrey added. “These factors, which we refer to as ‘price waterfalls,’ </w:t>
      </w:r>
      <w:r w:rsidR="005033BD">
        <w:t>can determine and s</w:t>
      </w:r>
      <w:r>
        <w:t>hut off revenue leaks.</w:t>
      </w:r>
      <w:r w:rsidR="00240FC6">
        <w:t>”</w:t>
      </w:r>
    </w:p>
    <w:p w:rsidR="00AC27FE" w:rsidRDefault="00AC27FE" w:rsidP="004F13BF">
      <w:pPr>
        <w:autoSpaceDE w:val="0"/>
        <w:autoSpaceDN w:val="0"/>
        <w:adjustRightInd w:val="0"/>
        <w:spacing w:line="240" w:lineRule="auto"/>
      </w:pPr>
    </w:p>
    <w:p w:rsidR="00AC27FE" w:rsidRDefault="00AC27FE" w:rsidP="00AC27FE">
      <w:pPr>
        <w:autoSpaceDE w:val="0"/>
        <w:autoSpaceDN w:val="0"/>
        <w:adjustRightInd w:val="0"/>
        <w:spacing w:line="240" w:lineRule="auto"/>
      </w:pPr>
      <w:r>
        <w:lastRenderedPageBreak/>
        <w:t xml:space="preserve">The report’s transaction management </w:t>
      </w:r>
      <w:r w:rsidR="00671DD2">
        <w:t xml:space="preserve">section </w:t>
      </w:r>
      <w:r>
        <w:t xml:space="preserve">showcases how </w:t>
      </w:r>
      <w:r w:rsidR="00240FC6">
        <w:t>systematising</w:t>
      </w:r>
      <w:r>
        <w:t xml:space="preserve"> pricing can reduce or eliminate the need for </w:t>
      </w:r>
      <w:r w:rsidR="00E84932">
        <w:t>various</w:t>
      </w:r>
      <w:r>
        <w:t xml:space="preserve"> sales approaches that consume resources and increase time-to-quote. </w:t>
      </w:r>
      <w:r w:rsidR="00671DD2">
        <w:t xml:space="preserve"> As the final segment of PwC’s methodology, performance management is designed to measure, enforce and refine pricing policies, largely utilizing post sales analysis. </w:t>
      </w:r>
    </w:p>
    <w:p w:rsidR="004A7202" w:rsidRPr="000C54CD" w:rsidRDefault="004A7202" w:rsidP="004A7202">
      <w:pPr>
        <w:autoSpaceDE w:val="0"/>
        <w:autoSpaceDN w:val="0"/>
        <w:adjustRightInd w:val="0"/>
        <w:spacing w:line="240" w:lineRule="auto"/>
        <w:rPr>
          <w:rFonts w:ascii="HelveticaNeue-Medium" w:hAnsi="HelveticaNeue-Medium" w:cs="HelveticaNeue-Medium"/>
          <w:color w:val="FFFFFF"/>
          <w:szCs w:val="20"/>
          <w:lang w:val="en-US" w:eastAsia="de-CH"/>
        </w:rPr>
      </w:pPr>
      <w:r w:rsidRPr="000C54CD">
        <w:rPr>
          <w:rFonts w:ascii="HelveticaNeue-Medium" w:hAnsi="HelveticaNeue-Medium" w:cs="HelveticaNeue-Medium"/>
          <w:color w:val="FFFFFF"/>
          <w:szCs w:val="20"/>
          <w:lang w:val="en-US" w:eastAsia="de-CH"/>
        </w:rPr>
        <w:t>Segment-specific</w:t>
      </w:r>
    </w:p>
    <w:p w:rsidR="000C54CD" w:rsidRDefault="000C54CD">
      <w:pPr>
        <w:spacing w:line="240" w:lineRule="auto"/>
        <w:rPr>
          <w:sz w:val="24"/>
          <w:szCs w:val="24"/>
        </w:rPr>
      </w:pPr>
    </w:p>
    <w:p w:rsidR="00D81336" w:rsidRPr="00D979D6" w:rsidRDefault="00A77FF6">
      <w:pPr>
        <w:rPr>
          <w:rFonts w:cs="Arial"/>
          <w:b/>
          <w:color w:val="000000"/>
          <w:u w:val="single"/>
          <w:lang w:val="en-US"/>
        </w:rPr>
      </w:pPr>
      <w:r w:rsidRPr="00D979D6">
        <w:rPr>
          <w:rFonts w:cs="Arial"/>
          <w:b/>
          <w:color w:val="000000"/>
          <w:u w:val="single"/>
          <w:lang w:val="en-US"/>
        </w:rPr>
        <w:t>Notes:</w:t>
      </w:r>
    </w:p>
    <w:p w:rsidR="0091287B" w:rsidRPr="0091287B" w:rsidRDefault="0091287B">
      <w:pPr>
        <w:rPr>
          <w:rFonts w:cs="Arial"/>
          <w:color w:val="000000"/>
          <w:sz w:val="18"/>
          <w:szCs w:val="18"/>
          <w:lang w:val="en-US"/>
        </w:rPr>
      </w:pPr>
    </w:p>
    <w:p w:rsidR="0091287B" w:rsidRPr="0091287B" w:rsidRDefault="0091287B"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r w:rsidRPr="0091287B">
        <w:rPr>
          <w:rFonts w:cs="Helv"/>
          <w:bCs/>
          <w:color w:val="000000"/>
          <w:lang w:val="en-US"/>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91287B" w:rsidRPr="0091287B" w:rsidRDefault="0091287B"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p>
    <w:p w:rsidR="0091287B" w:rsidRPr="0091287B" w:rsidRDefault="0091287B" w:rsidP="009128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lang w:val="en-US"/>
        </w:rPr>
      </w:pPr>
      <w:r w:rsidRPr="0091287B">
        <w:rPr>
          <w:rFonts w:cs="Helv"/>
          <w:bCs/>
          <w:color w:val="000000"/>
          <w:lang w:val="en-US"/>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7"/>
      <w:headerReference w:type="default" r:id="rId8"/>
      <w:footerReference w:type="even" r:id="rId9"/>
      <w:footerReference w:type="default" r:id="rId10"/>
      <w:headerReference w:type="first" r:id="rId11"/>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DC" w:rsidRDefault="002D55DC">
      <w:pPr>
        <w:spacing w:line="240" w:lineRule="auto"/>
      </w:pPr>
      <w:r>
        <w:separator/>
      </w:r>
    </w:p>
  </w:endnote>
  <w:endnote w:type="continuationSeparator" w:id="0">
    <w:p w:rsidR="002D55DC" w:rsidRDefault="002D55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harterCom-Regular">
    <w:panose1 w:val="00000000000000000000"/>
    <w:charset w:val="00"/>
    <w:family w:val="roman"/>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6C4885">
    <w:pPr>
      <w:pStyle w:val="Footer"/>
    </w:pPr>
    <w:fldSimple w:instr=" PAGE  \* MERGEFORMAT ">
      <w:r w:rsidR="003A3BC6">
        <w:rPr>
          <w:noProof/>
        </w:rPr>
        <w:t>2</w:t>
      </w:r>
    </w:fldSimple>
    <w:r w:rsidR="00A77FF6">
      <w:t xml:space="preserve"> of </w:t>
    </w:r>
    <w:fldSimple w:instr=" NUMPAGES  \* MERGEFORMAT ">
      <w:r w:rsidR="003A3BC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6C4885">
    <w:pPr>
      <w:pStyle w:val="Footer"/>
    </w:pPr>
    <w:fldSimple w:instr=" PAGE  \* MERGEFORMAT ">
      <w:r w:rsidR="00AC27FE">
        <w:rPr>
          <w:noProof/>
        </w:rPr>
        <w:t>3</w:t>
      </w:r>
    </w:fldSimple>
    <w:r w:rsidR="00A77FF6">
      <w:t xml:space="preserve"> of </w:t>
    </w:r>
    <w:fldSimple w:instr=" NUMPAGES  \* MERGEFORMAT ">
      <w:r w:rsidR="00AC27F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DC" w:rsidRDefault="002D55DC">
      <w:pPr>
        <w:spacing w:line="240" w:lineRule="auto"/>
      </w:pPr>
      <w:r>
        <w:separator/>
      </w:r>
    </w:p>
  </w:footnote>
  <w:footnote w:type="continuationSeparator" w:id="0">
    <w:p w:rsidR="002D55DC" w:rsidRDefault="002D55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defaultTabStop w:val="720"/>
  <w:hyphenationZone w:val="425"/>
  <w:evenAndOddHeaders/>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D81336"/>
    <w:rsid w:val="00065192"/>
    <w:rsid w:val="00085036"/>
    <w:rsid w:val="000C54CD"/>
    <w:rsid w:val="0012651A"/>
    <w:rsid w:val="001D106E"/>
    <w:rsid w:val="001D6261"/>
    <w:rsid w:val="001E7D34"/>
    <w:rsid w:val="0022471F"/>
    <w:rsid w:val="00240FC6"/>
    <w:rsid w:val="0026112E"/>
    <w:rsid w:val="0027427C"/>
    <w:rsid w:val="002D55DC"/>
    <w:rsid w:val="003017F6"/>
    <w:rsid w:val="003A3BC6"/>
    <w:rsid w:val="00493150"/>
    <w:rsid w:val="004A7202"/>
    <w:rsid w:val="004F13BF"/>
    <w:rsid w:val="005033BD"/>
    <w:rsid w:val="005569AE"/>
    <w:rsid w:val="00561983"/>
    <w:rsid w:val="005E0A6D"/>
    <w:rsid w:val="005F091B"/>
    <w:rsid w:val="00601580"/>
    <w:rsid w:val="00671DD2"/>
    <w:rsid w:val="00694722"/>
    <w:rsid w:val="006B6195"/>
    <w:rsid w:val="006C4885"/>
    <w:rsid w:val="007624CA"/>
    <w:rsid w:val="007C1780"/>
    <w:rsid w:val="007D441C"/>
    <w:rsid w:val="007D7624"/>
    <w:rsid w:val="0084745C"/>
    <w:rsid w:val="008D7D28"/>
    <w:rsid w:val="00902E2E"/>
    <w:rsid w:val="0091287B"/>
    <w:rsid w:val="009E3086"/>
    <w:rsid w:val="00A60325"/>
    <w:rsid w:val="00A77FF6"/>
    <w:rsid w:val="00AC27FE"/>
    <w:rsid w:val="00B55923"/>
    <w:rsid w:val="00B7679D"/>
    <w:rsid w:val="00B94F22"/>
    <w:rsid w:val="00C37957"/>
    <w:rsid w:val="00C4547B"/>
    <w:rsid w:val="00C86509"/>
    <w:rsid w:val="00CA37C6"/>
    <w:rsid w:val="00D01CD8"/>
    <w:rsid w:val="00D81336"/>
    <w:rsid w:val="00D979D6"/>
    <w:rsid w:val="00DA612B"/>
    <w:rsid w:val="00DC1EAF"/>
    <w:rsid w:val="00DF77D0"/>
    <w:rsid w:val="00E32CAE"/>
    <w:rsid w:val="00E84932"/>
    <w:rsid w:val="00E902C4"/>
    <w:rsid w:val="00EC5CDD"/>
    <w:rsid w:val="00ED693D"/>
    <w:rsid w:val="00EE4DA8"/>
    <w:rsid w:val="00EF6E20"/>
    <w:rsid w:val="00F17ADF"/>
    <w:rsid w:val="00FE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customStyle="1" w:styleId="BodySingle">
    <w:name w:val="Body Single"/>
    <w:basedOn w:val="BodyText"/>
    <w:link w:val="BodySingleChar"/>
    <w:uiPriority w:val="1"/>
    <w:qFormat/>
    <w:rsid w:val="00ED693D"/>
    <w:pPr>
      <w:spacing w:after="0"/>
    </w:pPr>
    <w:rPr>
      <w:rFonts w:eastAsiaTheme="minorHAnsi" w:cstheme="minorBidi"/>
      <w:szCs w:val="20"/>
    </w:rPr>
  </w:style>
  <w:style w:type="character" w:customStyle="1" w:styleId="BodySingleChar">
    <w:name w:val="Body Single Char"/>
    <w:basedOn w:val="BodyTextChar"/>
    <w:link w:val="BodySingle"/>
    <w:uiPriority w:val="1"/>
    <w:rsid w:val="00ED693D"/>
    <w:rPr>
      <w:rFonts w:eastAsiaTheme="minorHAnsi" w:cstheme="minorBidi"/>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Windows User</cp:lastModifiedBy>
  <cp:revision>2</cp:revision>
  <cp:lastPrinted>2012-10-30T14:35:00Z</cp:lastPrinted>
  <dcterms:created xsi:type="dcterms:W3CDTF">2013-02-07T15:09:00Z</dcterms:created>
  <dcterms:modified xsi:type="dcterms:W3CDTF">2013-02-07T15:09:00Z</dcterms:modified>
</cp:coreProperties>
</file>