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309" w:rsidRDefault="00D25AED">
      <w:pPr>
        <w:rPr>
          <w:sz w:val="24"/>
          <w:szCs w:val="24"/>
        </w:rPr>
      </w:pPr>
      <w:r w:rsidRPr="00D25AED">
        <w:rPr>
          <w:noProof/>
          <w:sz w:val="24"/>
          <w:szCs w:val="24"/>
          <w:lang w:eastAsia="en-GB"/>
        </w:rPr>
        <w:pict>
          <v:shape id="_x0000_s1026" style="position:absolute;margin-left:87.85pt;margin-top:761.3pt;width:465pt;height:11.35pt;z-index:251657728;mso-position-horizontal-relative:page;mso-position-vertical-relative:page" coordsize="9301,228" path="m,228l,,9301,e" filled="f" strokecolor="#dc6900" strokeweight="1pt">
            <v:stroke dashstyle="1 1" endcap="round"/>
            <v:path arrowok="t"/>
            <o:lock v:ext="edit" aspectratio="t"/>
            <w10:wrap anchorx="page" anchory="page"/>
            <w10:anchorlock/>
          </v:shape>
        </w:pict>
      </w:r>
    </w:p>
    <w:p w:rsidR="00FD0309" w:rsidRDefault="00680ECB">
      <w:pPr>
        <w:pStyle w:val="Title"/>
        <w:rPr>
          <w:rFonts w:ascii="Georgia" w:hAnsi="Georgia"/>
          <w:szCs w:val="24"/>
        </w:rPr>
      </w:pPr>
      <w:r>
        <w:rPr>
          <w:rFonts w:ascii="Georgia" w:hAnsi="Georgia"/>
          <w:szCs w:val="24"/>
        </w:rPr>
        <w:t xml:space="preserve">Press release </w:t>
      </w:r>
    </w:p>
    <w:tbl>
      <w:tblPr>
        <w:tblW w:w="0" w:type="auto"/>
        <w:tblLayout w:type="fixed"/>
        <w:tblLook w:val="0000"/>
      </w:tblPr>
      <w:tblGrid>
        <w:gridCol w:w="2268"/>
        <w:gridCol w:w="6390"/>
      </w:tblGrid>
      <w:tr w:rsidR="00FD0309">
        <w:tc>
          <w:tcPr>
            <w:tcW w:w="2268" w:type="dxa"/>
            <w:shd w:val="clear" w:color="auto" w:fill="auto"/>
          </w:tcPr>
          <w:p w:rsidR="00FD0309" w:rsidRPr="00EA5EB0" w:rsidRDefault="00680ECB" w:rsidP="00EA5EB0">
            <w:pPr>
              <w:spacing w:line="200" w:lineRule="atLeast"/>
              <w:rPr>
                <w:i/>
                <w:sz w:val="22"/>
              </w:rPr>
            </w:pPr>
            <w:r w:rsidRPr="00EA5EB0">
              <w:rPr>
                <w:i/>
                <w:sz w:val="22"/>
              </w:rPr>
              <w:t>Date</w:t>
            </w:r>
          </w:p>
        </w:tc>
        <w:tc>
          <w:tcPr>
            <w:tcW w:w="6390" w:type="dxa"/>
            <w:shd w:val="clear" w:color="auto" w:fill="auto"/>
          </w:tcPr>
          <w:p w:rsidR="00FD0309" w:rsidRPr="00A552DF" w:rsidRDefault="002A3FB0" w:rsidP="002A3FB0">
            <w:pPr>
              <w:rPr>
                <w:b/>
                <w:sz w:val="22"/>
              </w:rPr>
            </w:pPr>
            <w:r>
              <w:rPr>
                <w:sz w:val="22"/>
              </w:rPr>
              <w:t>30 January</w:t>
            </w:r>
            <w:r w:rsidR="00CD4225">
              <w:rPr>
                <w:sz w:val="22"/>
              </w:rPr>
              <w:t xml:space="preserve"> 201</w:t>
            </w:r>
            <w:r>
              <w:rPr>
                <w:sz w:val="22"/>
              </w:rPr>
              <w:t>3</w:t>
            </w:r>
          </w:p>
        </w:tc>
      </w:tr>
      <w:tr w:rsidR="00FD0309">
        <w:tc>
          <w:tcPr>
            <w:tcW w:w="2268" w:type="dxa"/>
            <w:shd w:val="clear" w:color="auto" w:fill="auto"/>
          </w:tcPr>
          <w:p w:rsidR="00FD0309" w:rsidRPr="00EA5EB0" w:rsidRDefault="00FD0309" w:rsidP="00EA5EB0">
            <w:pPr>
              <w:spacing w:line="120" w:lineRule="atLeast"/>
              <w:rPr>
                <w:i/>
                <w:sz w:val="22"/>
              </w:rPr>
            </w:pPr>
          </w:p>
          <w:p w:rsidR="00FD0309" w:rsidRPr="00EA5EB0" w:rsidRDefault="00680ECB" w:rsidP="00EA5EB0">
            <w:pPr>
              <w:spacing w:line="280" w:lineRule="atLeast"/>
              <w:rPr>
                <w:i/>
                <w:sz w:val="22"/>
              </w:rPr>
            </w:pPr>
            <w:r w:rsidRPr="00EA5EB0">
              <w:rPr>
                <w:i/>
                <w:sz w:val="22"/>
              </w:rPr>
              <w:t>Contact</w:t>
            </w:r>
          </w:p>
          <w:p w:rsidR="00FD0309" w:rsidRPr="00EA5EB0" w:rsidRDefault="00FD0309" w:rsidP="00EA5EB0">
            <w:pPr>
              <w:spacing w:line="280" w:lineRule="atLeast"/>
              <w:rPr>
                <w:i/>
                <w:sz w:val="22"/>
              </w:rPr>
            </w:pPr>
          </w:p>
          <w:p w:rsidR="00FD0309" w:rsidRDefault="00FD0309" w:rsidP="00EA5EB0">
            <w:pPr>
              <w:spacing w:line="400" w:lineRule="atLeast"/>
              <w:rPr>
                <w:i/>
                <w:sz w:val="22"/>
              </w:rPr>
            </w:pPr>
          </w:p>
          <w:p w:rsidR="00597656" w:rsidRDefault="00597656" w:rsidP="00EA5EB0">
            <w:pPr>
              <w:spacing w:line="400" w:lineRule="atLeast"/>
              <w:rPr>
                <w:i/>
                <w:sz w:val="22"/>
              </w:rPr>
            </w:pPr>
          </w:p>
          <w:p w:rsidR="001D604A" w:rsidRPr="00EA5EB0" w:rsidRDefault="001D604A" w:rsidP="00EA5EB0">
            <w:pPr>
              <w:spacing w:line="400" w:lineRule="atLeast"/>
              <w:rPr>
                <w:i/>
                <w:sz w:val="22"/>
              </w:rPr>
            </w:pPr>
          </w:p>
          <w:p w:rsidR="00FD0309" w:rsidRPr="00EA5EB0" w:rsidRDefault="00680ECB" w:rsidP="00EA5EB0">
            <w:pPr>
              <w:spacing w:line="280" w:lineRule="atLeast"/>
              <w:rPr>
                <w:i/>
                <w:sz w:val="22"/>
              </w:rPr>
            </w:pPr>
            <w:r w:rsidRPr="00EA5EB0">
              <w:rPr>
                <w:i/>
                <w:sz w:val="22"/>
              </w:rPr>
              <w:t>Pages</w:t>
            </w:r>
          </w:p>
        </w:tc>
        <w:tc>
          <w:tcPr>
            <w:tcW w:w="6390" w:type="dxa"/>
            <w:shd w:val="clear" w:color="auto" w:fill="auto"/>
          </w:tcPr>
          <w:p w:rsidR="00FD0309" w:rsidRPr="00A552DF" w:rsidRDefault="00FD0309" w:rsidP="00EA5EB0">
            <w:pPr>
              <w:tabs>
                <w:tab w:val="left" w:pos="1440"/>
              </w:tabs>
              <w:spacing w:line="100" w:lineRule="atLeast"/>
              <w:rPr>
                <w:sz w:val="22"/>
                <w:lang w:val="de-CH"/>
              </w:rPr>
            </w:pPr>
          </w:p>
          <w:p w:rsidR="00FD0309" w:rsidRPr="00A552DF" w:rsidRDefault="002A3FB0" w:rsidP="00EA5EB0">
            <w:pPr>
              <w:tabs>
                <w:tab w:val="left" w:pos="1440"/>
              </w:tabs>
              <w:spacing w:line="100" w:lineRule="atLeast"/>
              <w:rPr>
                <w:sz w:val="22"/>
              </w:rPr>
            </w:pPr>
            <w:r>
              <w:rPr>
                <w:sz w:val="22"/>
              </w:rPr>
              <w:t>Sebastian di Paola</w:t>
            </w:r>
          </w:p>
          <w:p w:rsidR="00FD0309" w:rsidRPr="00A552DF" w:rsidRDefault="00680ECB" w:rsidP="00EA5EB0">
            <w:pPr>
              <w:tabs>
                <w:tab w:val="left" w:pos="1440"/>
              </w:tabs>
              <w:spacing w:line="100" w:lineRule="atLeast"/>
              <w:rPr>
                <w:sz w:val="22"/>
              </w:rPr>
            </w:pPr>
            <w:r w:rsidRPr="00A552DF">
              <w:rPr>
                <w:sz w:val="22"/>
              </w:rPr>
              <w:t xml:space="preserve">Tel: </w:t>
            </w:r>
            <w:r w:rsidR="002A3FB0" w:rsidRPr="002A3FB0">
              <w:rPr>
                <w:sz w:val="22"/>
              </w:rPr>
              <w:t>+41 58 792 9603</w:t>
            </w:r>
          </w:p>
          <w:p w:rsidR="002A3FB0" w:rsidRDefault="00680ECB" w:rsidP="001D604A">
            <w:pPr>
              <w:tabs>
                <w:tab w:val="left" w:pos="1440"/>
              </w:tabs>
              <w:spacing w:after="120" w:line="0" w:lineRule="atLeast"/>
              <w:rPr>
                <w:sz w:val="22"/>
              </w:rPr>
            </w:pPr>
            <w:r w:rsidRPr="00A552DF">
              <w:rPr>
                <w:sz w:val="22"/>
              </w:rPr>
              <w:t>Email:</w:t>
            </w:r>
            <w:r w:rsidR="002A3FB0">
              <w:rPr>
                <w:sz w:val="22"/>
              </w:rPr>
              <w:t xml:space="preserve"> </w:t>
            </w:r>
            <w:hyperlink r:id="rId8" w:history="1">
              <w:r w:rsidR="002A3FB0" w:rsidRPr="00A52117">
                <w:rPr>
                  <w:rStyle w:val="Hyperlink"/>
                  <w:sz w:val="22"/>
                </w:rPr>
                <w:t>Sebastian.di.paola@ch.pwc.com</w:t>
              </w:r>
            </w:hyperlink>
            <w:r w:rsidR="002A3FB0">
              <w:rPr>
                <w:sz w:val="22"/>
              </w:rPr>
              <w:t xml:space="preserve"> </w:t>
            </w:r>
          </w:p>
          <w:p w:rsidR="00597656" w:rsidRDefault="00597656" w:rsidP="00EA5EB0">
            <w:pPr>
              <w:tabs>
                <w:tab w:val="left" w:pos="1440"/>
              </w:tabs>
              <w:spacing w:line="0" w:lineRule="atLeast"/>
              <w:rPr>
                <w:sz w:val="22"/>
              </w:rPr>
            </w:pPr>
            <w:r>
              <w:rPr>
                <w:sz w:val="22"/>
              </w:rPr>
              <w:t>Bas Rebel</w:t>
            </w:r>
          </w:p>
          <w:p w:rsidR="00597656" w:rsidRDefault="00597656" w:rsidP="00EA5EB0">
            <w:pPr>
              <w:tabs>
                <w:tab w:val="left" w:pos="1440"/>
              </w:tabs>
              <w:spacing w:line="0" w:lineRule="atLeast"/>
              <w:rPr>
                <w:sz w:val="22"/>
              </w:rPr>
            </w:pPr>
            <w:r>
              <w:rPr>
                <w:sz w:val="22"/>
              </w:rPr>
              <w:t xml:space="preserve">Tel: </w:t>
            </w:r>
            <w:r w:rsidRPr="001D604A">
              <w:rPr>
                <w:sz w:val="22"/>
              </w:rPr>
              <w:t>+31 88 792 3824</w:t>
            </w:r>
          </w:p>
          <w:p w:rsidR="001D604A" w:rsidRDefault="001D604A" w:rsidP="00EA5EB0">
            <w:pPr>
              <w:tabs>
                <w:tab w:val="left" w:pos="1440"/>
              </w:tabs>
              <w:spacing w:line="0" w:lineRule="atLeast"/>
              <w:rPr>
                <w:sz w:val="22"/>
              </w:rPr>
            </w:pPr>
            <w:r>
              <w:rPr>
                <w:sz w:val="22"/>
              </w:rPr>
              <w:t>Email: Bas.rebe</w:t>
            </w:r>
            <w:r w:rsidR="00D27B44">
              <w:rPr>
                <w:sz w:val="22"/>
              </w:rPr>
              <w:t>l</w:t>
            </w:r>
            <w:r>
              <w:rPr>
                <w:sz w:val="22"/>
              </w:rPr>
              <w:t>@nl.pwc.com</w:t>
            </w:r>
          </w:p>
          <w:p w:rsidR="00EA5EB0" w:rsidRDefault="00EA5EB0" w:rsidP="00EA5EB0">
            <w:pPr>
              <w:tabs>
                <w:tab w:val="left" w:pos="1440"/>
              </w:tabs>
              <w:spacing w:line="0" w:lineRule="atLeast"/>
              <w:rPr>
                <w:sz w:val="22"/>
              </w:rPr>
            </w:pPr>
          </w:p>
          <w:p w:rsidR="002A3FB0" w:rsidRPr="00A552DF" w:rsidRDefault="00EA5EB0" w:rsidP="00EA5EB0">
            <w:pPr>
              <w:tabs>
                <w:tab w:val="left" w:pos="1440"/>
              </w:tabs>
              <w:spacing w:line="100" w:lineRule="atLeast"/>
              <w:rPr>
                <w:sz w:val="22"/>
              </w:rPr>
            </w:pPr>
            <w:r>
              <w:rPr>
                <w:sz w:val="22"/>
              </w:rPr>
              <w:t>3</w:t>
            </w:r>
          </w:p>
        </w:tc>
      </w:tr>
    </w:tbl>
    <w:p w:rsidR="00FD0309" w:rsidRDefault="00680ECB">
      <w:pPr>
        <w:spacing w:line="240" w:lineRule="auto"/>
        <w:outlineLvl w:val="0"/>
        <w:rPr>
          <w:rFonts w:eastAsia="Times New Roman"/>
          <w:b/>
          <w:bCs/>
          <w:color w:val="C0504D"/>
          <w:kern w:val="36"/>
          <w:sz w:val="24"/>
          <w:szCs w:val="24"/>
          <w:lang w:val="en-US"/>
        </w:rPr>
      </w:pPr>
      <w:r>
        <w:rPr>
          <w:rFonts w:eastAsia="Times New Roman"/>
          <w:b/>
          <w:bCs/>
          <w:color w:val="C0504D"/>
          <w:kern w:val="36"/>
          <w:sz w:val="24"/>
          <w:szCs w:val="24"/>
          <w:lang w:val="en-US"/>
        </w:rPr>
        <w:t>____________________________________________________</w:t>
      </w:r>
    </w:p>
    <w:p w:rsidR="00FD0309" w:rsidRDefault="00FD0309">
      <w:pPr>
        <w:pStyle w:val="BodyText"/>
        <w:spacing w:after="0" w:line="240" w:lineRule="auto"/>
        <w:rPr>
          <w:b/>
          <w:sz w:val="22"/>
        </w:rPr>
      </w:pPr>
    </w:p>
    <w:p w:rsidR="002A3FB0" w:rsidRDefault="002A3FB0" w:rsidP="002A3FB0">
      <w:pPr>
        <w:pStyle w:val="BodyText"/>
        <w:spacing w:after="0" w:line="240" w:lineRule="auto"/>
        <w:jc w:val="center"/>
        <w:rPr>
          <w:b/>
          <w:sz w:val="24"/>
          <w:szCs w:val="24"/>
        </w:rPr>
      </w:pPr>
      <w:r w:rsidRPr="002A3FB0">
        <w:rPr>
          <w:b/>
          <w:sz w:val="24"/>
          <w:szCs w:val="24"/>
        </w:rPr>
        <w:t>Companies underestimate effort and impact of SEPA deadline</w:t>
      </w:r>
    </w:p>
    <w:p w:rsidR="002A3FB0" w:rsidRPr="002A430C" w:rsidRDefault="002A3FB0" w:rsidP="00786647">
      <w:pPr>
        <w:pStyle w:val="BodyText"/>
        <w:spacing w:after="0" w:line="240" w:lineRule="auto"/>
        <w:rPr>
          <w:lang w:val="en-US"/>
        </w:rPr>
      </w:pPr>
    </w:p>
    <w:p w:rsidR="002A3FB0" w:rsidRDefault="002A3FB0" w:rsidP="002A3FB0">
      <w:pPr>
        <w:pStyle w:val="BodyText"/>
        <w:rPr>
          <w:lang w:val="en-US"/>
        </w:rPr>
      </w:pPr>
      <w:r>
        <w:rPr>
          <w:lang w:val="en-US"/>
        </w:rPr>
        <w:t xml:space="preserve">Companies in Europe underestimate the scope and effort of complying with the new </w:t>
      </w:r>
      <w:r w:rsidR="00DC6977">
        <w:rPr>
          <w:lang w:val="en-US"/>
        </w:rPr>
        <w:t>Single Euro Payments Area (</w:t>
      </w:r>
      <w:r>
        <w:rPr>
          <w:lang w:val="en-US"/>
        </w:rPr>
        <w:t>SEPA</w:t>
      </w:r>
      <w:r w:rsidR="00DC6977">
        <w:rPr>
          <w:lang w:val="en-US"/>
        </w:rPr>
        <w:t>)</w:t>
      </w:r>
      <w:r>
        <w:rPr>
          <w:lang w:val="en-US"/>
        </w:rPr>
        <w:t xml:space="preserve"> requirements by 1 February 2014. Responses to a recent PwC survey suggest </w:t>
      </w:r>
      <w:r w:rsidRPr="00B06412">
        <w:rPr>
          <w:b/>
        </w:rPr>
        <w:t xml:space="preserve">that 55% of organisations are at risk </w:t>
      </w:r>
      <w:r>
        <w:rPr>
          <w:b/>
        </w:rPr>
        <w:t>of</w:t>
      </w:r>
      <w:r w:rsidRPr="00B06412">
        <w:rPr>
          <w:b/>
        </w:rPr>
        <w:t xml:space="preserve"> miss</w:t>
      </w:r>
      <w:r>
        <w:rPr>
          <w:b/>
        </w:rPr>
        <w:t>ing</w:t>
      </w:r>
      <w:r w:rsidRPr="00B06412">
        <w:rPr>
          <w:b/>
        </w:rPr>
        <w:t xml:space="preserve"> the </w:t>
      </w:r>
      <w:r>
        <w:rPr>
          <w:b/>
        </w:rPr>
        <w:t xml:space="preserve">SEPA </w:t>
      </w:r>
      <w:r w:rsidRPr="00B06412">
        <w:rPr>
          <w:b/>
        </w:rPr>
        <w:t xml:space="preserve">deadline </w:t>
      </w:r>
      <w:r>
        <w:rPr>
          <w:b/>
        </w:rPr>
        <w:t>next February</w:t>
      </w:r>
      <w:r w:rsidRPr="00B06412">
        <w:rPr>
          <w:b/>
        </w:rPr>
        <w:t>.</w:t>
      </w:r>
    </w:p>
    <w:p w:rsidR="002A3FB0" w:rsidRDefault="002A3FB0" w:rsidP="002A3FB0">
      <w:pPr>
        <w:pStyle w:val="BodyText"/>
        <w:rPr>
          <w:lang w:val="en-US"/>
        </w:rPr>
      </w:pPr>
      <w:r>
        <w:rPr>
          <w:lang w:val="en-US"/>
        </w:rPr>
        <w:t xml:space="preserve">With one year to go before the payments markets in Europe integrate, PwC surveyed 293 respondents about their organisations’ readiness for the integration of payments markets in Europe. </w:t>
      </w:r>
    </w:p>
    <w:p w:rsidR="002A3FB0" w:rsidRDefault="002A3FB0" w:rsidP="002A3FB0">
      <w:pPr>
        <w:pStyle w:val="BodyText"/>
        <w:rPr>
          <w:b/>
        </w:rPr>
      </w:pPr>
      <w:r w:rsidRPr="00404384">
        <w:t xml:space="preserve">It appears that, for many </w:t>
      </w:r>
      <w:r w:rsidRPr="00B06412">
        <w:t>organisations</w:t>
      </w:r>
      <w:r w:rsidRPr="00404384">
        <w:t xml:space="preserve">, there is a lot of work still to be done, and yet </w:t>
      </w:r>
      <w:r>
        <w:t xml:space="preserve">there remains </w:t>
      </w:r>
      <w:r w:rsidRPr="00404384">
        <w:t xml:space="preserve">an unawareness of the scale of the task. </w:t>
      </w:r>
    </w:p>
    <w:p w:rsidR="002A3FB0" w:rsidRPr="00B06412" w:rsidRDefault="002A3FB0" w:rsidP="006157D7">
      <w:pPr>
        <w:pStyle w:val="BodyText"/>
        <w:spacing w:after="120"/>
      </w:pPr>
      <w:r>
        <w:t xml:space="preserve">Major findings </w:t>
      </w:r>
      <w:r w:rsidR="004E1F22">
        <w:t xml:space="preserve">of the survey, </w:t>
      </w:r>
      <w:r w:rsidR="004E1F22" w:rsidRPr="006157D7">
        <w:rPr>
          <w:color w:val="0070C0"/>
        </w:rPr>
        <w:t>‘</w:t>
      </w:r>
      <w:hyperlink r:id="rId9" w:history="1">
        <w:r w:rsidR="004E1F22" w:rsidRPr="006157D7">
          <w:rPr>
            <w:rStyle w:val="Hyperlink"/>
            <w:color w:val="0070C0"/>
          </w:rPr>
          <w:t>SEPA Readiness Thermometer - State of play with one year to go’</w:t>
        </w:r>
      </w:hyperlink>
      <w:r w:rsidR="004E1F22">
        <w:t>, include</w:t>
      </w:r>
      <w:r>
        <w:t>:</w:t>
      </w:r>
    </w:p>
    <w:p w:rsidR="002A3FB0" w:rsidRDefault="002A3FB0" w:rsidP="002A3FB0">
      <w:pPr>
        <w:pStyle w:val="BodyText"/>
        <w:numPr>
          <w:ilvl w:val="0"/>
          <w:numId w:val="16"/>
        </w:numPr>
        <w:spacing w:before="120" w:after="120" w:line="240" w:lineRule="auto"/>
        <w:ind w:left="284" w:hanging="284"/>
      </w:pPr>
      <w:r>
        <w:t>21.6% of respondents have yet to define and plan their SEPA readiness activities;</w:t>
      </w:r>
    </w:p>
    <w:p w:rsidR="002A3FB0" w:rsidRDefault="002A3FB0" w:rsidP="002A3FB0">
      <w:pPr>
        <w:pStyle w:val="BodyText"/>
        <w:numPr>
          <w:ilvl w:val="0"/>
          <w:numId w:val="16"/>
        </w:numPr>
        <w:spacing w:before="120" w:after="120" w:line="240" w:lineRule="auto"/>
        <w:ind w:left="284" w:hanging="284"/>
      </w:pPr>
      <w:r>
        <w:t>Few organisations have a comprehensive scope defined – for example, fewer than 30% of respondents include review and update of master data in their scope, and fewer than 20% involve HR, legal and sales departments in their projects. These statistics are even worse for those organisations that have yet to plan their SEPA-readiness activities.</w:t>
      </w:r>
    </w:p>
    <w:p w:rsidR="002A3FB0" w:rsidRDefault="002A3FB0" w:rsidP="002A3FB0">
      <w:pPr>
        <w:pStyle w:val="BodyText"/>
        <w:numPr>
          <w:ilvl w:val="0"/>
          <w:numId w:val="16"/>
        </w:numPr>
        <w:spacing w:before="120" w:after="120" w:line="240" w:lineRule="auto"/>
        <w:ind w:left="284" w:hanging="284"/>
      </w:pPr>
      <w:r>
        <w:t>43.5% of respondents that have planned their readiness expect to complete their project uncomfortably close to the deadline of 1 February 2014.</w:t>
      </w:r>
    </w:p>
    <w:p w:rsidR="002A3FB0" w:rsidRDefault="002A3FB0" w:rsidP="002A3FB0">
      <w:pPr>
        <w:pStyle w:val="BodyText"/>
        <w:numPr>
          <w:ilvl w:val="0"/>
          <w:numId w:val="16"/>
        </w:numPr>
        <w:spacing w:before="120" w:after="120" w:line="240" w:lineRule="auto"/>
        <w:ind w:left="284" w:hanging="284"/>
      </w:pPr>
      <w:r>
        <w:t>43% of respondents are not confident that the majority of their customers will be ready for SEPA in time.</w:t>
      </w:r>
    </w:p>
    <w:p w:rsidR="002A3FB0" w:rsidRDefault="002A3FB0" w:rsidP="002A3FB0">
      <w:pPr>
        <w:pStyle w:val="BodyText"/>
        <w:numPr>
          <w:ilvl w:val="0"/>
          <w:numId w:val="16"/>
        </w:numPr>
        <w:spacing w:before="120" w:after="120" w:line="240" w:lineRule="auto"/>
        <w:ind w:left="284" w:hanging="284"/>
      </w:pPr>
      <w:r>
        <w:t>92% of respondents mention ‘systems readiness’ as their number one concern.</w:t>
      </w:r>
    </w:p>
    <w:p w:rsidR="002A3FB0" w:rsidRDefault="002A3FB0" w:rsidP="0024619C">
      <w:pPr>
        <w:pStyle w:val="BodyText"/>
        <w:spacing w:after="0"/>
      </w:pPr>
    </w:p>
    <w:p w:rsidR="002A3FB0" w:rsidRDefault="002A3FB0" w:rsidP="002A3FB0">
      <w:pPr>
        <w:pStyle w:val="BodyText"/>
      </w:pPr>
      <w:r>
        <w:t>“All findings combined lead us to believe that some 55% of all organisations will miss or are at an increased risk of missing the 1 February 2014 milestone”, said Bas Rebel, senior director treasury advisory at PwC in the Netherlands. “Without an increased focus and effort, corporates and all other stakeholders should brace themselves for a major hiccup in payment processing in the period immediately after 1 February 2014.</w:t>
      </w:r>
    </w:p>
    <w:p w:rsidR="002A3FB0" w:rsidRDefault="002A3FB0" w:rsidP="002A3FB0">
      <w:pPr>
        <w:pStyle w:val="BodyText"/>
      </w:pPr>
      <w:r>
        <w:lastRenderedPageBreak/>
        <w:t>“Companies should not only focus on their own readiness, but also understand their clients’ and suppliers’ readiness effort. If on Monday 3 February 2014 companies discover they are not ready, they may have a hard time paying due invoices. At the same time, suppliers that are not ready may have serious issues with their physical supply chain. And the payment industry may be confronted with a backlog of issues that need fixing. We believe that all companies and stakeholders should pr</w:t>
      </w:r>
      <w:r w:rsidR="002A313E">
        <w:t>epare for a worst-case scenario,</w:t>
      </w:r>
      <w:r>
        <w:t xml:space="preserve">” </w:t>
      </w:r>
      <w:r w:rsidR="002A313E">
        <w:t>concluded Bas Rebel.</w:t>
      </w:r>
    </w:p>
    <w:p w:rsidR="006157D7" w:rsidRDefault="006157D7" w:rsidP="002A3FB0">
      <w:pPr>
        <w:pStyle w:val="BodyText"/>
      </w:pPr>
    </w:p>
    <w:p w:rsidR="002A3FB0" w:rsidRPr="00141471" w:rsidRDefault="00275EDD" w:rsidP="002A3FB0">
      <w:pPr>
        <w:pStyle w:val="Label"/>
        <w:ind w:left="0" w:firstLine="0"/>
        <w:jc w:val="left"/>
        <w:rPr>
          <w:sz w:val="16"/>
        </w:rPr>
      </w:pPr>
      <w:r>
        <w:rPr>
          <w:noProof/>
          <w:lang w:val="en-US"/>
        </w:rPr>
        <w:drawing>
          <wp:inline distT="0" distB="0" distL="0" distR="0">
            <wp:extent cx="5416677" cy="2872359"/>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416677" cy="2872359"/>
                    </a:xfrm>
                    <a:prstGeom prst="rect">
                      <a:avLst/>
                    </a:prstGeom>
                    <a:noFill/>
                    <a:ln w="9525">
                      <a:noFill/>
                      <a:miter lim="800000"/>
                      <a:headEnd/>
                      <a:tailEnd/>
                    </a:ln>
                  </pic:spPr>
                </pic:pic>
              </a:graphicData>
            </a:graphic>
          </wp:inline>
        </w:drawing>
      </w:r>
    </w:p>
    <w:p w:rsidR="002A3FB0" w:rsidRDefault="002A3FB0" w:rsidP="004E1F22">
      <w:pPr>
        <w:pStyle w:val="BodyText"/>
        <w:spacing w:after="0"/>
      </w:pPr>
      <w:bookmarkStart w:id="0" w:name="_Toc346927397"/>
      <w:r>
        <w:t xml:space="preserve">You can </w:t>
      </w:r>
      <w:r w:rsidR="0024619C">
        <w:t>find</w:t>
      </w:r>
      <w:r>
        <w:t xml:space="preserve"> the full report</w:t>
      </w:r>
      <w:r w:rsidR="004E1F22">
        <w:t xml:space="preserve">, ‘SEPA Readiness Thermometer - State of play with one year to go’, </w:t>
      </w:r>
      <w:r w:rsidR="0024619C">
        <w:t xml:space="preserve">under ‘Research and insights’ </w:t>
      </w:r>
      <w:r>
        <w:t xml:space="preserve">at </w:t>
      </w:r>
      <w:r w:rsidR="0024619C">
        <w:t xml:space="preserve">pwc.com/corporatetreasurysolutions or by </w:t>
      </w:r>
      <w:hyperlink r:id="rId11" w:history="1">
        <w:r w:rsidR="0024619C" w:rsidRPr="0024619C">
          <w:rPr>
            <w:rStyle w:val="Hyperlink"/>
          </w:rPr>
          <w:t>clicking here</w:t>
        </w:r>
      </w:hyperlink>
      <w:r w:rsidR="0024619C">
        <w:t xml:space="preserve">. </w:t>
      </w:r>
    </w:p>
    <w:p w:rsidR="00F15D58" w:rsidRDefault="00F15D58" w:rsidP="002A3FB0">
      <w:pPr>
        <w:spacing w:line="240" w:lineRule="auto"/>
        <w:rPr>
          <w:b/>
          <w:szCs w:val="20"/>
          <w:lang w:eastAsia="en-GB"/>
        </w:rPr>
      </w:pPr>
    </w:p>
    <w:p w:rsidR="006157D7" w:rsidRDefault="006157D7" w:rsidP="002A3FB0">
      <w:pPr>
        <w:spacing w:line="240" w:lineRule="auto"/>
        <w:rPr>
          <w:b/>
          <w:szCs w:val="20"/>
          <w:lang w:eastAsia="en-GB"/>
        </w:rPr>
      </w:pPr>
    </w:p>
    <w:p w:rsidR="002A3FB0" w:rsidRPr="002A3FB0" w:rsidRDefault="002A3FB0" w:rsidP="002A3FB0">
      <w:pPr>
        <w:spacing w:line="240" w:lineRule="auto"/>
        <w:rPr>
          <w:b/>
          <w:szCs w:val="20"/>
          <w:lang w:eastAsia="en-GB"/>
        </w:rPr>
      </w:pPr>
      <w:r w:rsidRPr="002A3FB0">
        <w:rPr>
          <w:b/>
          <w:szCs w:val="20"/>
          <w:lang w:eastAsia="en-GB"/>
        </w:rPr>
        <w:t>SEPA: Single Euro Payment Area</w:t>
      </w:r>
      <w:bookmarkEnd w:id="0"/>
      <w:r w:rsidRPr="002A3FB0">
        <w:rPr>
          <w:b/>
          <w:szCs w:val="20"/>
          <w:lang w:eastAsia="en-GB"/>
        </w:rPr>
        <w:t xml:space="preserve"> </w:t>
      </w:r>
    </w:p>
    <w:p w:rsidR="002A3FB0" w:rsidRPr="000F33CF" w:rsidRDefault="002A3FB0" w:rsidP="002A3FB0">
      <w:pPr>
        <w:pStyle w:val="Normal1"/>
        <w:spacing w:before="120" w:after="120"/>
        <w:rPr>
          <w:rFonts w:ascii="Georgia" w:hAnsi="Georgia"/>
          <w:lang w:val="en-GB"/>
        </w:rPr>
      </w:pPr>
      <w:r w:rsidRPr="000F33CF">
        <w:rPr>
          <w:rFonts w:ascii="Georgia" w:hAnsi="Georgia"/>
          <w:lang w:val="en-GB"/>
        </w:rPr>
        <w:t xml:space="preserve">The SEPA project for a common European payments market is rapidly approaching an important milestone. As of 1 February, 2014 all ACH and direct debit instructions within in the EU and the European Economical Area denominated in euros have to comply with the SEPA standard. </w:t>
      </w:r>
    </w:p>
    <w:p w:rsidR="002A3FB0" w:rsidRDefault="002A3FB0" w:rsidP="002A3FB0">
      <w:pPr>
        <w:pStyle w:val="Normal1"/>
        <w:spacing w:before="120" w:after="120"/>
        <w:rPr>
          <w:rFonts w:ascii="Georgia" w:hAnsi="Georgia"/>
          <w:lang w:val="en-GB"/>
        </w:rPr>
      </w:pPr>
      <w:r w:rsidRPr="000F33CF">
        <w:rPr>
          <w:rFonts w:ascii="Georgia" w:hAnsi="Georgia"/>
          <w:lang w:val="en-GB"/>
        </w:rPr>
        <w:t xml:space="preserve">This 2014 milestone </w:t>
      </w:r>
      <w:r>
        <w:rPr>
          <w:rFonts w:ascii="Georgia" w:hAnsi="Georgia"/>
          <w:lang w:val="en-GB"/>
        </w:rPr>
        <w:t>brings an end to an era of dual-</w:t>
      </w:r>
      <w:r w:rsidRPr="000F33CF">
        <w:rPr>
          <w:rFonts w:ascii="Georgia" w:hAnsi="Georgia"/>
          <w:lang w:val="en-GB"/>
        </w:rPr>
        <w:t xml:space="preserve">payment infrastructure for banks and clearing houses, which started on 28 January 2008 when the first SEPA credit transfers were processed. While 28 January 2008 was important for the payments industry itself, it had little impact on businesses and consumers. The </w:t>
      </w:r>
      <w:r>
        <w:rPr>
          <w:rFonts w:ascii="Georgia" w:hAnsi="Georgia"/>
          <w:lang w:val="en-GB"/>
        </w:rPr>
        <w:t>deadline</w:t>
      </w:r>
      <w:r w:rsidRPr="000F33CF">
        <w:rPr>
          <w:rFonts w:ascii="Georgia" w:hAnsi="Georgia"/>
          <w:lang w:val="en-GB"/>
        </w:rPr>
        <w:t xml:space="preserve"> of 1 February 2014 will be different. As of that day, domestic clearing transactions within EU Member States – more than 90% of all transactions in Europe – will have to be provided to banks in SEPA format. This means that transactions will no longer be processed automatically when the Basic Bank Account Numbers (BBAN) and clearing numbers or branch codes are provided. Instead, the payer will have to provide the IBAN and often also the BIC. SEPA also provides a common standard for Direct Debit Mandate Management, which as of 1 February 2014 will be mandatory for local direct debit transactions. Local file formats will become obsolete or, at best, will have to be updated to capture the new data elements.</w:t>
      </w:r>
    </w:p>
    <w:p w:rsidR="006157D7" w:rsidRDefault="006157D7" w:rsidP="002A3FB0">
      <w:pPr>
        <w:pStyle w:val="Normal1"/>
        <w:spacing w:before="120" w:after="120"/>
        <w:rPr>
          <w:rFonts w:ascii="Georgia" w:hAnsi="Georgia"/>
          <w:lang w:val="en-GB"/>
        </w:rPr>
      </w:pPr>
    </w:p>
    <w:p w:rsidR="006157D7" w:rsidRDefault="006157D7" w:rsidP="002A3FB0">
      <w:pPr>
        <w:pStyle w:val="Normal1"/>
        <w:spacing w:before="120" w:after="120"/>
        <w:rPr>
          <w:rFonts w:ascii="Georgia" w:hAnsi="Georgia"/>
          <w:lang w:val="en-GB"/>
        </w:rPr>
      </w:pPr>
    </w:p>
    <w:p w:rsidR="002A3FB0" w:rsidRDefault="002A3FB0" w:rsidP="002A3FB0">
      <w:pPr>
        <w:pStyle w:val="Normal1"/>
        <w:spacing w:before="120" w:after="120"/>
        <w:rPr>
          <w:rFonts w:ascii="Georgia" w:hAnsi="Georgia"/>
          <w:lang w:val="en-GB"/>
        </w:rPr>
      </w:pPr>
      <w:r w:rsidRPr="000F33CF">
        <w:rPr>
          <w:rFonts w:ascii="Georgia" w:hAnsi="Georgia"/>
          <w:lang w:val="en-GB"/>
        </w:rPr>
        <w:lastRenderedPageBreak/>
        <w:t xml:space="preserve">Despite being a major milestone, 1 February 2014 does not complete the common European Payments Market. Most Member States have been granted an exemption for one or more local electronic payment products that are not highly compatible with the current SEPA Standards for Credit Transfer (SCT) or Direct Debit (SDD). In the next few years, these exempted products will be replaced by a SEPA-compatible scheme. </w:t>
      </w:r>
    </w:p>
    <w:p w:rsidR="00EA5EB0" w:rsidRPr="00EA5EB0" w:rsidRDefault="00680ECB" w:rsidP="00EA5EB0">
      <w:pPr>
        <w:spacing w:after="120" w:line="240" w:lineRule="auto"/>
        <w:rPr>
          <w:sz w:val="22"/>
          <w:lang w:eastAsia="en-GB"/>
        </w:rPr>
      </w:pPr>
      <w:r w:rsidRPr="00687D94">
        <w:rPr>
          <w:b/>
          <w:szCs w:val="20"/>
          <w:lang w:eastAsia="en-GB"/>
        </w:rPr>
        <w:t>About PricewaterhouseCoopers:</w:t>
      </w:r>
    </w:p>
    <w:p w:rsidR="00EA5EB0" w:rsidRPr="00EA5EB0" w:rsidRDefault="00EA5EB0" w:rsidP="00EA5EB0">
      <w:pPr>
        <w:spacing w:line="240" w:lineRule="auto"/>
        <w:rPr>
          <w:szCs w:val="20"/>
        </w:rPr>
      </w:pPr>
      <w:r w:rsidRPr="00EA5EB0">
        <w:rPr>
          <w:bCs/>
          <w:szCs w:val="20"/>
        </w:rPr>
        <w:t>P</w:t>
      </w:r>
      <w:r w:rsidRPr="00EA5EB0">
        <w:rPr>
          <w:szCs w:val="20"/>
        </w:rPr>
        <w:t xml:space="preserve">wC helps organisations and individuals create the value they’re looking for. We’re a network of firms in 158 countries with over 180,000 people who are committed to delivering quality in assurance, tax and advisory services. Tell us what matters to you and find out more by visiting us at </w:t>
      </w:r>
      <w:hyperlink r:id="rId12" w:history="1">
        <w:r w:rsidRPr="00EA5EB0">
          <w:rPr>
            <w:rStyle w:val="Hyperlink"/>
            <w:szCs w:val="20"/>
          </w:rPr>
          <w:t>www.pwc.com</w:t>
        </w:r>
      </w:hyperlink>
      <w:r w:rsidRPr="00EA5EB0">
        <w:rPr>
          <w:szCs w:val="20"/>
        </w:rPr>
        <w:t>.</w:t>
      </w:r>
    </w:p>
    <w:p w:rsidR="00EA5EB0" w:rsidRPr="00ED42C7" w:rsidRDefault="00EA5EB0" w:rsidP="00EA5EB0">
      <w:pPr>
        <w:spacing w:line="240" w:lineRule="auto"/>
        <w:rPr>
          <w:szCs w:val="20"/>
        </w:rPr>
      </w:pPr>
    </w:p>
    <w:p w:rsidR="00EA5EB0" w:rsidRDefault="00EA5EB0" w:rsidP="00EA5EB0">
      <w:pPr>
        <w:autoSpaceDE w:val="0"/>
        <w:autoSpaceDN w:val="0"/>
        <w:adjustRightInd w:val="0"/>
        <w:spacing w:line="240" w:lineRule="auto"/>
        <w:rPr>
          <w:rFonts w:cs="Georgia"/>
          <w:bCs/>
          <w:color w:val="000000"/>
          <w:szCs w:val="20"/>
          <w:lang w:eastAsia="en-GB"/>
        </w:rPr>
      </w:pPr>
      <w:r w:rsidRPr="00ED42C7">
        <w:rPr>
          <w:rFonts w:cs="Georgia"/>
          <w:bCs/>
          <w:color w:val="000000"/>
          <w:szCs w:val="20"/>
          <w:lang w:eastAsia="en-GB"/>
        </w:rPr>
        <w:t>©</w:t>
      </w:r>
      <w:r>
        <w:rPr>
          <w:rFonts w:cs="Georgia"/>
          <w:bCs/>
          <w:color w:val="000000"/>
          <w:szCs w:val="20"/>
          <w:lang w:eastAsia="en-GB"/>
        </w:rPr>
        <w:t>2013 PwC. All rights reserved</w:t>
      </w:r>
    </w:p>
    <w:p w:rsidR="00EA5EB0" w:rsidRPr="00ED42C7" w:rsidRDefault="00EA5EB0" w:rsidP="00EA5EB0">
      <w:pPr>
        <w:autoSpaceDE w:val="0"/>
        <w:autoSpaceDN w:val="0"/>
        <w:adjustRightInd w:val="0"/>
        <w:spacing w:line="240" w:lineRule="auto"/>
        <w:ind w:firstLine="720"/>
        <w:rPr>
          <w:rFonts w:cs="Georgia"/>
          <w:bCs/>
          <w:color w:val="000000"/>
          <w:szCs w:val="20"/>
          <w:lang w:eastAsia="en-GB"/>
        </w:rPr>
      </w:pPr>
    </w:p>
    <w:p w:rsidR="00EA5EB0" w:rsidRPr="00ED42C7" w:rsidRDefault="00EA5EB0" w:rsidP="00EA5EB0">
      <w:pPr>
        <w:spacing w:line="240" w:lineRule="auto"/>
        <w:rPr>
          <w:rFonts w:cs="Georgia"/>
          <w:bCs/>
          <w:szCs w:val="20"/>
          <w:lang w:eastAsia="en-GB"/>
        </w:rPr>
      </w:pPr>
      <w:r w:rsidRPr="00ED42C7">
        <w:rPr>
          <w:rFonts w:cs="Georgia"/>
          <w:bCs/>
          <w:szCs w:val="20"/>
          <w:lang w:eastAsia="en-GB"/>
        </w:rPr>
        <w:t>PwC refers to the PwC network and/or one or more of its member firms, each of which is a separate legal entity. Please see www.pwc.com/structure for further details.</w:t>
      </w:r>
    </w:p>
    <w:p w:rsidR="00EA5EB0" w:rsidRPr="00026A59" w:rsidRDefault="00EA5EB0" w:rsidP="00EA5EB0">
      <w:pPr>
        <w:spacing w:line="240" w:lineRule="auto"/>
        <w:rPr>
          <w:rFonts w:cs="Arial"/>
          <w:bCs/>
          <w:szCs w:val="20"/>
        </w:rPr>
      </w:pPr>
    </w:p>
    <w:p w:rsidR="00EA5EB0" w:rsidRDefault="00EA5EB0">
      <w:pPr>
        <w:spacing w:line="240" w:lineRule="auto"/>
        <w:rPr>
          <w:rFonts w:cs="Georgia"/>
          <w:color w:val="000000"/>
          <w:szCs w:val="20"/>
        </w:rPr>
      </w:pPr>
    </w:p>
    <w:p w:rsidR="00FD0309" w:rsidRDefault="00FD0309">
      <w:pPr>
        <w:spacing w:line="240" w:lineRule="auto"/>
        <w:outlineLvl w:val="0"/>
        <w:rPr>
          <w:sz w:val="22"/>
        </w:rPr>
      </w:pPr>
    </w:p>
    <w:p w:rsidR="00FD0309" w:rsidRDefault="00FD0309">
      <w:pPr>
        <w:spacing w:line="240" w:lineRule="auto"/>
        <w:outlineLvl w:val="0"/>
        <w:rPr>
          <w:sz w:val="22"/>
        </w:rPr>
      </w:pPr>
    </w:p>
    <w:p w:rsidR="00FD0309" w:rsidRDefault="00FD0309">
      <w:pPr>
        <w:spacing w:line="240" w:lineRule="auto"/>
        <w:outlineLvl w:val="0"/>
        <w:rPr>
          <w:sz w:val="22"/>
        </w:rPr>
      </w:pPr>
    </w:p>
    <w:p w:rsidR="00FD0309" w:rsidRDefault="00FD0309">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Georgia"/>
          <w:color w:val="000000"/>
          <w:szCs w:val="20"/>
          <w:lang w:val="en-US" w:eastAsia="en-GB"/>
        </w:rPr>
      </w:pPr>
    </w:p>
    <w:p w:rsidR="00FD0309" w:rsidRDefault="00680ECB">
      <w:pPr>
        <w:spacing w:line="240" w:lineRule="auto"/>
        <w:outlineLvl w:val="0"/>
        <w:rPr>
          <w:sz w:val="22"/>
        </w:rPr>
      </w:pPr>
      <w:r>
        <w:rPr>
          <w:rFonts w:cstheme="minorHAnsi"/>
          <w:kern w:val="24"/>
          <w:sz w:val="22"/>
        </w:rPr>
        <w:br/>
      </w:r>
    </w:p>
    <w:sectPr w:rsidR="00FD0309" w:rsidSect="00FD0309">
      <w:headerReference w:type="even" r:id="rId13"/>
      <w:headerReference w:type="default" r:id="rId14"/>
      <w:footerReference w:type="even" r:id="rId15"/>
      <w:footerReference w:type="default" r:id="rId16"/>
      <w:headerReference w:type="first" r:id="rId17"/>
      <w:pgSz w:w="11907" w:h="16839"/>
      <w:pgMar w:top="3137" w:right="850" w:bottom="1276" w:left="198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CDF" w:rsidRDefault="003C7CDF">
      <w:pPr>
        <w:spacing w:line="240" w:lineRule="auto"/>
      </w:pPr>
      <w:r>
        <w:separator/>
      </w:r>
    </w:p>
  </w:endnote>
  <w:endnote w:type="continuationSeparator" w:id="0">
    <w:p w:rsidR="003C7CDF" w:rsidRDefault="003C7C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309" w:rsidRDefault="00D25AED">
    <w:pPr>
      <w:pStyle w:val="Footer"/>
    </w:pPr>
    <w:fldSimple w:instr=" PAGE  \* MERGEFORMAT ">
      <w:r w:rsidR="00954F47">
        <w:rPr>
          <w:noProof/>
        </w:rPr>
        <w:t>2</w:t>
      </w:r>
    </w:fldSimple>
    <w:r w:rsidR="00680ECB">
      <w:t xml:space="preserve"> of </w:t>
    </w:r>
    <w:fldSimple w:instr=" NUMPAGES  \* MERGEFORMAT ">
      <w:r w:rsidR="00954F47">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309" w:rsidRDefault="00D25AED">
    <w:pPr>
      <w:pStyle w:val="Footer"/>
    </w:pPr>
    <w:fldSimple w:instr=" PAGE  \* MERGEFORMAT ">
      <w:r w:rsidR="00954F47">
        <w:rPr>
          <w:noProof/>
        </w:rPr>
        <w:t>3</w:t>
      </w:r>
    </w:fldSimple>
    <w:r w:rsidR="00680ECB">
      <w:t xml:space="preserve"> of </w:t>
    </w:r>
    <w:fldSimple w:instr=" NUMPAGES  \* MERGEFORMAT ">
      <w:r w:rsidR="00954F47">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CDF" w:rsidRDefault="003C7CDF">
      <w:pPr>
        <w:spacing w:line="240" w:lineRule="auto"/>
      </w:pPr>
      <w:r>
        <w:separator/>
      </w:r>
    </w:p>
  </w:footnote>
  <w:footnote w:type="continuationSeparator" w:id="0">
    <w:p w:rsidR="003C7CDF" w:rsidRDefault="003C7CD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309" w:rsidRDefault="00FD0309">
    <w:pPr>
      <w:pStyle w:val="Header"/>
    </w:pPr>
  </w:p>
  <w:p w:rsidR="00FD0309" w:rsidRDefault="00680ECB">
    <w:pPr>
      <w:pStyle w:val="Header"/>
    </w:pPr>
    <w:r>
      <w:rPr>
        <w:noProof/>
        <w:lang w:val="en-US"/>
      </w:rPr>
      <w:drawing>
        <wp:anchor distT="0" distB="0" distL="114300" distR="114300" simplePos="0" relativeHeight="251658752" behindDoc="0" locked="1" layoutInCell="1" allowOverlap="1">
          <wp:simplePos x="0" y="0"/>
          <wp:positionH relativeFrom="page">
            <wp:posOffset>735965</wp:posOffset>
          </wp:positionH>
          <wp:positionV relativeFrom="page">
            <wp:posOffset>796290</wp:posOffset>
          </wp:positionV>
          <wp:extent cx="1414780" cy="1268095"/>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4780" cy="126809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309" w:rsidRDefault="00680ECB">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FD0309" w:rsidRDefault="00FD03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309" w:rsidRDefault="00680ECB">
    <w:pPr>
      <w:pStyle w:val="Header"/>
    </w:pPr>
    <w:r>
      <w:rPr>
        <w:noProof/>
        <w:lang w:val="en-US"/>
      </w:rPr>
      <w:drawing>
        <wp:anchor distT="0" distB="0" distL="114300" distR="114300" simplePos="0" relativeHeight="251657728" behindDoc="0" locked="1" layoutInCell="1" allowOverlap="1">
          <wp:simplePos x="0" y="0"/>
          <wp:positionH relativeFrom="page">
            <wp:posOffset>583565</wp:posOffset>
          </wp:positionH>
          <wp:positionV relativeFrom="page">
            <wp:posOffset>643890</wp:posOffset>
          </wp:positionV>
          <wp:extent cx="1414780" cy="1268095"/>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4780" cy="12680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http://nextgenjournal.com/wp-content/themes/NextGen%20Journal%201.0.11/images/twitter-logo.png" style="width:63.95pt;height:63.95pt;visibility:visible" o:bullet="t">
        <v:imagedata r:id="rId1" o:title="twitter-logo"/>
      </v:shape>
    </w:pict>
  </w:numPicBullet>
  <w:numPicBullet w:numPicBulletId="1">
    <w:pict>
      <v:shape id="_x0000_i1033" type="#_x0000_t75" style="width:12.1pt;height:12.1pt;visibility:visible" o:bullet="t">
        <v:imagedata r:id="rId2" o:title=""/>
      </v:shape>
    </w:pict>
  </w:numPicBullet>
  <w:abstractNum w:abstractNumId="0">
    <w:nsid w:val="03DB116F"/>
    <w:multiLevelType w:val="hybridMultilevel"/>
    <w:tmpl w:val="196C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006B1"/>
    <w:multiLevelType w:val="hybridMultilevel"/>
    <w:tmpl w:val="88D4C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A4B13"/>
    <w:multiLevelType w:val="hybridMultilevel"/>
    <w:tmpl w:val="AB186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EA0F48"/>
    <w:multiLevelType w:val="hybridMultilevel"/>
    <w:tmpl w:val="E62C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FC2101"/>
    <w:multiLevelType w:val="hybridMultilevel"/>
    <w:tmpl w:val="5F2A401A"/>
    <w:lvl w:ilvl="0" w:tplc="A0D0E10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948373E"/>
    <w:multiLevelType w:val="hybridMultilevel"/>
    <w:tmpl w:val="776E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6B1E62"/>
    <w:multiLevelType w:val="hybridMultilevel"/>
    <w:tmpl w:val="97A4FFC8"/>
    <w:lvl w:ilvl="0" w:tplc="48C05B14">
      <w:start w:val="1"/>
      <w:numFmt w:val="bullet"/>
      <w:lvlText w:val=""/>
      <w:lvlJc w:val="left"/>
      <w:pPr>
        <w:ind w:left="360" w:hanging="360"/>
      </w:pPr>
      <w:rPr>
        <w:rFonts w:ascii="Symbol" w:hAnsi="Symbol" w:hint="default"/>
        <w:color w:val="DC69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375289F"/>
    <w:multiLevelType w:val="hybridMultilevel"/>
    <w:tmpl w:val="308A6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4792747"/>
    <w:multiLevelType w:val="hybridMultilevel"/>
    <w:tmpl w:val="0922B2B8"/>
    <w:lvl w:ilvl="0" w:tplc="04130001">
      <w:start w:val="1"/>
      <w:numFmt w:val="bullet"/>
      <w:pStyle w:val="ListBullet"/>
      <w:lvlText w:val=""/>
      <w:lvlJc w:val="left"/>
      <w:pPr>
        <w:ind w:left="758" w:hanging="360"/>
      </w:pPr>
      <w:rPr>
        <w:rFonts w:ascii="Symbol" w:hAnsi="Symbol" w:hint="default"/>
      </w:rPr>
    </w:lvl>
    <w:lvl w:ilvl="1" w:tplc="04130003" w:tentative="1">
      <w:start w:val="1"/>
      <w:numFmt w:val="bullet"/>
      <w:lvlText w:val="o"/>
      <w:lvlJc w:val="left"/>
      <w:pPr>
        <w:ind w:left="1478" w:hanging="360"/>
      </w:pPr>
      <w:rPr>
        <w:rFonts w:ascii="Courier New" w:hAnsi="Courier New" w:cs="Courier New" w:hint="default"/>
      </w:rPr>
    </w:lvl>
    <w:lvl w:ilvl="2" w:tplc="04130005" w:tentative="1">
      <w:start w:val="1"/>
      <w:numFmt w:val="bullet"/>
      <w:lvlText w:val=""/>
      <w:lvlJc w:val="left"/>
      <w:pPr>
        <w:ind w:left="2198" w:hanging="360"/>
      </w:pPr>
      <w:rPr>
        <w:rFonts w:ascii="Wingdings" w:hAnsi="Wingdings" w:hint="default"/>
      </w:rPr>
    </w:lvl>
    <w:lvl w:ilvl="3" w:tplc="04130001" w:tentative="1">
      <w:start w:val="1"/>
      <w:numFmt w:val="bullet"/>
      <w:lvlText w:val=""/>
      <w:lvlJc w:val="left"/>
      <w:pPr>
        <w:ind w:left="2918" w:hanging="360"/>
      </w:pPr>
      <w:rPr>
        <w:rFonts w:ascii="Symbol" w:hAnsi="Symbol" w:hint="default"/>
      </w:rPr>
    </w:lvl>
    <w:lvl w:ilvl="4" w:tplc="04130003" w:tentative="1">
      <w:start w:val="1"/>
      <w:numFmt w:val="bullet"/>
      <w:lvlText w:val="o"/>
      <w:lvlJc w:val="left"/>
      <w:pPr>
        <w:ind w:left="3638" w:hanging="360"/>
      </w:pPr>
      <w:rPr>
        <w:rFonts w:ascii="Courier New" w:hAnsi="Courier New" w:cs="Courier New" w:hint="default"/>
      </w:rPr>
    </w:lvl>
    <w:lvl w:ilvl="5" w:tplc="04130005" w:tentative="1">
      <w:start w:val="1"/>
      <w:numFmt w:val="bullet"/>
      <w:lvlText w:val=""/>
      <w:lvlJc w:val="left"/>
      <w:pPr>
        <w:ind w:left="4358" w:hanging="360"/>
      </w:pPr>
      <w:rPr>
        <w:rFonts w:ascii="Wingdings" w:hAnsi="Wingdings" w:hint="default"/>
      </w:rPr>
    </w:lvl>
    <w:lvl w:ilvl="6" w:tplc="04130001" w:tentative="1">
      <w:start w:val="1"/>
      <w:numFmt w:val="bullet"/>
      <w:lvlText w:val=""/>
      <w:lvlJc w:val="left"/>
      <w:pPr>
        <w:ind w:left="5078" w:hanging="360"/>
      </w:pPr>
      <w:rPr>
        <w:rFonts w:ascii="Symbol" w:hAnsi="Symbol" w:hint="default"/>
      </w:rPr>
    </w:lvl>
    <w:lvl w:ilvl="7" w:tplc="04130003" w:tentative="1">
      <w:start w:val="1"/>
      <w:numFmt w:val="bullet"/>
      <w:lvlText w:val="o"/>
      <w:lvlJc w:val="left"/>
      <w:pPr>
        <w:ind w:left="5798" w:hanging="360"/>
      </w:pPr>
      <w:rPr>
        <w:rFonts w:ascii="Courier New" w:hAnsi="Courier New" w:cs="Courier New" w:hint="default"/>
      </w:rPr>
    </w:lvl>
    <w:lvl w:ilvl="8" w:tplc="04130005" w:tentative="1">
      <w:start w:val="1"/>
      <w:numFmt w:val="bullet"/>
      <w:lvlText w:val=""/>
      <w:lvlJc w:val="left"/>
      <w:pPr>
        <w:ind w:left="6518" w:hanging="360"/>
      </w:pPr>
      <w:rPr>
        <w:rFonts w:ascii="Wingdings" w:hAnsi="Wingdings" w:hint="default"/>
      </w:rPr>
    </w:lvl>
  </w:abstractNum>
  <w:abstractNum w:abstractNumId="9">
    <w:nsid w:val="44EC479A"/>
    <w:multiLevelType w:val="hybridMultilevel"/>
    <w:tmpl w:val="452C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D73828"/>
    <w:multiLevelType w:val="hybridMultilevel"/>
    <w:tmpl w:val="0FF4432A"/>
    <w:name w:val="PwCListNumbers13"/>
    <w:lvl w:ilvl="0" w:tplc="A778569C">
      <w:start w:val="1"/>
      <w:numFmt w:val="bullet"/>
      <w:lvlText w:val=""/>
      <w:lvlJc w:val="left"/>
      <w:pPr>
        <w:ind w:left="720" w:hanging="360"/>
      </w:pPr>
      <w:rPr>
        <w:rFonts w:ascii="Symbol" w:hAnsi="Symbol" w:hint="default"/>
      </w:rPr>
    </w:lvl>
    <w:lvl w:ilvl="1" w:tplc="35683F4A" w:tentative="1">
      <w:start w:val="1"/>
      <w:numFmt w:val="bullet"/>
      <w:lvlText w:val="o"/>
      <w:lvlJc w:val="left"/>
      <w:pPr>
        <w:ind w:left="1440" w:hanging="360"/>
      </w:pPr>
      <w:rPr>
        <w:rFonts w:ascii="Courier New" w:hAnsi="Courier New" w:cs="Courier New" w:hint="default"/>
      </w:rPr>
    </w:lvl>
    <w:lvl w:ilvl="2" w:tplc="87A89F86" w:tentative="1">
      <w:start w:val="1"/>
      <w:numFmt w:val="bullet"/>
      <w:lvlText w:val=""/>
      <w:lvlJc w:val="left"/>
      <w:pPr>
        <w:ind w:left="2160" w:hanging="360"/>
      </w:pPr>
      <w:rPr>
        <w:rFonts w:ascii="Wingdings" w:hAnsi="Wingdings" w:hint="default"/>
      </w:rPr>
    </w:lvl>
    <w:lvl w:ilvl="3" w:tplc="3E4A052C" w:tentative="1">
      <w:start w:val="1"/>
      <w:numFmt w:val="bullet"/>
      <w:lvlText w:val=""/>
      <w:lvlJc w:val="left"/>
      <w:pPr>
        <w:ind w:left="2880" w:hanging="360"/>
      </w:pPr>
      <w:rPr>
        <w:rFonts w:ascii="Symbol" w:hAnsi="Symbol" w:hint="default"/>
      </w:rPr>
    </w:lvl>
    <w:lvl w:ilvl="4" w:tplc="DAD6CE36" w:tentative="1">
      <w:start w:val="1"/>
      <w:numFmt w:val="bullet"/>
      <w:lvlText w:val="o"/>
      <w:lvlJc w:val="left"/>
      <w:pPr>
        <w:ind w:left="3600" w:hanging="360"/>
      </w:pPr>
      <w:rPr>
        <w:rFonts w:ascii="Courier New" w:hAnsi="Courier New" w:cs="Courier New" w:hint="default"/>
      </w:rPr>
    </w:lvl>
    <w:lvl w:ilvl="5" w:tplc="747A0162" w:tentative="1">
      <w:start w:val="1"/>
      <w:numFmt w:val="bullet"/>
      <w:lvlText w:val=""/>
      <w:lvlJc w:val="left"/>
      <w:pPr>
        <w:ind w:left="4320" w:hanging="360"/>
      </w:pPr>
      <w:rPr>
        <w:rFonts w:ascii="Wingdings" w:hAnsi="Wingdings" w:hint="default"/>
      </w:rPr>
    </w:lvl>
    <w:lvl w:ilvl="6" w:tplc="84E8503A" w:tentative="1">
      <w:start w:val="1"/>
      <w:numFmt w:val="bullet"/>
      <w:lvlText w:val=""/>
      <w:lvlJc w:val="left"/>
      <w:pPr>
        <w:ind w:left="5040" w:hanging="360"/>
      </w:pPr>
      <w:rPr>
        <w:rFonts w:ascii="Symbol" w:hAnsi="Symbol" w:hint="default"/>
      </w:rPr>
    </w:lvl>
    <w:lvl w:ilvl="7" w:tplc="49D4BE16" w:tentative="1">
      <w:start w:val="1"/>
      <w:numFmt w:val="bullet"/>
      <w:lvlText w:val="o"/>
      <w:lvlJc w:val="left"/>
      <w:pPr>
        <w:ind w:left="5760" w:hanging="360"/>
      </w:pPr>
      <w:rPr>
        <w:rFonts w:ascii="Courier New" w:hAnsi="Courier New" w:cs="Courier New" w:hint="default"/>
      </w:rPr>
    </w:lvl>
    <w:lvl w:ilvl="8" w:tplc="00065B32" w:tentative="1">
      <w:start w:val="1"/>
      <w:numFmt w:val="bullet"/>
      <w:lvlText w:val=""/>
      <w:lvlJc w:val="left"/>
      <w:pPr>
        <w:ind w:left="6480" w:hanging="360"/>
      </w:pPr>
      <w:rPr>
        <w:rFonts w:ascii="Wingdings" w:hAnsi="Wingdings" w:hint="default"/>
      </w:rPr>
    </w:lvl>
  </w:abstractNum>
  <w:abstractNum w:abstractNumId="11">
    <w:nsid w:val="4DB60A41"/>
    <w:multiLevelType w:val="hybridMultilevel"/>
    <w:tmpl w:val="3EE0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EB0241"/>
    <w:multiLevelType w:val="hybridMultilevel"/>
    <w:tmpl w:val="6AEC4C98"/>
    <w:lvl w:ilvl="0" w:tplc="78ACF19C">
      <w:numFmt w:val="bullet"/>
      <w:lvlText w:val="•"/>
      <w:lvlJc w:val="left"/>
      <w:pPr>
        <w:ind w:left="360" w:hanging="360"/>
      </w:pPr>
      <w:rPr>
        <w:rFonts w:ascii="Helv" w:hAnsi="Helv"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FB76B8E"/>
    <w:multiLevelType w:val="hybridMultilevel"/>
    <w:tmpl w:val="2F2C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0375CC"/>
    <w:multiLevelType w:val="hybridMultilevel"/>
    <w:tmpl w:val="E1562FD0"/>
    <w:lvl w:ilvl="0" w:tplc="78ACF19C">
      <w:numFmt w:val="bullet"/>
      <w:lvlText w:val="•"/>
      <w:lvlJc w:val="left"/>
      <w:pPr>
        <w:ind w:left="360" w:hanging="360"/>
      </w:pPr>
      <w:rPr>
        <w:rFonts w:ascii="Helv" w:hAnsi="Helv"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0EF436E"/>
    <w:multiLevelType w:val="hybridMultilevel"/>
    <w:tmpl w:val="3FF64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37E707F"/>
    <w:multiLevelType w:val="hybridMultilevel"/>
    <w:tmpl w:val="AF362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15"/>
  </w:num>
  <w:num w:numId="4">
    <w:abstractNumId w:val="14"/>
  </w:num>
  <w:num w:numId="5">
    <w:abstractNumId w:val="12"/>
  </w:num>
  <w:num w:numId="6">
    <w:abstractNumId w:val="4"/>
  </w:num>
  <w:num w:numId="7">
    <w:abstractNumId w:val="2"/>
  </w:num>
  <w:num w:numId="8">
    <w:abstractNumId w:val="10"/>
  </w:num>
  <w:num w:numId="9">
    <w:abstractNumId w:val="7"/>
  </w:num>
  <w:num w:numId="10">
    <w:abstractNumId w:val="6"/>
  </w:num>
  <w:num w:numId="11">
    <w:abstractNumId w:val="5"/>
  </w:num>
  <w:num w:numId="12">
    <w:abstractNumId w:val="0"/>
  </w:num>
  <w:num w:numId="13">
    <w:abstractNumId w:val="9"/>
  </w:num>
  <w:num w:numId="14">
    <w:abstractNumId w:val="3"/>
  </w:num>
  <w:num w:numId="15">
    <w:abstractNumId w:val="13"/>
  </w:num>
  <w:num w:numId="16">
    <w:abstractNumId w:val="8"/>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20"/>
  <w:hyphenationZone w:val="425"/>
  <w:evenAndOddHeaders/>
  <w:drawingGridHorizontalSpacing w:val="110"/>
  <w:displayHorizontalDrawingGridEvery w:val="2"/>
  <w:characterSpacingControl w:val="doNotCompress"/>
  <w:hdrShapeDefaults>
    <o:shapedefaults v:ext="edit" spidmax="68610"/>
  </w:hdrShapeDefaults>
  <w:footnotePr>
    <w:footnote w:id="-1"/>
    <w:footnote w:id="0"/>
  </w:footnotePr>
  <w:endnotePr>
    <w:endnote w:id="-1"/>
    <w:endnote w:id="0"/>
  </w:endnotePr>
  <w:compat/>
  <w:rsids>
    <w:rsidRoot w:val="00FD0309"/>
    <w:rsid w:val="00002E1D"/>
    <w:rsid w:val="00067494"/>
    <w:rsid w:val="001D604A"/>
    <w:rsid w:val="0024619C"/>
    <w:rsid w:val="00275EDD"/>
    <w:rsid w:val="00280539"/>
    <w:rsid w:val="002A313E"/>
    <w:rsid w:val="002A3FB0"/>
    <w:rsid w:val="002B7C0B"/>
    <w:rsid w:val="002E4F9F"/>
    <w:rsid w:val="003C7CDF"/>
    <w:rsid w:val="003E21F5"/>
    <w:rsid w:val="003E2FBD"/>
    <w:rsid w:val="004016E9"/>
    <w:rsid w:val="00413EC6"/>
    <w:rsid w:val="004A625A"/>
    <w:rsid w:val="004E1F22"/>
    <w:rsid w:val="00576C7A"/>
    <w:rsid w:val="00597656"/>
    <w:rsid w:val="005F4652"/>
    <w:rsid w:val="006157D7"/>
    <w:rsid w:val="00656839"/>
    <w:rsid w:val="00680ECB"/>
    <w:rsid w:val="00687D94"/>
    <w:rsid w:val="00706F2F"/>
    <w:rsid w:val="007765E7"/>
    <w:rsid w:val="00783B8B"/>
    <w:rsid w:val="00786647"/>
    <w:rsid w:val="00792C99"/>
    <w:rsid w:val="007D5E41"/>
    <w:rsid w:val="00914397"/>
    <w:rsid w:val="009156C5"/>
    <w:rsid w:val="009475AC"/>
    <w:rsid w:val="00954F47"/>
    <w:rsid w:val="00962B09"/>
    <w:rsid w:val="00975E2A"/>
    <w:rsid w:val="00987711"/>
    <w:rsid w:val="00A13033"/>
    <w:rsid w:val="00A552DF"/>
    <w:rsid w:val="00A62F79"/>
    <w:rsid w:val="00A9569F"/>
    <w:rsid w:val="00B12C68"/>
    <w:rsid w:val="00B32688"/>
    <w:rsid w:val="00B606F1"/>
    <w:rsid w:val="00B61E0B"/>
    <w:rsid w:val="00B84312"/>
    <w:rsid w:val="00B95195"/>
    <w:rsid w:val="00BC57CD"/>
    <w:rsid w:val="00BC5834"/>
    <w:rsid w:val="00C15F9B"/>
    <w:rsid w:val="00CD4225"/>
    <w:rsid w:val="00D25AED"/>
    <w:rsid w:val="00D27B44"/>
    <w:rsid w:val="00D76787"/>
    <w:rsid w:val="00DC6977"/>
    <w:rsid w:val="00E46E74"/>
    <w:rsid w:val="00EA5EB0"/>
    <w:rsid w:val="00EE7565"/>
    <w:rsid w:val="00F11020"/>
    <w:rsid w:val="00F15D58"/>
    <w:rsid w:val="00F57D4E"/>
    <w:rsid w:val="00FB4B3A"/>
    <w:rsid w:val="00FD0309"/>
    <w:rsid w:val="00FD0812"/>
    <w:rsid w:val="00FF6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309"/>
    <w:pPr>
      <w:spacing w:line="240" w:lineRule="atLeast"/>
    </w:pPr>
    <w:rPr>
      <w:rFonts w:ascii="Georgia" w:hAnsi="Georgia"/>
      <w:szCs w:val="22"/>
      <w:lang w:eastAsia="en-US"/>
    </w:rPr>
  </w:style>
  <w:style w:type="paragraph" w:styleId="Heading1">
    <w:name w:val="heading 1"/>
    <w:basedOn w:val="Normal"/>
    <w:next w:val="Normal"/>
    <w:link w:val="Heading1Char"/>
    <w:qFormat/>
    <w:rsid w:val="00FD0309"/>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A3F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0309"/>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D0309"/>
  </w:style>
  <w:style w:type="paragraph" w:styleId="Footer">
    <w:name w:val="footer"/>
    <w:basedOn w:val="Normal"/>
    <w:link w:val="FooterChar"/>
    <w:uiPriority w:val="99"/>
    <w:semiHidden/>
    <w:unhideWhenUsed/>
    <w:rsid w:val="00FD0309"/>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FD0309"/>
  </w:style>
  <w:style w:type="paragraph" w:styleId="BodyText">
    <w:name w:val="Body Text"/>
    <w:basedOn w:val="Normal"/>
    <w:link w:val="BodyTextChar"/>
    <w:uiPriority w:val="99"/>
    <w:unhideWhenUsed/>
    <w:rsid w:val="00FD0309"/>
    <w:pPr>
      <w:spacing w:after="240"/>
    </w:pPr>
  </w:style>
  <w:style w:type="character" w:customStyle="1" w:styleId="BodyTextChar">
    <w:name w:val="Body Text Char"/>
    <w:basedOn w:val="DefaultParagraphFont"/>
    <w:link w:val="BodyText"/>
    <w:uiPriority w:val="99"/>
    <w:rsid w:val="00FD0309"/>
    <w:rPr>
      <w:rFonts w:ascii="Georgia" w:hAnsi="Georgia"/>
      <w:sz w:val="20"/>
    </w:rPr>
  </w:style>
  <w:style w:type="paragraph" w:styleId="Title">
    <w:name w:val="Title"/>
    <w:basedOn w:val="Normal"/>
    <w:next w:val="Normal"/>
    <w:link w:val="TitleChar"/>
    <w:uiPriority w:val="10"/>
    <w:qFormat/>
    <w:rsid w:val="00FD0309"/>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FD0309"/>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qFormat/>
    <w:rsid w:val="00FD0309"/>
    <w:pPr>
      <w:spacing w:line="200" w:lineRule="atLeast"/>
    </w:pPr>
    <w:rPr>
      <w:i/>
      <w:sz w:val="18"/>
    </w:rPr>
  </w:style>
  <w:style w:type="character" w:customStyle="1" w:styleId="AddressChar">
    <w:name w:val="Address Char"/>
    <w:basedOn w:val="DefaultParagraphFont"/>
    <w:link w:val="Address"/>
    <w:rsid w:val="00FD0309"/>
    <w:rPr>
      <w:rFonts w:ascii="Georgia" w:hAnsi="Georgia"/>
      <w:i/>
      <w:sz w:val="18"/>
    </w:rPr>
  </w:style>
  <w:style w:type="paragraph" w:customStyle="1" w:styleId="Disclaimer">
    <w:name w:val="Disclaimer"/>
    <w:basedOn w:val="Normal"/>
    <w:link w:val="DisclaimerChar"/>
    <w:rsid w:val="00FD0309"/>
    <w:pPr>
      <w:spacing w:line="140" w:lineRule="atLeast"/>
    </w:pPr>
    <w:rPr>
      <w:rFonts w:ascii="Arial" w:hAnsi="Arial" w:cs="Arial"/>
      <w:sz w:val="12"/>
    </w:rPr>
  </w:style>
  <w:style w:type="character" w:customStyle="1" w:styleId="DisclaimerChar">
    <w:name w:val="Disclaimer Char"/>
    <w:basedOn w:val="DefaultParagraphFont"/>
    <w:link w:val="Disclaimer"/>
    <w:rsid w:val="00FD0309"/>
    <w:rPr>
      <w:rFonts w:ascii="Arial" w:hAnsi="Arial" w:cs="Arial"/>
      <w:sz w:val="12"/>
    </w:rPr>
  </w:style>
  <w:style w:type="character" w:customStyle="1" w:styleId="Heading1Char">
    <w:name w:val="Heading 1 Char"/>
    <w:basedOn w:val="DefaultParagraphFont"/>
    <w:link w:val="Heading1"/>
    <w:rsid w:val="00FD0309"/>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FD0309"/>
    <w:rPr>
      <w:color w:val="0000FF"/>
      <w:u w:val="single"/>
    </w:rPr>
  </w:style>
  <w:style w:type="paragraph" w:styleId="ListParagraph">
    <w:name w:val="List Paragraph"/>
    <w:basedOn w:val="Normal"/>
    <w:uiPriority w:val="34"/>
    <w:qFormat/>
    <w:rsid w:val="00FD0309"/>
    <w:pPr>
      <w:ind w:left="720"/>
      <w:contextualSpacing/>
    </w:pPr>
  </w:style>
  <w:style w:type="character" w:customStyle="1" w:styleId="apple-style-span">
    <w:name w:val="apple-style-span"/>
    <w:basedOn w:val="DefaultParagraphFont"/>
    <w:rsid w:val="00FD0309"/>
  </w:style>
  <w:style w:type="paragraph" w:styleId="NormalWeb">
    <w:name w:val="Normal (Web)"/>
    <w:basedOn w:val="Normal"/>
    <w:unhideWhenUsed/>
    <w:rsid w:val="00FD0309"/>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FD03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309"/>
    <w:rPr>
      <w:rFonts w:ascii="Tahoma" w:hAnsi="Tahoma" w:cs="Tahoma"/>
      <w:sz w:val="16"/>
      <w:szCs w:val="16"/>
      <w:lang w:eastAsia="en-US"/>
    </w:rPr>
  </w:style>
  <w:style w:type="character" w:customStyle="1" w:styleId="apple-converted-space">
    <w:name w:val="apple-converted-space"/>
    <w:basedOn w:val="DefaultParagraphFont"/>
    <w:rsid w:val="00FD0309"/>
  </w:style>
  <w:style w:type="character" w:styleId="Emphasis">
    <w:name w:val="Emphasis"/>
    <w:basedOn w:val="DefaultParagraphFont"/>
    <w:uiPriority w:val="20"/>
    <w:qFormat/>
    <w:rsid w:val="00FD0309"/>
    <w:rPr>
      <w:i/>
      <w:iCs/>
    </w:rPr>
  </w:style>
  <w:style w:type="character" w:styleId="CommentReference">
    <w:name w:val="annotation reference"/>
    <w:basedOn w:val="DefaultParagraphFont"/>
    <w:uiPriority w:val="99"/>
    <w:semiHidden/>
    <w:unhideWhenUsed/>
    <w:rsid w:val="00FD0309"/>
    <w:rPr>
      <w:sz w:val="16"/>
      <w:szCs w:val="16"/>
    </w:rPr>
  </w:style>
  <w:style w:type="paragraph" w:styleId="CommentText">
    <w:name w:val="annotation text"/>
    <w:basedOn w:val="Normal"/>
    <w:link w:val="CommentTextChar"/>
    <w:uiPriority w:val="99"/>
    <w:semiHidden/>
    <w:unhideWhenUsed/>
    <w:rsid w:val="00FD0309"/>
    <w:pPr>
      <w:spacing w:line="240" w:lineRule="auto"/>
    </w:pPr>
    <w:rPr>
      <w:szCs w:val="20"/>
    </w:rPr>
  </w:style>
  <w:style w:type="character" w:customStyle="1" w:styleId="CommentTextChar">
    <w:name w:val="Comment Text Char"/>
    <w:basedOn w:val="DefaultParagraphFont"/>
    <w:link w:val="CommentText"/>
    <w:uiPriority w:val="99"/>
    <w:semiHidden/>
    <w:rsid w:val="00FD0309"/>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FD0309"/>
    <w:rPr>
      <w:b/>
      <w:bCs/>
    </w:rPr>
  </w:style>
  <w:style w:type="character" w:customStyle="1" w:styleId="CommentSubjectChar">
    <w:name w:val="Comment Subject Char"/>
    <w:basedOn w:val="CommentTextChar"/>
    <w:link w:val="CommentSubject"/>
    <w:uiPriority w:val="99"/>
    <w:semiHidden/>
    <w:rsid w:val="00FD0309"/>
    <w:rPr>
      <w:b/>
      <w:bCs/>
    </w:rPr>
  </w:style>
  <w:style w:type="paragraph" w:styleId="Revision">
    <w:name w:val="Revision"/>
    <w:hidden/>
    <w:uiPriority w:val="99"/>
    <w:semiHidden/>
    <w:rsid w:val="00FD0309"/>
    <w:rPr>
      <w:rFonts w:ascii="Georgia" w:hAnsi="Georgia"/>
      <w:szCs w:val="22"/>
      <w:lang w:eastAsia="en-US"/>
    </w:rPr>
  </w:style>
  <w:style w:type="character" w:customStyle="1" w:styleId="Heading2Char">
    <w:name w:val="Heading 2 Char"/>
    <w:basedOn w:val="DefaultParagraphFont"/>
    <w:link w:val="Heading2"/>
    <w:uiPriority w:val="9"/>
    <w:semiHidden/>
    <w:rsid w:val="002A3FB0"/>
    <w:rPr>
      <w:rFonts w:asciiTheme="majorHAnsi" w:eastAsiaTheme="majorEastAsia" w:hAnsiTheme="majorHAnsi" w:cstheme="majorBidi"/>
      <w:b/>
      <w:bCs/>
      <w:color w:val="4F81BD" w:themeColor="accent1"/>
      <w:sz w:val="26"/>
      <w:szCs w:val="26"/>
      <w:lang w:eastAsia="en-US"/>
    </w:rPr>
  </w:style>
  <w:style w:type="paragraph" w:customStyle="1" w:styleId="Normal1">
    <w:name w:val="Normal1"/>
    <w:basedOn w:val="ListBullet"/>
    <w:link w:val="NormalChar"/>
    <w:uiPriority w:val="99"/>
    <w:qFormat/>
    <w:rsid w:val="002A3FB0"/>
    <w:pPr>
      <w:numPr>
        <w:numId w:val="0"/>
      </w:numPr>
      <w:spacing w:before="60" w:after="60" w:line="240" w:lineRule="auto"/>
      <w:contextualSpacing w:val="0"/>
    </w:pPr>
    <w:rPr>
      <w:rFonts w:ascii="Calibri" w:eastAsiaTheme="minorHAnsi" w:hAnsi="Calibri" w:cstheme="minorBidi"/>
      <w:szCs w:val="20"/>
      <w:lang w:val="en-US"/>
    </w:rPr>
  </w:style>
  <w:style w:type="character" w:customStyle="1" w:styleId="NormalChar">
    <w:name w:val="Normal Char"/>
    <w:basedOn w:val="DefaultParagraphFont"/>
    <w:link w:val="Normal1"/>
    <w:uiPriority w:val="99"/>
    <w:rsid w:val="002A3FB0"/>
    <w:rPr>
      <w:rFonts w:eastAsiaTheme="minorHAnsi" w:cstheme="minorBidi"/>
      <w:lang w:val="en-US" w:eastAsia="en-US"/>
    </w:rPr>
  </w:style>
  <w:style w:type="paragraph" w:customStyle="1" w:styleId="Label">
    <w:name w:val="Label"/>
    <w:basedOn w:val="Caption"/>
    <w:link w:val="LabelChar"/>
    <w:uiPriority w:val="99"/>
    <w:qFormat/>
    <w:rsid w:val="002A3FB0"/>
    <w:pPr>
      <w:ind w:left="851" w:hanging="851"/>
      <w:jc w:val="center"/>
    </w:pPr>
    <w:rPr>
      <w:rFonts w:ascii="Calibri" w:eastAsiaTheme="minorHAnsi" w:hAnsi="Calibri" w:cstheme="minorBidi"/>
    </w:rPr>
  </w:style>
  <w:style w:type="character" w:customStyle="1" w:styleId="LabelChar">
    <w:name w:val="Label Char"/>
    <w:basedOn w:val="DefaultParagraphFont"/>
    <w:link w:val="Label"/>
    <w:uiPriority w:val="99"/>
    <w:rsid w:val="002A3FB0"/>
    <w:rPr>
      <w:rFonts w:eastAsiaTheme="minorHAnsi" w:cstheme="minorBidi"/>
      <w:b/>
      <w:bCs/>
      <w:color w:val="4F81BD" w:themeColor="accent1"/>
      <w:sz w:val="18"/>
      <w:szCs w:val="18"/>
      <w:lang w:eastAsia="en-US"/>
    </w:rPr>
  </w:style>
  <w:style w:type="paragraph" w:styleId="ListBullet">
    <w:name w:val="List Bullet"/>
    <w:basedOn w:val="Normal"/>
    <w:uiPriority w:val="99"/>
    <w:semiHidden/>
    <w:unhideWhenUsed/>
    <w:rsid w:val="002A3FB0"/>
    <w:pPr>
      <w:numPr>
        <w:numId w:val="16"/>
      </w:numPr>
      <w:contextualSpacing/>
    </w:pPr>
  </w:style>
  <w:style w:type="paragraph" w:styleId="Caption">
    <w:name w:val="caption"/>
    <w:basedOn w:val="Normal"/>
    <w:next w:val="Normal"/>
    <w:uiPriority w:val="35"/>
    <w:semiHidden/>
    <w:unhideWhenUsed/>
    <w:qFormat/>
    <w:rsid w:val="002A3FB0"/>
    <w:pPr>
      <w:spacing w:after="200"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427430932">
      <w:bodyDiv w:val="1"/>
      <w:marLeft w:val="0"/>
      <w:marRight w:val="0"/>
      <w:marTop w:val="0"/>
      <w:marBottom w:val="0"/>
      <w:divBdr>
        <w:top w:val="none" w:sz="0" w:space="0" w:color="auto"/>
        <w:left w:val="none" w:sz="0" w:space="0" w:color="auto"/>
        <w:bottom w:val="none" w:sz="0" w:space="0" w:color="auto"/>
        <w:right w:val="none" w:sz="0" w:space="0" w:color="auto"/>
      </w:divBdr>
    </w:div>
    <w:div w:id="448475063">
      <w:bodyDiv w:val="1"/>
      <w:marLeft w:val="0"/>
      <w:marRight w:val="0"/>
      <w:marTop w:val="0"/>
      <w:marBottom w:val="0"/>
      <w:divBdr>
        <w:top w:val="none" w:sz="0" w:space="0" w:color="auto"/>
        <w:left w:val="none" w:sz="0" w:space="0" w:color="auto"/>
        <w:bottom w:val="none" w:sz="0" w:space="0" w:color="auto"/>
        <w:right w:val="none" w:sz="0" w:space="0" w:color="auto"/>
      </w:divBdr>
    </w:div>
    <w:div w:id="722827353">
      <w:bodyDiv w:val="1"/>
      <w:marLeft w:val="0"/>
      <w:marRight w:val="0"/>
      <w:marTop w:val="0"/>
      <w:marBottom w:val="0"/>
      <w:divBdr>
        <w:top w:val="none" w:sz="0" w:space="0" w:color="auto"/>
        <w:left w:val="none" w:sz="0" w:space="0" w:color="auto"/>
        <w:bottom w:val="none" w:sz="0" w:space="0" w:color="auto"/>
        <w:right w:val="none" w:sz="0" w:space="0" w:color="auto"/>
      </w:divBdr>
      <w:divsChild>
        <w:div w:id="504177054">
          <w:marLeft w:val="0"/>
          <w:marRight w:val="0"/>
          <w:marTop w:val="0"/>
          <w:marBottom w:val="0"/>
          <w:divBdr>
            <w:top w:val="none" w:sz="0" w:space="0" w:color="auto"/>
            <w:left w:val="none" w:sz="0" w:space="0" w:color="auto"/>
            <w:bottom w:val="none" w:sz="0" w:space="0" w:color="auto"/>
            <w:right w:val="none" w:sz="0" w:space="0" w:color="auto"/>
          </w:divBdr>
          <w:divsChild>
            <w:div w:id="2129352184">
              <w:marLeft w:val="0"/>
              <w:marRight w:val="0"/>
              <w:marTop w:val="0"/>
              <w:marBottom w:val="0"/>
              <w:divBdr>
                <w:top w:val="none" w:sz="0" w:space="0" w:color="auto"/>
                <w:left w:val="none" w:sz="0" w:space="0" w:color="auto"/>
                <w:bottom w:val="none" w:sz="0" w:space="0" w:color="auto"/>
                <w:right w:val="none" w:sz="0" w:space="0" w:color="auto"/>
              </w:divBdr>
              <w:divsChild>
                <w:div w:id="701442871">
                  <w:marLeft w:val="0"/>
                  <w:marRight w:val="0"/>
                  <w:marTop w:val="0"/>
                  <w:marBottom w:val="0"/>
                  <w:divBdr>
                    <w:top w:val="none" w:sz="0" w:space="0" w:color="auto"/>
                    <w:left w:val="none" w:sz="0" w:space="0" w:color="auto"/>
                    <w:bottom w:val="none" w:sz="0" w:space="0" w:color="auto"/>
                    <w:right w:val="none" w:sz="0" w:space="0" w:color="auto"/>
                  </w:divBdr>
                  <w:divsChild>
                    <w:div w:id="2107995879">
                      <w:marLeft w:val="173"/>
                      <w:marRight w:val="173"/>
                      <w:marTop w:val="0"/>
                      <w:marBottom w:val="0"/>
                      <w:divBdr>
                        <w:top w:val="none" w:sz="0" w:space="0" w:color="auto"/>
                        <w:left w:val="none" w:sz="0" w:space="0" w:color="auto"/>
                        <w:bottom w:val="none" w:sz="0" w:space="0" w:color="auto"/>
                        <w:right w:val="none" w:sz="0" w:space="0" w:color="auto"/>
                      </w:divBdr>
                      <w:divsChild>
                        <w:div w:id="15849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003147">
      <w:bodyDiv w:val="1"/>
      <w:marLeft w:val="0"/>
      <w:marRight w:val="0"/>
      <w:marTop w:val="0"/>
      <w:marBottom w:val="0"/>
      <w:divBdr>
        <w:top w:val="none" w:sz="0" w:space="0" w:color="auto"/>
        <w:left w:val="none" w:sz="0" w:space="0" w:color="auto"/>
        <w:bottom w:val="none" w:sz="0" w:space="0" w:color="auto"/>
        <w:right w:val="none" w:sz="0" w:space="0" w:color="auto"/>
      </w:divBdr>
      <w:divsChild>
        <w:div w:id="1104156215">
          <w:marLeft w:val="0"/>
          <w:marRight w:val="0"/>
          <w:marTop w:val="0"/>
          <w:marBottom w:val="0"/>
          <w:divBdr>
            <w:top w:val="none" w:sz="0" w:space="0" w:color="auto"/>
            <w:left w:val="none" w:sz="0" w:space="0" w:color="auto"/>
            <w:bottom w:val="none" w:sz="0" w:space="0" w:color="auto"/>
            <w:right w:val="none" w:sz="0" w:space="0" w:color="auto"/>
          </w:divBdr>
          <w:divsChild>
            <w:div w:id="486819783">
              <w:marLeft w:val="0"/>
              <w:marRight w:val="0"/>
              <w:marTop w:val="0"/>
              <w:marBottom w:val="0"/>
              <w:divBdr>
                <w:top w:val="none" w:sz="0" w:space="0" w:color="auto"/>
                <w:left w:val="none" w:sz="0" w:space="0" w:color="auto"/>
                <w:bottom w:val="none" w:sz="0" w:space="0" w:color="auto"/>
                <w:right w:val="none" w:sz="0" w:space="0" w:color="auto"/>
              </w:divBdr>
              <w:divsChild>
                <w:div w:id="14415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78068">
      <w:bodyDiv w:val="1"/>
      <w:marLeft w:val="0"/>
      <w:marRight w:val="0"/>
      <w:marTop w:val="0"/>
      <w:marBottom w:val="0"/>
      <w:divBdr>
        <w:top w:val="none" w:sz="0" w:space="0" w:color="auto"/>
        <w:left w:val="none" w:sz="0" w:space="0" w:color="auto"/>
        <w:bottom w:val="none" w:sz="0" w:space="0" w:color="auto"/>
        <w:right w:val="none" w:sz="0" w:space="0" w:color="auto"/>
      </w:divBdr>
    </w:div>
    <w:div w:id="2028480697">
      <w:bodyDiv w:val="1"/>
      <w:marLeft w:val="0"/>
      <w:marRight w:val="0"/>
      <w:marTop w:val="0"/>
      <w:marBottom w:val="0"/>
      <w:divBdr>
        <w:top w:val="none" w:sz="0" w:space="0" w:color="auto"/>
        <w:left w:val="none" w:sz="0" w:space="0" w:color="auto"/>
        <w:bottom w:val="none" w:sz="0" w:space="0" w:color="auto"/>
        <w:right w:val="none" w:sz="0" w:space="0" w:color="auto"/>
      </w:divBdr>
      <w:divsChild>
        <w:div w:id="1409690643">
          <w:marLeft w:val="0"/>
          <w:marRight w:val="0"/>
          <w:marTop w:val="0"/>
          <w:marBottom w:val="0"/>
          <w:divBdr>
            <w:top w:val="none" w:sz="0" w:space="0" w:color="auto"/>
            <w:left w:val="none" w:sz="0" w:space="0" w:color="auto"/>
            <w:bottom w:val="none" w:sz="0" w:space="0" w:color="auto"/>
            <w:right w:val="none" w:sz="0" w:space="0" w:color="auto"/>
          </w:divBdr>
          <w:divsChild>
            <w:div w:id="1831483061">
              <w:marLeft w:val="0"/>
              <w:marRight w:val="0"/>
              <w:marTop w:val="0"/>
              <w:marBottom w:val="0"/>
              <w:divBdr>
                <w:top w:val="none" w:sz="0" w:space="0" w:color="auto"/>
                <w:left w:val="none" w:sz="0" w:space="0" w:color="auto"/>
                <w:bottom w:val="none" w:sz="0" w:space="0" w:color="auto"/>
                <w:right w:val="none" w:sz="0" w:space="0" w:color="auto"/>
              </w:divBdr>
              <w:divsChild>
                <w:div w:id="13361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bastian.di.paola@ch.pwc.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wc.com/g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wc.com/gx/en/audit-services/corporate-treasury-solutions/cts-publications/sepa-readiness-thermometer.jhtml?WT.mc_id=link_05-12_corp+treasury+solutions+pubs_articl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wc.com/gx/en/audit-services/corporate-treasury-solutions/cts-publications/sepa-readiness-thermometer.jhtml?WT.mc_id=link_05-12_corp+treasury+solutions+pubs_articl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2BDDF-D887-4045-A675-BD150D2F8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2</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5687</CharactersWithSpaces>
  <SharedDoc>false</SharedDoc>
  <HLinks>
    <vt:vector size="18" baseType="variant">
      <vt:variant>
        <vt:i4>5308489</vt:i4>
      </vt:variant>
      <vt:variant>
        <vt:i4>6</vt:i4>
      </vt:variant>
      <vt:variant>
        <vt:i4>0</vt:i4>
      </vt:variant>
      <vt:variant>
        <vt:i4>5</vt:i4>
      </vt:variant>
      <vt:variant>
        <vt:lpwstr>http://www.pwc.com/gx</vt:lpwstr>
      </vt:variant>
      <vt:variant>
        <vt:lpwstr/>
      </vt:variant>
      <vt:variant>
        <vt:i4>3866648</vt:i4>
      </vt:variant>
      <vt:variant>
        <vt:i4>3</vt:i4>
      </vt:variant>
      <vt:variant>
        <vt:i4>0</vt:i4>
      </vt:variant>
      <vt:variant>
        <vt:i4>5</vt:i4>
      </vt:variant>
      <vt:variant>
        <vt:lpwstr>mailto:mike.ascolese@us.pwc.com</vt:lpwstr>
      </vt:variant>
      <vt:variant>
        <vt:lpwstr/>
      </vt:variant>
      <vt:variant>
        <vt:i4>6029418</vt:i4>
      </vt:variant>
      <vt:variant>
        <vt:i4>0</vt:i4>
      </vt:variant>
      <vt:variant>
        <vt:i4>0</vt:i4>
      </vt:variant>
      <vt:variant>
        <vt:i4>5</vt:i4>
      </vt:variant>
      <vt:variant>
        <vt:lpwstr>mailto:mike.davies@uk.pwc.com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Windows User</cp:lastModifiedBy>
  <cp:revision>2</cp:revision>
  <cp:lastPrinted>2012-09-25T10:20:00Z</cp:lastPrinted>
  <dcterms:created xsi:type="dcterms:W3CDTF">2013-01-31T19:48:00Z</dcterms:created>
  <dcterms:modified xsi:type="dcterms:W3CDTF">2013-01-31T19:48:00Z</dcterms:modified>
</cp:coreProperties>
</file>