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83" w:rsidRDefault="00CD34EA">
      <w:pPr>
        <w:tabs>
          <w:tab w:val="center" w:pos="4536"/>
        </w:tabs>
      </w:pPr>
      <w:r>
        <w:rPr>
          <w:noProof/>
          <w:lang w:eastAsia="en-GB"/>
        </w:rPr>
        <w:pict>
          <v:shape id="Freeform 5" o:spid="_x0000_s1026" style="position:absolute;margin-left:87.85pt;margin-top:771.05pt;width:4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w:r>
    </w:p>
    <w:p w:rsidR="00444E83" w:rsidRDefault="00444E83">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tblPr>
      <w:tblGrid>
        <w:gridCol w:w="2268"/>
        <w:gridCol w:w="4645"/>
      </w:tblGrid>
      <w:tr w:rsidR="00444E83">
        <w:tc>
          <w:tcPr>
            <w:tcW w:w="2268" w:type="dxa"/>
          </w:tcPr>
          <w:p w:rsidR="00444E83" w:rsidRDefault="00444E83">
            <w:pPr>
              <w:rPr>
                <w:i/>
              </w:rPr>
            </w:pPr>
            <w:r>
              <w:rPr>
                <w:i/>
              </w:rPr>
              <w:t>Date</w:t>
            </w:r>
          </w:p>
        </w:tc>
        <w:tc>
          <w:tcPr>
            <w:tcW w:w="4645" w:type="dxa"/>
          </w:tcPr>
          <w:p w:rsidR="00444E83" w:rsidRDefault="00A30367">
            <w:pPr>
              <w:rPr>
                <w:b/>
              </w:rPr>
            </w:pPr>
            <w:r>
              <w:rPr>
                <w:b/>
              </w:rPr>
              <w:t>Embargoed until</w:t>
            </w:r>
            <w:r w:rsidR="00444E83">
              <w:rPr>
                <w:b/>
              </w:rPr>
              <w:t xml:space="preserve"> </w:t>
            </w:r>
            <w:r>
              <w:rPr>
                <w:b/>
              </w:rPr>
              <w:t>29 January</w:t>
            </w:r>
            <w:r w:rsidR="00444E83">
              <w:rPr>
                <w:b/>
              </w:rPr>
              <w:t xml:space="preserve"> 2013</w:t>
            </w:r>
          </w:p>
          <w:p w:rsidR="00444E83" w:rsidRDefault="00444E83"/>
        </w:tc>
      </w:tr>
      <w:tr w:rsidR="00444E83" w:rsidRPr="00964025">
        <w:tc>
          <w:tcPr>
            <w:tcW w:w="2268" w:type="dxa"/>
          </w:tcPr>
          <w:p w:rsidR="00444E83" w:rsidRDefault="00444E83">
            <w:pPr>
              <w:rPr>
                <w:i/>
              </w:rPr>
            </w:pPr>
            <w:r>
              <w:rPr>
                <w:i/>
              </w:rPr>
              <w:t>Contact</w:t>
            </w:r>
          </w:p>
        </w:tc>
        <w:tc>
          <w:tcPr>
            <w:tcW w:w="4645" w:type="dxa"/>
          </w:tcPr>
          <w:p w:rsidR="00444E83" w:rsidRPr="007E1F76" w:rsidRDefault="00444E83">
            <w:pPr>
              <w:tabs>
                <w:tab w:val="left" w:pos="1440"/>
              </w:tabs>
              <w:ind w:left="1440" w:hanging="1440"/>
              <w:rPr>
                <w:rFonts w:cs="Arial"/>
                <w:color w:val="000000"/>
                <w:lang w:val="it-IT"/>
              </w:rPr>
            </w:pPr>
            <w:r w:rsidRPr="007E1F76">
              <w:rPr>
                <w:rFonts w:cs="Arial"/>
                <w:bCs/>
                <w:color w:val="000000"/>
                <w:lang w:val="it-IT"/>
              </w:rPr>
              <w:t>Gill Carson, Media Relations, PwC</w:t>
            </w:r>
          </w:p>
          <w:p w:rsidR="00444E83" w:rsidRPr="007E1F76" w:rsidRDefault="00444E83">
            <w:pPr>
              <w:tabs>
                <w:tab w:val="left" w:pos="1440"/>
              </w:tabs>
              <w:ind w:left="1440" w:hanging="1440"/>
              <w:rPr>
                <w:rFonts w:cs="Arial"/>
                <w:color w:val="000000"/>
                <w:lang w:val="it-IT"/>
              </w:rPr>
            </w:pPr>
            <w:r w:rsidRPr="007E1F76">
              <w:rPr>
                <w:rFonts w:cs="Arial"/>
                <w:color w:val="000000"/>
                <w:lang w:val="it-IT"/>
              </w:rPr>
              <w:t>Tel: 0207 212 1391</w:t>
            </w:r>
          </w:p>
          <w:p w:rsidR="00444E83" w:rsidRPr="007E1F76" w:rsidRDefault="00444E83">
            <w:pPr>
              <w:tabs>
                <w:tab w:val="left" w:pos="1440"/>
              </w:tabs>
              <w:ind w:left="1440" w:hanging="1440"/>
              <w:rPr>
                <w:rFonts w:cs="Arial"/>
                <w:color w:val="000000"/>
                <w:lang w:val="it-IT"/>
              </w:rPr>
            </w:pPr>
            <w:r w:rsidRPr="007E1F76">
              <w:rPr>
                <w:rFonts w:cs="Arial"/>
                <w:color w:val="000000"/>
                <w:lang w:val="it-IT"/>
              </w:rPr>
              <w:t>e-mail: gill.carson@uk.pwc.com</w:t>
            </w:r>
          </w:p>
          <w:p w:rsidR="00444E83" w:rsidRPr="007E1F76" w:rsidRDefault="00444E83">
            <w:pPr>
              <w:tabs>
                <w:tab w:val="left" w:pos="1440"/>
              </w:tabs>
              <w:ind w:left="1440" w:hanging="1440"/>
              <w:rPr>
                <w:rFonts w:cs="Arial"/>
                <w:color w:val="000000"/>
                <w:lang w:val="pt-BR"/>
              </w:rPr>
            </w:pPr>
          </w:p>
          <w:p w:rsidR="00444E83" w:rsidRPr="007E1F76" w:rsidRDefault="00444E83" w:rsidP="007E1F76">
            <w:pPr>
              <w:pStyle w:val="Header"/>
              <w:tabs>
                <w:tab w:val="left" w:pos="1440"/>
              </w:tabs>
              <w:rPr>
                <w:rFonts w:cs="Arial"/>
                <w:bCs/>
                <w:lang w:val="pt-BR"/>
              </w:rPr>
            </w:pPr>
          </w:p>
          <w:p w:rsidR="00444E83" w:rsidRPr="007E1F76" w:rsidRDefault="00444E83" w:rsidP="007E1F76">
            <w:pPr>
              <w:tabs>
                <w:tab w:val="left" w:pos="1440"/>
              </w:tabs>
              <w:rPr>
                <w:lang w:val="pt-BR"/>
              </w:rPr>
            </w:pPr>
          </w:p>
        </w:tc>
      </w:tr>
      <w:tr w:rsidR="00444E83">
        <w:tc>
          <w:tcPr>
            <w:tcW w:w="2268" w:type="dxa"/>
          </w:tcPr>
          <w:p w:rsidR="00444E83" w:rsidRDefault="00444E83">
            <w:pPr>
              <w:rPr>
                <w:i/>
              </w:rPr>
            </w:pPr>
            <w:r>
              <w:rPr>
                <w:i/>
              </w:rPr>
              <w:t xml:space="preserve">Pages </w:t>
            </w:r>
          </w:p>
        </w:tc>
        <w:tc>
          <w:tcPr>
            <w:tcW w:w="4645" w:type="dxa"/>
          </w:tcPr>
          <w:p w:rsidR="00444E83" w:rsidRDefault="00444E83">
            <w:r>
              <w:t>3</w:t>
            </w:r>
          </w:p>
        </w:tc>
      </w:tr>
    </w:tbl>
    <w:p w:rsidR="00444E83" w:rsidRDefault="00444E83" w:rsidP="00E46C7E">
      <w:pPr>
        <w:rPr>
          <w:rFonts w:cs="Arial"/>
          <w:b/>
          <w:i/>
          <w:iCs/>
        </w:rPr>
      </w:pPr>
      <w:r>
        <w:rPr>
          <w:rFonts w:cs="Arial"/>
          <w:b/>
          <w:i/>
          <w:iCs/>
        </w:rPr>
        <w:br w:type="textWrapping" w:clear="all"/>
      </w:r>
    </w:p>
    <w:p w:rsidR="00444E83" w:rsidRDefault="00444E83" w:rsidP="00E46C7E">
      <w:pPr>
        <w:pStyle w:val="Heading"/>
        <w:rPr>
          <w:rFonts w:ascii="Georgia" w:hAnsi="Georgia"/>
          <w:sz w:val="20"/>
        </w:rPr>
      </w:pPr>
    </w:p>
    <w:p w:rsidR="00444E83" w:rsidRDefault="00444E83" w:rsidP="00C10150">
      <w:pPr>
        <w:pStyle w:val="Heading"/>
        <w:rPr>
          <w:rFonts w:ascii="Georgia" w:hAnsi="Georgia" w:cs="Georgia"/>
          <w:bCs/>
          <w:i/>
          <w:color w:val="000000"/>
          <w:sz w:val="22"/>
          <w:szCs w:val="22"/>
          <w:lang w:eastAsia="en-GB"/>
        </w:rPr>
      </w:pPr>
      <w:r>
        <w:rPr>
          <w:rFonts w:ascii="Georgia" w:hAnsi="Georgia" w:cs="Georgia"/>
          <w:bCs/>
          <w:i/>
          <w:color w:val="000000"/>
          <w:sz w:val="22"/>
          <w:szCs w:val="22"/>
          <w:lang w:eastAsia="en-GB"/>
        </w:rPr>
        <w:t>Institutional M&amp;A investment share doubles in power and renewable sector</w:t>
      </w:r>
    </w:p>
    <w:p w:rsidR="00444E83" w:rsidRPr="003904A6" w:rsidRDefault="00CD34EA">
      <w:pPr>
        <w:pStyle w:val="Heading"/>
        <w:jc w:val="center"/>
        <w:rPr>
          <w:rFonts w:ascii="Georgia" w:hAnsi="Georgia"/>
          <w:i/>
          <w:sz w:val="22"/>
          <w:szCs w:val="22"/>
        </w:rPr>
      </w:pPr>
      <w:r w:rsidRPr="00CD34EA">
        <w:rPr>
          <w:noProof/>
          <w:lang w:eastAsia="en-GB"/>
        </w:rPr>
        <w:pict>
          <v:line id="Line 6" o:spid="_x0000_s1027" style="position:absolute;left:0;text-align:left;z-index:251659264;visibility:visible;mso-wrap-distance-top:-6e-5mm;mso-wrap-distance-bottom:-6e-5mm;mso-position-horizontal-relative:page;mso-position-vertical-relative:page" from="94.05pt,304.5pt" to="549.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" strokecolor="#e36c0a">
            <w10:wrap anchorx="page" anchory="page"/>
          </v:line>
        </w:pict>
      </w:r>
    </w:p>
    <w:p w:rsidR="00444E83" w:rsidRDefault="00444E83" w:rsidP="00A74492">
      <w:pPr>
        <w:autoSpaceDE w:val="0"/>
        <w:autoSpaceDN w:val="0"/>
        <w:adjustRightInd w:val="0"/>
        <w:spacing w:line="276" w:lineRule="auto"/>
        <w:rPr>
          <w:rFonts w:cs="Georgia"/>
          <w:color w:val="000000"/>
          <w:szCs w:val="20"/>
          <w:lang w:eastAsia="en-GB"/>
        </w:rPr>
      </w:pPr>
      <w:r>
        <w:rPr>
          <w:rFonts w:cs="Georgia"/>
          <w:color w:val="000000"/>
          <w:szCs w:val="20"/>
          <w:lang w:eastAsia="en-GB"/>
        </w:rPr>
        <w:t xml:space="preserve">The M&amp;A investment share from institutions, such as </w:t>
      </w:r>
      <w:r w:rsidR="00286614">
        <w:rPr>
          <w:rFonts w:cs="Georgia"/>
          <w:color w:val="000000"/>
          <w:szCs w:val="20"/>
          <w:lang w:eastAsia="en-GB"/>
        </w:rPr>
        <w:t>insurance</w:t>
      </w:r>
      <w:r w:rsidR="00E40C0A">
        <w:rPr>
          <w:rFonts w:cs="Georgia"/>
          <w:color w:val="000000"/>
          <w:szCs w:val="20"/>
          <w:lang w:eastAsia="en-GB"/>
        </w:rPr>
        <w:t>, pension and sovereign wealth funds</w:t>
      </w:r>
      <w:r>
        <w:rPr>
          <w:rFonts w:cs="Georgia"/>
          <w:color w:val="000000"/>
          <w:szCs w:val="20"/>
          <w:lang w:eastAsia="en-GB"/>
        </w:rPr>
        <w:t>,  has more than doubled year on year, a</w:t>
      </w:r>
      <w:r w:rsidRPr="009A3BE8">
        <w:rPr>
          <w:rFonts w:cs="Georgia"/>
          <w:color w:val="000000"/>
          <w:szCs w:val="20"/>
          <w:lang w:eastAsia="en-GB"/>
        </w:rPr>
        <w:t xml:space="preserve">ccording to PwC’s annual </w:t>
      </w:r>
      <w:r w:rsidRPr="009A3BE8">
        <w:rPr>
          <w:rFonts w:cs="Georgia"/>
          <w:i/>
          <w:iCs/>
          <w:color w:val="000000"/>
          <w:szCs w:val="20"/>
          <w:lang w:eastAsia="en-GB"/>
        </w:rPr>
        <w:t>Power and Renewables Deals</w:t>
      </w:r>
      <w:r w:rsidRPr="009A3BE8">
        <w:rPr>
          <w:rFonts w:cs="Georgia"/>
          <w:color w:val="000000"/>
          <w:szCs w:val="20"/>
          <w:lang w:eastAsia="en-GB"/>
        </w:rPr>
        <w:t xml:space="preserve"> report released today</w:t>
      </w:r>
      <w:r>
        <w:rPr>
          <w:rFonts w:cs="Georgia"/>
          <w:color w:val="000000"/>
          <w:szCs w:val="20"/>
          <w:lang w:eastAsia="en-GB"/>
        </w:rPr>
        <w:t>. Together with infrastructure funds, institutions account</w:t>
      </w:r>
      <w:r w:rsidR="00E40C0A">
        <w:rPr>
          <w:rFonts w:cs="Georgia"/>
          <w:color w:val="000000"/>
          <w:szCs w:val="20"/>
          <w:lang w:eastAsia="en-GB"/>
        </w:rPr>
        <w:t>ed</w:t>
      </w:r>
      <w:r>
        <w:rPr>
          <w:rFonts w:cs="Georgia"/>
          <w:color w:val="000000"/>
          <w:szCs w:val="20"/>
          <w:lang w:eastAsia="en-GB"/>
        </w:rPr>
        <w:t xml:space="preserve"> for a third of all power and renewables deal value</w:t>
      </w:r>
      <w:r w:rsidR="002058A4">
        <w:rPr>
          <w:rFonts w:cs="Georgia"/>
          <w:color w:val="000000"/>
          <w:szCs w:val="20"/>
          <w:lang w:eastAsia="en-GB"/>
        </w:rPr>
        <w:t xml:space="preserve"> in 2012</w:t>
      </w:r>
      <w:r>
        <w:rPr>
          <w:rFonts w:cs="Georgia"/>
          <w:color w:val="000000"/>
          <w:szCs w:val="20"/>
          <w:lang w:eastAsia="en-GB"/>
        </w:rPr>
        <w:t>.</w:t>
      </w:r>
    </w:p>
    <w:p w:rsidR="00444E83" w:rsidRDefault="00444E83" w:rsidP="00AA495C">
      <w:pPr>
        <w:autoSpaceDE w:val="0"/>
        <w:autoSpaceDN w:val="0"/>
        <w:adjustRightInd w:val="0"/>
        <w:spacing w:line="276" w:lineRule="auto"/>
        <w:rPr>
          <w:rFonts w:cs="Georgia"/>
          <w:color w:val="000000"/>
          <w:szCs w:val="20"/>
          <w:lang w:eastAsia="en-GB"/>
        </w:rPr>
      </w:pPr>
    </w:p>
    <w:p w:rsidR="00444E83" w:rsidRDefault="00444E83">
      <w:pPr>
        <w:autoSpaceDE w:val="0"/>
        <w:autoSpaceDN w:val="0"/>
        <w:adjustRightInd w:val="0"/>
        <w:spacing w:line="276" w:lineRule="auto"/>
        <w:rPr>
          <w:rFonts w:cs="Georgia"/>
          <w:color w:val="000000"/>
          <w:szCs w:val="20"/>
          <w:lang w:eastAsia="en-GB"/>
        </w:rPr>
      </w:pPr>
      <w:r>
        <w:rPr>
          <w:rFonts w:cs="Georgia"/>
          <w:color w:val="000000"/>
          <w:szCs w:val="20"/>
          <w:lang w:eastAsia="en-GB"/>
        </w:rPr>
        <w:t xml:space="preserve">The report finds that the sector is attracting a greater diversity of buyers and, after a 2012 low, conditions are right for a revival of power and renewables deal activity in 2013. </w:t>
      </w:r>
    </w:p>
    <w:p w:rsidR="00444E83" w:rsidRDefault="00444E83" w:rsidP="00AA495C">
      <w:pPr>
        <w:autoSpaceDE w:val="0"/>
        <w:autoSpaceDN w:val="0"/>
        <w:adjustRightInd w:val="0"/>
        <w:spacing w:line="276" w:lineRule="auto"/>
        <w:rPr>
          <w:rFonts w:cs="Georgia"/>
          <w:color w:val="000000"/>
          <w:szCs w:val="20"/>
          <w:lang w:eastAsia="en-GB"/>
        </w:rPr>
      </w:pPr>
    </w:p>
    <w:p w:rsidR="00444E83" w:rsidRDefault="00444E83" w:rsidP="00605176">
      <w:pPr>
        <w:pStyle w:val="ReleaseBodyText"/>
        <w:spacing w:line="288" w:lineRule="auto"/>
        <w:rPr>
          <w:rFonts w:ascii="Georgia" w:hAnsi="Georgia"/>
        </w:rPr>
      </w:pPr>
      <w:r>
        <w:rPr>
          <w:rFonts w:ascii="Georgia" w:hAnsi="Georgia"/>
        </w:rPr>
        <w:t>Norbert Schwieters, global power and</w:t>
      </w:r>
      <w:r w:rsidR="00E46C7E">
        <w:rPr>
          <w:rFonts w:ascii="Georgia" w:hAnsi="Georgia"/>
        </w:rPr>
        <w:t xml:space="preserve"> utilities leader, PwC, said:</w:t>
      </w:r>
    </w:p>
    <w:p w:rsidR="00444E83" w:rsidRDefault="00444E83" w:rsidP="00CA455B">
      <w:pPr>
        <w:autoSpaceDE w:val="0"/>
        <w:autoSpaceDN w:val="0"/>
        <w:adjustRightInd w:val="0"/>
        <w:spacing w:line="276" w:lineRule="auto"/>
        <w:ind w:left="284"/>
        <w:rPr>
          <w:rFonts w:cs="Georgia"/>
          <w:color w:val="000000"/>
          <w:szCs w:val="20"/>
          <w:lang w:eastAsia="en-GB"/>
        </w:rPr>
      </w:pPr>
    </w:p>
    <w:p w:rsidR="00444E83" w:rsidRDefault="00444E83" w:rsidP="00CA455B">
      <w:pPr>
        <w:autoSpaceDE w:val="0"/>
        <w:autoSpaceDN w:val="0"/>
        <w:adjustRightInd w:val="0"/>
        <w:spacing w:line="276" w:lineRule="auto"/>
        <w:ind w:left="284"/>
        <w:rPr>
          <w:rFonts w:cs="Georgia"/>
          <w:color w:val="000000"/>
          <w:szCs w:val="20"/>
          <w:lang w:eastAsia="en-GB"/>
        </w:rPr>
      </w:pPr>
      <w:r>
        <w:rPr>
          <w:rFonts w:cs="Georgia"/>
          <w:color w:val="000000"/>
          <w:szCs w:val="20"/>
          <w:lang w:eastAsia="en-GB"/>
        </w:rPr>
        <w:t xml:space="preserve">“This is a significant shift in the buy-side balance. In the space of just one year, corporate buyers’ share has gone from 80% of total deal value to just 63%. In their place, outside investors are coming into the sector attracted by its long-term growth and steady-return potential.” </w:t>
      </w:r>
    </w:p>
    <w:p w:rsidR="00444E83" w:rsidRDefault="00444E83" w:rsidP="00AA495C">
      <w:pPr>
        <w:autoSpaceDE w:val="0"/>
        <w:autoSpaceDN w:val="0"/>
        <w:adjustRightInd w:val="0"/>
        <w:spacing w:line="276" w:lineRule="auto"/>
        <w:rPr>
          <w:rFonts w:cs="Georgia"/>
          <w:color w:val="000000"/>
          <w:szCs w:val="20"/>
          <w:lang w:eastAsia="en-GB"/>
        </w:rPr>
      </w:pPr>
    </w:p>
    <w:p w:rsidR="00444E83" w:rsidRDefault="00444E83" w:rsidP="00A21F13">
      <w:pPr>
        <w:autoSpaceDE w:val="0"/>
        <w:autoSpaceDN w:val="0"/>
        <w:adjustRightInd w:val="0"/>
        <w:spacing w:line="276" w:lineRule="auto"/>
        <w:rPr>
          <w:rFonts w:cs="Georgia"/>
          <w:color w:val="000000"/>
          <w:szCs w:val="20"/>
          <w:lang w:eastAsia="en-GB"/>
        </w:rPr>
      </w:pPr>
      <w:r>
        <w:rPr>
          <w:rFonts w:cs="Georgia"/>
          <w:color w:val="000000"/>
          <w:szCs w:val="20"/>
          <w:lang w:eastAsia="en-GB"/>
        </w:rPr>
        <w:t xml:space="preserve">Differences in corporate appetite have the potential to add to deal flow. While </w:t>
      </w:r>
      <w:r w:rsidRPr="00CA455B">
        <w:rPr>
          <w:rFonts w:cs="Georgia"/>
          <w:color w:val="000000"/>
          <w:szCs w:val="20"/>
          <w:lang w:eastAsia="en-GB"/>
        </w:rPr>
        <w:t xml:space="preserve">state-owned </w:t>
      </w:r>
      <w:r w:rsidR="002058A4">
        <w:rPr>
          <w:rFonts w:cs="Georgia"/>
          <w:color w:val="000000"/>
          <w:szCs w:val="20"/>
          <w:lang w:eastAsia="en-GB"/>
        </w:rPr>
        <w:t xml:space="preserve">enterprises </w:t>
      </w:r>
      <w:r w:rsidRPr="00CA455B">
        <w:rPr>
          <w:rFonts w:cs="Georgia"/>
          <w:color w:val="000000"/>
          <w:szCs w:val="20"/>
          <w:lang w:eastAsia="en-GB"/>
        </w:rPr>
        <w:t>in</w:t>
      </w:r>
      <w:r>
        <w:rPr>
          <w:rFonts w:cs="Georgia"/>
          <w:color w:val="000000"/>
          <w:szCs w:val="20"/>
          <w:lang w:eastAsia="en-GB"/>
        </w:rPr>
        <w:t xml:space="preserve"> </w:t>
      </w:r>
      <w:r w:rsidRPr="00CA455B">
        <w:rPr>
          <w:rFonts w:cs="Georgia"/>
          <w:color w:val="000000"/>
          <w:szCs w:val="20"/>
          <w:lang w:eastAsia="en-GB"/>
        </w:rPr>
        <w:t>China and trading house</w:t>
      </w:r>
      <w:r w:rsidR="002058A4">
        <w:rPr>
          <w:rFonts w:cs="Georgia"/>
          <w:color w:val="000000"/>
          <w:szCs w:val="20"/>
          <w:lang w:eastAsia="en-GB"/>
        </w:rPr>
        <w:t xml:space="preserve">s </w:t>
      </w:r>
      <w:r w:rsidRPr="00CA455B">
        <w:rPr>
          <w:rFonts w:cs="Georgia"/>
          <w:color w:val="000000"/>
          <w:szCs w:val="20"/>
          <w:lang w:eastAsia="en-GB"/>
        </w:rPr>
        <w:t>in Japan</w:t>
      </w:r>
      <w:r>
        <w:rPr>
          <w:rFonts w:cs="Georgia"/>
          <w:color w:val="000000"/>
          <w:szCs w:val="20"/>
          <w:lang w:eastAsia="en-GB"/>
        </w:rPr>
        <w:t xml:space="preserve"> </w:t>
      </w:r>
      <w:r w:rsidRPr="00CA455B">
        <w:rPr>
          <w:rFonts w:cs="Georgia"/>
          <w:color w:val="000000"/>
          <w:szCs w:val="20"/>
          <w:lang w:eastAsia="en-GB"/>
        </w:rPr>
        <w:t>are very much in an expansionist mode</w:t>
      </w:r>
      <w:r>
        <w:rPr>
          <w:rFonts w:cs="Georgia"/>
          <w:color w:val="000000"/>
          <w:szCs w:val="20"/>
          <w:lang w:eastAsia="en-GB"/>
        </w:rPr>
        <w:t>, m</w:t>
      </w:r>
      <w:r w:rsidRPr="00CA455B">
        <w:rPr>
          <w:rFonts w:cs="Georgia"/>
          <w:color w:val="000000"/>
          <w:szCs w:val="20"/>
          <w:lang w:eastAsia="en-GB"/>
        </w:rPr>
        <w:t>any</w:t>
      </w:r>
      <w:r>
        <w:rPr>
          <w:rFonts w:cs="Georgia"/>
          <w:color w:val="000000"/>
          <w:szCs w:val="20"/>
          <w:lang w:eastAsia="en-GB"/>
        </w:rPr>
        <w:t xml:space="preserve"> European </w:t>
      </w:r>
      <w:r w:rsidRPr="00CA455B">
        <w:rPr>
          <w:rFonts w:cs="Georgia"/>
          <w:color w:val="000000"/>
          <w:szCs w:val="20"/>
          <w:lang w:eastAsia="en-GB"/>
        </w:rPr>
        <w:t>power utility companies</w:t>
      </w:r>
      <w:r>
        <w:rPr>
          <w:rFonts w:cs="Georgia"/>
          <w:color w:val="000000"/>
          <w:szCs w:val="20"/>
          <w:lang w:eastAsia="en-GB"/>
        </w:rPr>
        <w:t xml:space="preserve"> </w:t>
      </w:r>
      <w:r w:rsidRPr="00CA455B">
        <w:rPr>
          <w:rFonts w:cs="Georgia"/>
          <w:color w:val="000000"/>
          <w:szCs w:val="20"/>
          <w:lang w:eastAsia="en-GB"/>
        </w:rPr>
        <w:t>remain more tilted towards the</w:t>
      </w:r>
      <w:r>
        <w:rPr>
          <w:rFonts w:cs="Georgia"/>
          <w:color w:val="000000"/>
          <w:szCs w:val="20"/>
          <w:lang w:eastAsia="en-GB"/>
        </w:rPr>
        <w:t xml:space="preserve"> </w:t>
      </w:r>
      <w:r w:rsidRPr="00CA455B">
        <w:rPr>
          <w:rFonts w:cs="Georgia"/>
          <w:color w:val="000000"/>
          <w:szCs w:val="20"/>
          <w:lang w:eastAsia="en-GB"/>
        </w:rPr>
        <w:t>divestment rather than the acquisition side</w:t>
      </w:r>
      <w:r>
        <w:rPr>
          <w:rFonts w:cs="Georgia"/>
          <w:color w:val="000000"/>
          <w:szCs w:val="20"/>
          <w:lang w:eastAsia="en-GB"/>
        </w:rPr>
        <w:t xml:space="preserve"> </w:t>
      </w:r>
      <w:r w:rsidRPr="00CA455B">
        <w:rPr>
          <w:rFonts w:cs="Georgia"/>
          <w:color w:val="000000"/>
          <w:szCs w:val="20"/>
          <w:lang w:eastAsia="en-GB"/>
        </w:rPr>
        <w:t>of the deal table</w:t>
      </w:r>
      <w:r>
        <w:rPr>
          <w:rFonts w:cs="Georgia"/>
          <w:color w:val="000000"/>
          <w:szCs w:val="20"/>
          <w:lang w:eastAsia="en-GB"/>
        </w:rPr>
        <w:t xml:space="preserve">. </w:t>
      </w:r>
    </w:p>
    <w:p w:rsidR="00286614" w:rsidRDefault="00286614" w:rsidP="00A21F13">
      <w:pPr>
        <w:autoSpaceDE w:val="0"/>
        <w:autoSpaceDN w:val="0"/>
        <w:adjustRightInd w:val="0"/>
        <w:spacing w:line="276" w:lineRule="auto"/>
        <w:rPr>
          <w:rFonts w:cs="Georgia"/>
          <w:color w:val="000000"/>
          <w:szCs w:val="20"/>
          <w:lang w:eastAsia="en-GB"/>
        </w:rPr>
      </w:pPr>
    </w:p>
    <w:p w:rsidR="00444E83" w:rsidRDefault="00444E83" w:rsidP="00A21F13">
      <w:pPr>
        <w:autoSpaceDE w:val="0"/>
        <w:autoSpaceDN w:val="0"/>
        <w:adjustRightInd w:val="0"/>
        <w:spacing w:line="276" w:lineRule="auto"/>
        <w:rPr>
          <w:rFonts w:cs="Georgia"/>
          <w:color w:val="000000"/>
          <w:szCs w:val="20"/>
          <w:lang w:eastAsia="en-GB"/>
        </w:rPr>
      </w:pPr>
      <w:r w:rsidRPr="008102D9">
        <w:rPr>
          <w:rFonts w:cs="Georgia"/>
          <w:bCs/>
          <w:color w:val="000000"/>
          <w:szCs w:val="20"/>
          <w:lang w:eastAsia="en-GB"/>
        </w:rPr>
        <w:t>Andrew McCrosson</w:t>
      </w:r>
      <w:r>
        <w:rPr>
          <w:rFonts w:cs="Georgia"/>
          <w:bCs/>
          <w:color w:val="000000"/>
          <w:szCs w:val="20"/>
          <w:lang w:eastAsia="en-GB"/>
        </w:rPr>
        <w:t xml:space="preserve">, </w:t>
      </w:r>
      <w:r>
        <w:rPr>
          <w:rFonts w:cs="Arial"/>
        </w:rPr>
        <w:t>partner, UK power and utilities, PwC</w:t>
      </w:r>
      <w:r>
        <w:rPr>
          <w:rFonts w:cs="Georgia"/>
          <w:color w:val="000000"/>
          <w:szCs w:val="20"/>
          <w:lang w:eastAsia="en-GB"/>
        </w:rPr>
        <w:t xml:space="preserve">, said: </w:t>
      </w:r>
    </w:p>
    <w:p w:rsidR="00444E83" w:rsidRDefault="00444E83" w:rsidP="00A21F13">
      <w:pPr>
        <w:autoSpaceDE w:val="0"/>
        <w:autoSpaceDN w:val="0"/>
        <w:adjustRightInd w:val="0"/>
        <w:spacing w:line="276" w:lineRule="auto"/>
        <w:rPr>
          <w:rFonts w:cs="Georgia"/>
          <w:color w:val="000000"/>
          <w:szCs w:val="20"/>
          <w:lang w:eastAsia="en-GB"/>
        </w:rPr>
      </w:pPr>
    </w:p>
    <w:p w:rsidR="00532F63" w:rsidRDefault="009F1AA1" w:rsidP="00532F63">
      <w:pPr>
        <w:autoSpaceDE w:val="0"/>
        <w:autoSpaceDN w:val="0"/>
        <w:adjustRightInd w:val="0"/>
        <w:spacing w:line="276" w:lineRule="auto"/>
        <w:ind w:left="284"/>
        <w:rPr>
          <w:rFonts w:cs="Georgia"/>
          <w:color w:val="000000"/>
          <w:szCs w:val="20"/>
          <w:lang w:eastAsia="en-GB"/>
        </w:rPr>
      </w:pPr>
      <w:r w:rsidRPr="009F1AA1">
        <w:rPr>
          <w:rFonts w:cs="Helv"/>
          <w:color w:val="000000"/>
          <w:szCs w:val="20"/>
          <w:lang w:eastAsia="en-GB"/>
        </w:rPr>
        <w:t xml:space="preserve">“In Europe, network deals have been a particular focus for institutional investors. They have continued to attract high premiums and will likely tempt existing asset owners to look closely at their options. The high </w:t>
      </w:r>
      <w:r w:rsidR="000C680E">
        <w:rPr>
          <w:rFonts w:cs="Helv"/>
          <w:color w:val="000000"/>
          <w:szCs w:val="20"/>
          <w:lang w:eastAsia="en-GB"/>
        </w:rPr>
        <w:t>premiums</w:t>
      </w:r>
      <w:r w:rsidR="000C680E" w:rsidRPr="009F1AA1">
        <w:rPr>
          <w:rFonts w:cs="Helv"/>
          <w:color w:val="000000"/>
          <w:szCs w:val="20"/>
          <w:lang w:eastAsia="en-GB"/>
        </w:rPr>
        <w:t xml:space="preserve"> </w:t>
      </w:r>
      <w:r w:rsidRPr="009F1AA1">
        <w:rPr>
          <w:rFonts w:cs="Helv"/>
          <w:color w:val="000000"/>
          <w:szCs w:val="20"/>
          <w:lang w:eastAsia="en-GB"/>
        </w:rPr>
        <w:t xml:space="preserve">are in part due to the relatively stable regulatory frameworks, but also the significant capital expenditure requirements needed to replace much of the </w:t>
      </w:r>
      <w:bookmarkStart w:id="0" w:name="_GoBack"/>
      <w:bookmarkEnd w:id="0"/>
      <w:r w:rsidRPr="009F1AA1">
        <w:rPr>
          <w:rFonts w:cs="Helv"/>
          <w:color w:val="000000"/>
          <w:szCs w:val="20"/>
          <w:lang w:eastAsia="en-GB"/>
        </w:rPr>
        <w:t xml:space="preserve">ageing infrastructure in Europe. Investors with a low cost of capital are able to finance </w:t>
      </w:r>
      <w:r w:rsidR="000C680E">
        <w:rPr>
          <w:rFonts w:cs="Helv"/>
          <w:color w:val="000000"/>
          <w:szCs w:val="20"/>
          <w:lang w:eastAsia="en-GB"/>
        </w:rPr>
        <w:t>these</w:t>
      </w:r>
      <w:r w:rsidR="000C680E" w:rsidRPr="009F1AA1">
        <w:rPr>
          <w:rFonts w:cs="Helv"/>
          <w:color w:val="000000"/>
          <w:szCs w:val="20"/>
          <w:lang w:eastAsia="en-GB"/>
        </w:rPr>
        <w:t xml:space="preserve"> </w:t>
      </w:r>
      <w:r w:rsidRPr="009F1AA1">
        <w:rPr>
          <w:rFonts w:cs="Helv"/>
          <w:color w:val="000000"/>
          <w:szCs w:val="20"/>
          <w:lang w:eastAsia="en-GB"/>
        </w:rPr>
        <w:t>at levels below those allowed by regulators.”</w:t>
      </w:r>
    </w:p>
    <w:p w:rsidR="00532F63" w:rsidRDefault="00532F63" w:rsidP="009F1AA1">
      <w:pPr>
        <w:autoSpaceDE w:val="0"/>
        <w:autoSpaceDN w:val="0"/>
        <w:adjustRightInd w:val="0"/>
        <w:spacing w:line="276" w:lineRule="auto"/>
        <w:rPr>
          <w:rFonts w:cs="Georgia"/>
          <w:color w:val="000000"/>
          <w:szCs w:val="20"/>
          <w:lang w:eastAsia="en-GB"/>
        </w:rPr>
      </w:pPr>
    </w:p>
    <w:p w:rsidR="00444E83" w:rsidRDefault="00444E83" w:rsidP="00346011">
      <w:pPr>
        <w:autoSpaceDE w:val="0"/>
        <w:autoSpaceDN w:val="0"/>
        <w:adjustRightInd w:val="0"/>
        <w:spacing w:line="276" w:lineRule="auto"/>
        <w:rPr>
          <w:rFonts w:cs="Georgia"/>
          <w:color w:val="000000"/>
          <w:szCs w:val="20"/>
          <w:lang w:eastAsia="en-GB"/>
        </w:rPr>
      </w:pPr>
      <w:r w:rsidRPr="00797C1B">
        <w:rPr>
          <w:rFonts w:cs="Georgia"/>
          <w:color w:val="000000"/>
          <w:szCs w:val="20"/>
          <w:lang w:eastAsia="en-GB"/>
        </w:rPr>
        <w:t>The era of cheap gas in the US has</w:t>
      </w:r>
      <w:r>
        <w:rPr>
          <w:rFonts w:cs="Georgia"/>
          <w:color w:val="000000"/>
          <w:szCs w:val="20"/>
          <w:lang w:eastAsia="en-GB"/>
        </w:rPr>
        <w:t xml:space="preserve"> </w:t>
      </w:r>
      <w:r w:rsidRPr="00797C1B">
        <w:rPr>
          <w:rFonts w:cs="Georgia"/>
          <w:color w:val="000000"/>
          <w:szCs w:val="20"/>
          <w:lang w:eastAsia="en-GB"/>
        </w:rPr>
        <w:t>transformed valuations and M&amp;A</w:t>
      </w:r>
      <w:r>
        <w:rPr>
          <w:rFonts w:cs="Georgia"/>
          <w:color w:val="000000"/>
          <w:szCs w:val="20"/>
          <w:lang w:eastAsia="en-GB"/>
        </w:rPr>
        <w:t xml:space="preserve"> </w:t>
      </w:r>
      <w:r w:rsidRPr="00797C1B">
        <w:rPr>
          <w:rFonts w:cs="Georgia"/>
          <w:color w:val="000000"/>
          <w:szCs w:val="20"/>
          <w:lang w:eastAsia="en-GB"/>
        </w:rPr>
        <w:t>strategies</w:t>
      </w:r>
      <w:r>
        <w:rPr>
          <w:rFonts w:cs="Georgia"/>
          <w:color w:val="000000"/>
          <w:szCs w:val="20"/>
          <w:lang w:eastAsia="en-GB"/>
        </w:rPr>
        <w:t>. But</w:t>
      </w:r>
      <w:r w:rsidRPr="00797C1B">
        <w:rPr>
          <w:rFonts w:cs="Georgia"/>
          <w:color w:val="000000"/>
          <w:szCs w:val="20"/>
          <w:lang w:eastAsia="en-GB"/>
        </w:rPr>
        <w:t xml:space="preserve"> the </w:t>
      </w:r>
      <w:r>
        <w:rPr>
          <w:rFonts w:cs="Georgia"/>
          <w:color w:val="000000"/>
          <w:szCs w:val="20"/>
          <w:lang w:eastAsia="en-GB"/>
        </w:rPr>
        <w:t xml:space="preserve">report warns that low prices cannot be taken for granted and the </w:t>
      </w:r>
      <w:r w:rsidRPr="00797C1B">
        <w:rPr>
          <w:rFonts w:cs="Georgia"/>
          <w:color w:val="000000"/>
          <w:szCs w:val="20"/>
          <w:lang w:eastAsia="en-GB"/>
        </w:rPr>
        <w:t xml:space="preserve">big M&amp;A prizes in </w:t>
      </w:r>
      <w:r>
        <w:rPr>
          <w:rFonts w:cs="Georgia"/>
          <w:color w:val="000000"/>
          <w:szCs w:val="20"/>
          <w:lang w:eastAsia="en-GB"/>
        </w:rPr>
        <w:t xml:space="preserve">the US in </w:t>
      </w:r>
      <w:r w:rsidRPr="00797C1B">
        <w:rPr>
          <w:rFonts w:cs="Georgia"/>
          <w:color w:val="000000"/>
          <w:szCs w:val="20"/>
          <w:lang w:eastAsia="en-GB"/>
        </w:rPr>
        <w:t>2013</w:t>
      </w:r>
      <w:r>
        <w:rPr>
          <w:rFonts w:cs="Georgia"/>
          <w:color w:val="000000"/>
          <w:szCs w:val="20"/>
          <w:lang w:eastAsia="en-GB"/>
        </w:rPr>
        <w:t xml:space="preserve"> could</w:t>
      </w:r>
      <w:r w:rsidRPr="00797C1B">
        <w:rPr>
          <w:rFonts w:cs="Georgia"/>
          <w:color w:val="000000"/>
          <w:szCs w:val="20"/>
          <w:lang w:eastAsia="en-GB"/>
        </w:rPr>
        <w:t xml:space="preserve"> go to those with the foresight to</w:t>
      </w:r>
      <w:r>
        <w:rPr>
          <w:rFonts w:cs="Georgia"/>
          <w:color w:val="000000"/>
          <w:szCs w:val="20"/>
          <w:lang w:eastAsia="en-GB"/>
        </w:rPr>
        <w:t xml:space="preserve"> </w:t>
      </w:r>
      <w:r w:rsidRPr="00797C1B">
        <w:rPr>
          <w:rFonts w:cs="Georgia"/>
          <w:color w:val="000000"/>
          <w:szCs w:val="20"/>
          <w:lang w:eastAsia="en-GB"/>
        </w:rPr>
        <w:t>correctly time the eventual upturn in gas</w:t>
      </w:r>
      <w:r>
        <w:rPr>
          <w:rFonts w:cs="Georgia"/>
          <w:color w:val="000000"/>
          <w:szCs w:val="20"/>
          <w:lang w:eastAsia="en-GB"/>
        </w:rPr>
        <w:t xml:space="preserve"> </w:t>
      </w:r>
      <w:r w:rsidRPr="00797C1B">
        <w:rPr>
          <w:rFonts w:cs="Georgia"/>
          <w:color w:val="000000"/>
          <w:szCs w:val="20"/>
          <w:lang w:eastAsia="en-GB"/>
        </w:rPr>
        <w:t xml:space="preserve">prices. </w:t>
      </w:r>
    </w:p>
    <w:p w:rsidR="007E1F76" w:rsidRDefault="007E1F76" w:rsidP="00346011">
      <w:pPr>
        <w:autoSpaceDE w:val="0"/>
        <w:autoSpaceDN w:val="0"/>
        <w:adjustRightInd w:val="0"/>
        <w:spacing w:line="276" w:lineRule="auto"/>
        <w:rPr>
          <w:rFonts w:cs="Georgia"/>
          <w:color w:val="000000"/>
          <w:szCs w:val="20"/>
          <w:lang w:eastAsia="en-GB"/>
        </w:rPr>
      </w:pPr>
    </w:p>
    <w:p w:rsidR="007E1F76" w:rsidRDefault="007E1F76" w:rsidP="00346011">
      <w:pPr>
        <w:autoSpaceDE w:val="0"/>
        <w:autoSpaceDN w:val="0"/>
        <w:adjustRightInd w:val="0"/>
        <w:spacing w:line="276" w:lineRule="auto"/>
        <w:rPr>
          <w:rFonts w:cs="Georgia"/>
          <w:color w:val="000000"/>
          <w:szCs w:val="20"/>
          <w:lang w:eastAsia="en-GB"/>
        </w:rPr>
      </w:pPr>
    </w:p>
    <w:p w:rsidR="007E1F76" w:rsidRDefault="007E1F76" w:rsidP="00346011">
      <w:pPr>
        <w:autoSpaceDE w:val="0"/>
        <w:autoSpaceDN w:val="0"/>
        <w:adjustRightInd w:val="0"/>
        <w:spacing w:line="276" w:lineRule="auto"/>
        <w:rPr>
          <w:rFonts w:cs="Georgia"/>
          <w:color w:val="000000"/>
          <w:szCs w:val="20"/>
          <w:lang w:eastAsia="en-GB"/>
        </w:rPr>
      </w:pPr>
    </w:p>
    <w:p w:rsidR="00444E83" w:rsidRDefault="00444E83" w:rsidP="00797C1B">
      <w:pPr>
        <w:autoSpaceDE w:val="0"/>
        <w:autoSpaceDN w:val="0"/>
        <w:adjustRightInd w:val="0"/>
        <w:spacing w:line="276" w:lineRule="auto"/>
        <w:rPr>
          <w:rFonts w:cs="Georgia"/>
          <w:color w:val="000000"/>
          <w:szCs w:val="20"/>
          <w:lang w:eastAsia="en-GB"/>
        </w:rPr>
      </w:pPr>
      <w:r w:rsidRPr="00346011">
        <w:rPr>
          <w:rFonts w:cs="Georgia"/>
          <w:bCs/>
          <w:color w:val="000000"/>
          <w:szCs w:val="20"/>
          <w:lang w:eastAsia="en-GB"/>
        </w:rPr>
        <w:t>Rob McCeney</w:t>
      </w:r>
      <w:r>
        <w:rPr>
          <w:rFonts w:cs="Georgia"/>
          <w:bCs/>
          <w:color w:val="000000"/>
          <w:szCs w:val="20"/>
          <w:lang w:eastAsia="en-GB"/>
        </w:rPr>
        <w:t xml:space="preserve">, </w:t>
      </w:r>
      <w:r>
        <w:rPr>
          <w:rFonts w:cs="Arial"/>
        </w:rPr>
        <w:t>partner, US power and utilities, PwC</w:t>
      </w:r>
      <w:r>
        <w:rPr>
          <w:rFonts w:cs="Georgia"/>
          <w:color w:val="000000"/>
          <w:szCs w:val="20"/>
          <w:lang w:eastAsia="en-GB"/>
        </w:rPr>
        <w:t xml:space="preserve">, said: </w:t>
      </w:r>
    </w:p>
    <w:p w:rsidR="007E1F76" w:rsidRDefault="007E1F76" w:rsidP="00797C1B">
      <w:pPr>
        <w:autoSpaceDE w:val="0"/>
        <w:autoSpaceDN w:val="0"/>
        <w:adjustRightInd w:val="0"/>
        <w:spacing w:line="276" w:lineRule="auto"/>
        <w:rPr>
          <w:rFonts w:cs="Georgia"/>
          <w:color w:val="000000"/>
          <w:szCs w:val="20"/>
          <w:lang w:eastAsia="en-GB"/>
        </w:rPr>
      </w:pPr>
    </w:p>
    <w:p w:rsidR="00444E83" w:rsidRDefault="00444E83" w:rsidP="007E1F76">
      <w:pPr>
        <w:autoSpaceDE w:val="0"/>
        <w:autoSpaceDN w:val="0"/>
        <w:adjustRightInd w:val="0"/>
        <w:spacing w:line="276" w:lineRule="auto"/>
        <w:ind w:left="284"/>
        <w:rPr>
          <w:rFonts w:cs="Georgia"/>
          <w:color w:val="000000"/>
          <w:szCs w:val="20"/>
          <w:lang w:eastAsia="en-GB"/>
        </w:rPr>
      </w:pPr>
      <w:r>
        <w:rPr>
          <w:rFonts w:cs="Georgia"/>
          <w:color w:val="000000"/>
          <w:szCs w:val="20"/>
          <w:lang w:eastAsia="en-GB"/>
        </w:rPr>
        <w:t>“</w:t>
      </w:r>
      <w:r w:rsidRPr="00797C1B">
        <w:rPr>
          <w:rFonts w:cs="Georgia"/>
          <w:color w:val="000000"/>
          <w:szCs w:val="20"/>
          <w:lang w:eastAsia="en-GB"/>
        </w:rPr>
        <w:t>Increased export</w:t>
      </w:r>
      <w:r w:rsidR="007B5637">
        <w:rPr>
          <w:rFonts w:cs="Georgia"/>
          <w:color w:val="000000"/>
          <w:szCs w:val="20"/>
          <w:lang w:eastAsia="en-GB"/>
        </w:rPr>
        <w:t>s</w:t>
      </w:r>
      <w:r w:rsidRPr="00797C1B">
        <w:rPr>
          <w:rFonts w:cs="Georgia"/>
          <w:color w:val="000000"/>
          <w:szCs w:val="20"/>
          <w:lang w:eastAsia="en-GB"/>
        </w:rPr>
        <w:t xml:space="preserve"> to</w:t>
      </w:r>
      <w:r>
        <w:rPr>
          <w:rFonts w:cs="Georgia"/>
          <w:color w:val="000000"/>
          <w:szCs w:val="20"/>
          <w:lang w:eastAsia="en-GB"/>
        </w:rPr>
        <w:t xml:space="preserve"> </w:t>
      </w:r>
      <w:r w:rsidRPr="00797C1B">
        <w:rPr>
          <w:rFonts w:cs="Georgia"/>
          <w:color w:val="000000"/>
          <w:szCs w:val="20"/>
          <w:lang w:eastAsia="en-GB"/>
        </w:rPr>
        <w:t>higher priced markets, a shift to</w:t>
      </w:r>
      <w:r>
        <w:rPr>
          <w:rFonts w:cs="Georgia"/>
          <w:color w:val="000000"/>
          <w:szCs w:val="20"/>
          <w:lang w:eastAsia="en-GB"/>
        </w:rPr>
        <w:t xml:space="preserve"> </w:t>
      </w:r>
      <w:r w:rsidRPr="00797C1B">
        <w:rPr>
          <w:rFonts w:cs="Georgia"/>
          <w:color w:val="000000"/>
          <w:szCs w:val="20"/>
          <w:lang w:eastAsia="en-GB"/>
        </w:rPr>
        <w:t>gas</w:t>
      </w:r>
      <w:r w:rsidR="007B5637">
        <w:rPr>
          <w:rFonts w:cs="Georgia"/>
          <w:color w:val="000000"/>
          <w:szCs w:val="20"/>
          <w:lang w:eastAsia="en-GB"/>
        </w:rPr>
        <w:t xml:space="preserve">-fired base load </w:t>
      </w:r>
      <w:r w:rsidRPr="00797C1B">
        <w:rPr>
          <w:rFonts w:cs="Georgia"/>
          <w:color w:val="000000"/>
          <w:szCs w:val="20"/>
          <w:lang w:eastAsia="en-GB"/>
        </w:rPr>
        <w:t xml:space="preserve">generation, </w:t>
      </w:r>
      <w:r w:rsidR="007B5637">
        <w:rPr>
          <w:rFonts w:cs="Georgia"/>
          <w:color w:val="000000"/>
          <w:szCs w:val="20"/>
          <w:lang w:eastAsia="en-GB"/>
        </w:rPr>
        <w:t xml:space="preserve">growing </w:t>
      </w:r>
      <w:r w:rsidRPr="00797C1B">
        <w:rPr>
          <w:rFonts w:cs="Georgia"/>
          <w:color w:val="000000"/>
          <w:szCs w:val="20"/>
          <w:lang w:eastAsia="en-GB"/>
        </w:rPr>
        <w:t>industri</w:t>
      </w:r>
      <w:r w:rsidR="007B5637">
        <w:rPr>
          <w:rFonts w:cs="Georgia"/>
          <w:color w:val="000000"/>
          <w:szCs w:val="20"/>
          <w:lang w:eastAsia="en-GB"/>
        </w:rPr>
        <w:t>al consumption</w:t>
      </w:r>
      <w:r w:rsidRPr="00797C1B">
        <w:rPr>
          <w:rFonts w:cs="Georgia"/>
          <w:color w:val="000000"/>
          <w:szCs w:val="20"/>
          <w:lang w:eastAsia="en-GB"/>
        </w:rPr>
        <w:t xml:space="preserve"> and </w:t>
      </w:r>
      <w:r w:rsidR="007B5637">
        <w:rPr>
          <w:rFonts w:cs="Georgia"/>
          <w:color w:val="000000"/>
          <w:szCs w:val="20"/>
          <w:lang w:eastAsia="en-GB"/>
        </w:rPr>
        <w:t xml:space="preserve">expanded </w:t>
      </w:r>
      <w:r w:rsidRPr="00797C1B">
        <w:rPr>
          <w:rFonts w:cs="Georgia"/>
          <w:color w:val="000000"/>
          <w:szCs w:val="20"/>
          <w:lang w:eastAsia="en-GB"/>
        </w:rPr>
        <w:t>uses of</w:t>
      </w:r>
      <w:r>
        <w:rPr>
          <w:rFonts w:cs="Georgia"/>
          <w:color w:val="000000"/>
          <w:szCs w:val="20"/>
          <w:lang w:eastAsia="en-GB"/>
        </w:rPr>
        <w:t xml:space="preserve"> </w:t>
      </w:r>
      <w:r w:rsidRPr="00797C1B">
        <w:rPr>
          <w:rFonts w:cs="Georgia"/>
          <w:color w:val="000000"/>
          <w:szCs w:val="20"/>
          <w:lang w:eastAsia="en-GB"/>
        </w:rPr>
        <w:t>gas for transport</w:t>
      </w:r>
      <w:r w:rsidR="007B5637">
        <w:rPr>
          <w:rFonts w:cs="Georgia"/>
          <w:color w:val="000000"/>
          <w:szCs w:val="20"/>
          <w:lang w:eastAsia="en-GB"/>
        </w:rPr>
        <w:t>ation</w:t>
      </w:r>
      <w:r w:rsidRPr="00797C1B">
        <w:rPr>
          <w:rFonts w:cs="Georgia"/>
          <w:color w:val="000000"/>
          <w:szCs w:val="20"/>
          <w:lang w:eastAsia="en-GB"/>
        </w:rPr>
        <w:t xml:space="preserve"> fuels and derivative</w:t>
      </w:r>
      <w:r>
        <w:rPr>
          <w:rFonts w:cs="Georgia"/>
          <w:color w:val="000000"/>
          <w:szCs w:val="20"/>
          <w:lang w:eastAsia="en-GB"/>
        </w:rPr>
        <w:t xml:space="preserve"> </w:t>
      </w:r>
      <w:r w:rsidRPr="00797C1B">
        <w:rPr>
          <w:rFonts w:cs="Georgia"/>
          <w:color w:val="000000"/>
          <w:szCs w:val="20"/>
          <w:lang w:eastAsia="en-GB"/>
        </w:rPr>
        <w:t xml:space="preserve">products will all </w:t>
      </w:r>
      <w:r w:rsidR="007B5637">
        <w:rPr>
          <w:rFonts w:cs="Georgia"/>
          <w:color w:val="000000"/>
          <w:szCs w:val="20"/>
          <w:lang w:eastAsia="en-GB"/>
        </w:rPr>
        <w:t xml:space="preserve">start </w:t>
      </w:r>
      <w:r w:rsidRPr="00797C1B">
        <w:rPr>
          <w:rFonts w:cs="Georgia"/>
          <w:color w:val="000000"/>
          <w:szCs w:val="20"/>
          <w:lang w:eastAsia="en-GB"/>
        </w:rPr>
        <w:t xml:space="preserve">add to upward </w:t>
      </w:r>
      <w:r>
        <w:rPr>
          <w:rFonts w:cs="Georgia"/>
          <w:color w:val="000000"/>
          <w:szCs w:val="20"/>
          <w:lang w:eastAsia="en-GB"/>
        </w:rPr>
        <w:t xml:space="preserve">gas </w:t>
      </w:r>
      <w:r w:rsidRPr="00797C1B">
        <w:rPr>
          <w:rFonts w:cs="Georgia"/>
          <w:color w:val="000000"/>
          <w:szCs w:val="20"/>
          <w:lang w:eastAsia="en-GB"/>
        </w:rPr>
        <w:t>price</w:t>
      </w:r>
      <w:r>
        <w:rPr>
          <w:rFonts w:cs="Georgia"/>
          <w:color w:val="000000"/>
          <w:szCs w:val="20"/>
          <w:lang w:eastAsia="en-GB"/>
        </w:rPr>
        <w:t xml:space="preserve"> </w:t>
      </w:r>
      <w:r w:rsidRPr="00797C1B">
        <w:rPr>
          <w:rFonts w:cs="Georgia"/>
          <w:color w:val="000000"/>
          <w:szCs w:val="20"/>
          <w:lang w:eastAsia="en-GB"/>
        </w:rPr>
        <w:t>pressure</w:t>
      </w:r>
      <w:r w:rsidR="007B5637">
        <w:rPr>
          <w:rFonts w:cs="Georgia"/>
          <w:color w:val="000000"/>
          <w:szCs w:val="20"/>
          <w:lang w:eastAsia="en-GB"/>
        </w:rPr>
        <w:t xml:space="preserve"> over the next few years</w:t>
      </w:r>
      <w:r w:rsidRPr="00797C1B">
        <w:rPr>
          <w:rFonts w:cs="Georgia"/>
          <w:color w:val="000000"/>
          <w:szCs w:val="20"/>
          <w:lang w:eastAsia="en-GB"/>
        </w:rPr>
        <w:t xml:space="preserve">. </w:t>
      </w:r>
      <w:r>
        <w:rPr>
          <w:rFonts w:cs="Georgia"/>
          <w:color w:val="000000"/>
          <w:szCs w:val="20"/>
          <w:lang w:eastAsia="en-GB"/>
        </w:rPr>
        <w:t xml:space="preserve">It’s very possible that we will see </w:t>
      </w:r>
      <w:r w:rsidRPr="00797C1B">
        <w:rPr>
          <w:rFonts w:cs="Georgia"/>
          <w:color w:val="000000"/>
          <w:szCs w:val="20"/>
          <w:lang w:eastAsia="en-GB"/>
        </w:rPr>
        <w:t>moves, particularly from private equity</w:t>
      </w:r>
      <w:r>
        <w:rPr>
          <w:rFonts w:cs="Georgia"/>
          <w:color w:val="000000"/>
          <w:szCs w:val="20"/>
          <w:lang w:eastAsia="en-GB"/>
        </w:rPr>
        <w:t xml:space="preserve"> </w:t>
      </w:r>
      <w:r w:rsidRPr="00797C1B">
        <w:rPr>
          <w:rFonts w:cs="Georgia"/>
          <w:color w:val="000000"/>
          <w:szCs w:val="20"/>
          <w:lang w:eastAsia="en-GB"/>
        </w:rPr>
        <w:t>buyers, for currently cheap assets that</w:t>
      </w:r>
      <w:r>
        <w:rPr>
          <w:rFonts w:cs="Georgia"/>
          <w:color w:val="000000"/>
          <w:szCs w:val="20"/>
          <w:lang w:eastAsia="en-GB"/>
        </w:rPr>
        <w:t xml:space="preserve"> </w:t>
      </w:r>
      <w:r w:rsidRPr="00797C1B">
        <w:rPr>
          <w:rFonts w:cs="Georgia"/>
          <w:color w:val="000000"/>
          <w:szCs w:val="20"/>
          <w:lang w:eastAsia="en-GB"/>
        </w:rPr>
        <w:t>could gain from a longer term upward gas</w:t>
      </w:r>
      <w:r>
        <w:rPr>
          <w:rFonts w:cs="Georgia"/>
          <w:color w:val="000000"/>
          <w:szCs w:val="20"/>
          <w:lang w:eastAsia="en-GB"/>
        </w:rPr>
        <w:t xml:space="preserve"> </w:t>
      </w:r>
      <w:r w:rsidRPr="00797C1B">
        <w:rPr>
          <w:rFonts w:cs="Georgia"/>
          <w:color w:val="000000"/>
          <w:szCs w:val="20"/>
          <w:lang w:eastAsia="en-GB"/>
        </w:rPr>
        <w:t>price trend.</w:t>
      </w:r>
      <w:r>
        <w:rPr>
          <w:rFonts w:cs="Georgia"/>
          <w:color w:val="000000"/>
          <w:szCs w:val="20"/>
          <w:lang w:eastAsia="en-GB"/>
        </w:rPr>
        <w:t>”</w:t>
      </w:r>
    </w:p>
    <w:p w:rsidR="00444E83" w:rsidRDefault="00444E83" w:rsidP="00346011">
      <w:pPr>
        <w:autoSpaceDE w:val="0"/>
        <w:autoSpaceDN w:val="0"/>
        <w:adjustRightInd w:val="0"/>
        <w:spacing w:line="276" w:lineRule="auto"/>
        <w:rPr>
          <w:rFonts w:cs="Georgia"/>
          <w:color w:val="000000"/>
          <w:szCs w:val="20"/>
          <w:lang w:eastAsia="en-GB"/>
        </w:rPr>
      </w:pPr>
    </w:p>
    <w:p w:rsidR="00444E83" w:rsidRDefault="00444E83" w:rsidP="00346011">
      <w:pPr>
        <w:autoSpaceDE w:val="0"/>
        <w:autoSpaceDN w:val="0"/>
        <w:adjustRightInd w:val="0"/>
        <w:spacing w:line="276" w:lineRule="auto"/>
        <w:rPr>
          <w:rFonts w:cs="Georgia"/>
          <w:color w:val="000000"/>
          <w:szCs w:val="20"/>
          <w:lang w:eastAsia="en-GB"/>
        </w:rPr>
      </w:pPr>
      <w:r>
        <w:rPr>
          <w:rFonts w:cs="Georgia"/>
          <w:color w:val="000000"/>
          <w:szCs w:val="20"/>
          <w:lang w:eastAsia="en-GB"/>
        </w:rPr>
        <w:t>The report maps a number of deal hot spots and investment opportunities around the world in the power and renewables sector for the year ahead. In particular, it highlights:</w:t>
      </w:r>
    </w:p>
    <w:p w:rsidR="00444E83" w:rsidRDefault="00444E83" w:rsidP="00346011">
      <w:pPr>
        <w:autoSpaceDE w:val="0"/>
        <w:autoSpaceDN w:val="0"/>
        <w:adjustRightInd w:val="0"/>
        <w:spacing w:line="276" w:lineRule="auto"/>
        <w:rPr>
          <w:rFonts w:cs="Georgia"/>
          <w:color w:val="000000"/>
          <w:szCs w:val="20"/>
          <w:lang w:eastAsia="en-GB"/>
        </w:rPr>
      </w:pPr>
    </w:p>
    <w:p w:rsidR="00444E83" w:rsidRDefault="00444E83" w:rsidP="00644CE5">
      <w:pPr>
        <w:autoSpaceDE w:val="0"/>
        <w:autoSpaceDN w:val="0"/>
        <w:adjustRightInd w:val="0"/>
        <w:spacing w:line="276" w:lineRule="auto"/>
        <w:rPr>
          <w:rFonts w:cs="Georgia"/>
          <w:color w:val="000000"/>
          <w:szCs w:val="20"/>
          <w:lang w:eastAsia="en-GB"/>
        </w:rPr>
      </w:pPr>
      <w:r w:rsidRPr="007954C7">
        <w:rPr>
          <w:rFonts w:cs="Georgia"/>
          <w:b/>
          <w:color w:val="000000"/>
          <w:szCs w:val="20"/>
          <w:lang w:eastAsia="en-GB"/>
        </w:rPr>
        <w:t xml:space="preserve">Brazil </w:t>
      </w:r>
      <w:r w:rsidR="007E1F76">
        <w:rPr>
          <w:rFonts w:cs="Georgia"/>
          <w:color w:val="000000"/>
          <w:szCs w:val="20"/>
          <w:lang w:eastAsia="en-GB"/>
        </w:rPr>
        <w:t xml:space="preserve">– </w:t>
      </w:r>
      <w:r>
        <w:rPr>
          <w:rFonts w:cs="Georgia"/>
          <w:color w:val="000000"/>
          <w:szCs w:val="20"/>
          <w:lang w:eastAsia="en-GB"/>
        </w:rPr>
        <w:t xml:space="preserve">a government move to </w:t>
      </w:r>
      <w:r w:rsidRPr="00644CE5">
        <w:rPr>
          <w:rFonts w:cs="Georgia"/>
          <w:color w:val="000000"/>
          <w:szCs w:val="20"/>
          <w:lang w:eastAsia="en-GB"/>
        </w:rPr>
        <w:t>reduce</w:t>
      </w:r>
      <w:r>
        <w:rPr>
          <w:rFonts w:cs="Georgia"/>
          <w:color w:val="000000"/>
          <w:szCs w:val="20"/>
          <w:lang w:eastAsia="en-GB"/>
        </w:rPr>
        <w:t xml:space="preserve"> </w:t>
      </w:r>
      <w:r w:rsidRPr="00644CE5">
        <w:rPr>
          <w:rFonts w:cs="Georgia"/>
          <w:color w:val="000000"/>
          <w:szCs w:val="20"/>
          <w:lang w:eastAsia="en-GB"/>
        </w:rPr>
        <w:t>energy prices to industry and consumers has hit the market capitalisations of power</w:t>
      </w:r>
      <w:r>
        <w:rPr>
          <w:rFonts w:cs="Georgia"/>
          <w:color w:val="000000"/>
          <w:szCs w:val="20"/>
          <w:lang w:eastAsia="en-GB"/>
        </w:rPr>
        <w:t xml:space="preserve"> </w:t>
      </w:r>
      <w:r w:rsidRPr="00644CE5">
        <w:rPr>
          <w:rFonts w:cs="Georgia"/>
          <w:color w:val="000000"/>
          <w:szCs w:val="20"/>
          <w:lang w:eastAsia="en-GB"/>
        </w:rPr>
        <w:t>companies hard</w:t>
      </w:r>
      <w:r>
        <w:rPr>
          <w:rFonts w:cs="Georgia"/>
          <w:color w:val="000000"/>
          <w:szCs w:val="20"/>
          <w:lang w:eastAsia="en-GB"/>
        </w:rPr>
        <w:t xml:space="preserve">. </w:t>
      </w:r>
      <w:r w:rsidRPr="00644CE5">
        <w:rPr>
          <w:rFonts w:cs="Georgia"/>
          <w:color w:val="000000"/>
          <w:szCs w:val="20"/>
          <w:lang w:eastAsia="en-GB"/>
        </w:rPr>
        <w:t xml:space="preserve"> But</w:t>
      </w:r>
      <w:r>
        <w:rPr>
          <w:rFonts w:cs="Georgia"/>
          <w:color w:val="000000"/>
          <w:szCs w:val="20"/>
          <w:lang w:eastAsia="en-GB"/>
        </w:rPr>
        <w:t xml:space="preserve"> this is unlikely to deter investor focus on </w:t>
      </w:r>
      <w:r w:rsidRPr="00644CE5">
        <w:rPr>
          <w:rFonts w:cs="Georgia"/>
          <w:color w:val="000000"/>
          <w:szCs w:val="20"/>
          <w:lang w:eastAsia="en-GB"/>
        </w:rPr>
        <w:t>the</w:t>
      </w:r>
      <w:r>
        <w:rPr>
          <w:rFonts w:cs="Georgia"/>
          <w:color w:val="000000"/>
          <w:szCs w:val="20"/>
          <w:lang w:eastAsia="en-GB"/>
        </w:rPr>
        <w:t xml:space="preserve"> </w:t>
      </w:r>
      <w:r w:rsidRPr="00644CE5">
        <w:rPr>
          <w:rFonts w:cs="Georgia"/>
          <w:color w:val="000000"/>
          <w:szCs w:val="20"/>
          <w:lang w:eastAsia="en-GB"/>
        </w:rPr>
        <w:t>long-term growth fundamentals. Indeed,</w:t>
      </w:r>
      <w:r>
        <w:rPr>
          <w:rFonts w:cs="Georgia"/>
          <w:color w:val="000000"/>
          <w:szCs w:val="20"/>
          <w:lang w:eastAsia="en-GB"/>
        </w:rPr>
        <w:t xml:space="preserve"> it</w:t>
      </w:r>
      <w:r w:rsidRPr="00644CE5">
        <w:rPr>
          <w:rFonts w:cs="Georgia"/>
          <w:color w:val="000000"/>
          <w:szCs w:val="20"/>
          <w:lang w:eastAsia="en-GB"/>
        </w:rPr>
        <w:t xml:space="preserve"> may provide a spur to M&amp;A by</w:t>
      </w:r>
      <w:r>
        <w:rPr>
          <w:rFonts w:cs="Georgia"/>
          <w:color w:val="000000"/>
          <w:szCs w:val="20"/>
          <w:lang w:eastAsia="en-GB"/>
        </w:rPr>
        <w:t xml:space="preserve"> </w:t>
      </w:r>
      <w:r w:rsidRPr="00644CE5">
        <w:rPr>
          <w:rFonts w:cs="Georgia"/>
          <w:color w:val="000000"/>
          <w:szCs w:val="20"/>
          <w:lang w:eastAsia="en-GB"/>
        </w:rPr>
        <w:t>reducing target prices and also</w:t>
      </w:r>
      <w:r>
        <w:rPr>
          <w:rFonts w:cs="Georgia"/>
          <w:color w:val="000000"/>
          <w:szCs w:val="20"/>
          <w:lang w:eastAsia="en-GB"/>
        </w:rPr>
        <w:t xml:space="preserve"> </w:t>
      </w:r>
      <w:r w:rsidRPr="00644CE5">
        <w:rPr>
          <w:rFonts w:cs="Georgia"/>
          <w:color w:val="000000"/>
          <w:szCs w:val="20"/>
          <w:lang w:eastAsia="en-GB"/>
        </w:rPr>
        <w:t>encouraging long-overdue domestic</w:t>
      </w:r>
      <w:r>
        <w:rPr>
          <w:rFonts w:cs="Georgia"/>
          <w:color w:val="000000"/>
          <w:szCs w:val="20"/>
          <w:lang w:eastAsia="en-GB"/>
        </w:rPr>
        <w:t xml:space="preserve"> sector </w:t>
      </w:r>
      <w:r w:rsidRPr="00644CE5">
        <w:rPr>
          <w:rFonts w:cs="Georgia"/>
          <w:color w:val="000000"/>
          <w:szCs w:val="20"/>
          <w:lang w:eastAsia="en-GB"/>
        </w:rPr>
        <w:t xml:space="preserve">consolidation. </w:t>
      </w:r>
    </w:p>
    <w:p w:rsidR="00444E83" w:rsidRDefault="00444E83" w:rsidP="00644CE5">
      <w:pPr>
        <w:autoSpaceDE w:val="0"/>
        <w:autoSpaceDN w:val="0"/>
        <w:adjustRightInd w:val="0"/>
        <w:spacing w:line="276" w:lineRule="auto"/>
        <w:rPr>
          <w:rFonts w:cs="Georgia"/>
          <w:color w:val="000000"/>
          <w:szCs w:val="20"/>
          <w:lang w:eastAsia="en-GB"/>
        </w:rPr>
      </w:pPr>
    </w:p>
    <w:p w:rsidR="00444E83" w:rsidRPr="007954C7" w:rsidRDefault="00444E83" w:rsidP="007954C7">
      <w:pPr>
        <w:autoSpaceDE w:val="0"/>
        <w:autoSpaceDN w:val="0"/>
        <w:adjustRightInd w:val="0"/>
        <w:spacing w:line="276" w:lineRule="auto"/>
        <w:rPr>
          <w:rFonts w:cs="Georgia"/>
          <w:bCs/>
          <w:color w:val="000000"/>
          <w:szCs w:val="20"/>
          <w:lang w:eastAsia="en-GB"/>
        </w:rPr>
      </w:pPr>
      <w:r>
        <w:rPr>
          <w:rFonts w:cs="Georgia"/>
          <w:b/>
          <w:bCs/>
          <w:color w:val="000000"/>
          <w:szCs w:val="20"/>
          <w:lang w:eastAsia="en-GB"/>
        </w:rPr>
        <w:t xml:space="preserve">Turkey – </w:t>
      </w:r>
      <w:r w:rsidRPr="007954C7">
        <w:rPr>
          <w:rFonts w:cs="Georgia"/>
          <w:bCs/>
          <w:color w:val="000000"/>
          <w:szCs w:val="20"/>
          <w:lang w:eastAsia="en-GB"/>
        </w:rPr>
        <w:t>inbound interest in Turkey</w:t>
      </w:r>
      <w:r>
        <w:rPr>
          <w:rFonts w:cs="Georgia"/>
          <w:bCs/>
          <w:color w:val="000000"/>
          <w:szCs w:val="20"/>
          <w:lang w:eastAsia="en-GB"/>
        </w:rPr>
        <w:t xml:space="preserve"> will remain strong. This year </w:t>
      </w:r>
      <w:r w:rsidRPr="007954C7">
        <w:rPr>
          <w:rFonts w:cs="Georgia"/>
          <w:bCs/>
          <w:color w:val="000000"/>
          <w:szCs w:val="20"/>
          <w:lang w:eastAsia="en-GB"/>
        </w:rPr>
        <w:t>has begun with news of major Middle</w:t>
      </w:r>
      <w:r>
        <w:rPr>
          <w:rFonts w:cs="Georgia"/>
          <w:bCs/>
          <w:color w:val="000000"/>
          <w:szCs w:val="20"/>
          <w:lang w:eastAsia="en-GB"/>
        </w:rPr>
        <w:t xml:space="preserve"> </w:t>
      </w:r>
      <w:r w:rsidRPr="007954C7">
        <w:rPr>
          <w:rFonts w:cs="Georgia"/>
          <w:bCs/>
          <w:color w:val="000000"/>
          <w:szCs w:val="20"/>
          <w:lang w:eastAsia="en-GB"/>
        </w:rPr>
        <w:t>Eastern investment in the Turkish power</w:t>
      </w:r>
      <w:r>
        <w:rPr>
          <w:rFonts w:cs="Georgia"/>
          <w:bCs/>
          <w:color w:val="000000"/>
          <w:szCs w:val="20"/>
          <w:lang w:eastAsia="en-GB"/>
        </w:rPr>
        <w:t xml:space="preserve"> </w:t>
      </w:r>
      <w:r w:rsidRPr="007954C7">
        <w:rPr>
          <w:rFonts w:cs="Georgia"/>
          <w:bCs/>
          <w:color w:val="000000"/>
          <w:szCs w:val="20"/>
          <w:lang w:eastAsia="en-GB"/>
        </w:rPr>
        <w:t>sector from the Abu Dhabi National Energy</w:t>
      </w:r>
      <w:r>
        <w:rPr>
          <w:rFonts w:cs="Georgia"/>
          <w:bCs/>
          <w:color w:val="000000"/>
          <w:szCs w:val="20"/>
          <w:lang w:eastAsia="en-GB"/>
        </w:rPr>
        <w:t xml:space="preserve"> </w:t>
      </w:r>
      <w:r w:rsidRPr="007954C7">
        <w:rPr>
          <w:rFonts w:cs="Georgia"/>
          <w:bCs/>
          <w:color w:val="000000"/>
          <w:szCs w:val="20"/>
          <w:lang w:eastAsia="en-GB"/>
        </w:rPr>
        <w:t>Company (Taqa)</w:t>
      </w:r>
      <w:r>
        <w:rPr>
          <w:rFonts w:cs="Georgia"/>
          <w:bCs/>
          <w:color w:val="000000"/>
          <w:szCs w:val="20"/>
          <w:lang w:eastAsia="en-GB"/>
        </w:rPr>
        <w:t>.</w:t>
      </w:r>
      <w:r w:rsidRPr="007954C7">
        <w:rPr>
          <w:rFonts w:cs="Georgia"/>
          <w:bCs/>
          <w:color w:val="000000"/>
          <w:szCs w:val="20"/>
          <w:lang w:eastAsia="en-GB"/>
        </w:rPr>
        <w:t xml:space="preserve"> This follows hard on</w:t>
      </w:r>
      <w:r>
        <w:rPr>
          <w:rFonts w:cs="Georgia"/>
          <w:bCs/>
          <w:color w:val="000000"/>
          <w:szCs w:val="20"/>
          <w:lang w:eastAsia="en-GB"/>
        </w:rPr>
        <w:t xml:space="preserve"> </w:t>
      </w:r>
      <w:r w:rsidRPr="007954C7">
        <w:rPr>
          <w:rFonts w:cs="Georgia"/>
          <w:bCs/>
          <w:color w:val="000000"/>
          <w:szCs w:val="20"/>
          <w:lang w:eastAsia="en-GB"/>
        </w:rPr>
        <w:t>E.ON’s announcement of a €1.5bn joint</w:t>
      </w:r>
      <w:r>
        <w:rPr>
          <w:rFonts w:cs="Georgia"/>
          <w:bCs/>
          <w:color w:val="000000"/>
          <w:szCs w:val="20"/>
          <w:lang w:eastAsia="en-GB"/>
        </w:rPr>
        <w:t xml:space="preserve"> </w:t>
      </w:r>
      <w:r w:rsidRPr="007954C7">
        <w:rPr>
          <w:rFonts w:cs="Georgia"/>
          <w:bCs/>
          <w:color w:val="000000"/>
          <w:szCs w:val="20"/>
          <w:lang w:eastAsia="en-GB"/>
        </w:rPr>
        <w:t>venture with Turkish company Enerjisa,</w:t>
      </w:r>
      <w:r>
        <w:rPr>
          <w:rFonts w:cs="Georgia"/>
          <w:bCs/>
          <w:color w:val="000000"/>
          <w:szCs w:val="20"/>
          <w:lang w:eastAsia="en-GB"/>
        </w:rPr>
        <w:t xml:space="preserve"> </w:t>
      </w:r>
      <w:r w:rsidRPr="007954C7">
        <w:rPr>
          <w:rFonts w:cs="Georgia"/>
          <w:bCs/>
          <w:color w:val="000000"/>
          <w:szCs w:val="20"/>
          <w:lang w:eastAsia="en-GB"/>
        </w:rPr>
        <w:t>highlighting the country’s power sector</w:t>
      </w:r>
      <w:r>
        <w:rPr>
          <w:rFonts w:cs="Georgia"/>
          <w:bCs/>
          <w:color w:val="000000"/>
          <w:szCs w:val="20"/>
          <w:lang w:eastAsia="en-GB"/>
        </w:rPr>
        <w:t xml:space="preserve"> </w:t>
      </w:r>
      <w:r w:rsidRPr="007954C7">
        <w:rPr>
          <w:rFonts w:cs="Georgia"/>
          <w:bCs/>
          <w:color w:val="000000"/>
          <w:szCs w:val="20"/>
          <w:lang w:eastAsia="en-GB"/>
        </w:rPr>
        <w:t>growth attractiveness.</w:t>
      </w:r>
    </w:p>
    <w:p w:rsidR="00444E83" w:rsidRDefault="00444E83" w:rsidP="00644CE5">
      <w:pPr>
        <w:autoSpaceDE w:val="0"/>
        <w:autoSpaceDN w:val="0"/>
        <w:adjustRightInd w:val="0"/>
        <w:spacing w:line="276" w:lineRule="auto"/>
        <w:rPr>
          <w:rFonts w:cs="Georgia"/>
          <w:b/>
          <w:bCs/>
          <w:color w:val="000000"/>
          <w:szCs w:val="20"/>
          <w:lang w:eastAsia="en-GB"/>
        </w:rPr>
      </w:pPr>
    </w:p>
    <w:p w:rsidR="00444E83" w:rsidRDefault="00444E83" w:rsidP="007954C7">
      <w:pPr>
        <w:autoSpaceDE w:val="0"/>
        <w:autoSpaceDN w:val="0"/>
        <w:adjustRightInd w:val="0"/>
        <w:spacing w:line="276" w:lineRule="auto"/>
        <w:rPr>
          <w:rFonts w:cs="Georgia"/>
          <w:color w:val="000000"/>
          <w:szCs w:val="20"/>
          <w:lang w:eastAsia="en-GB"/>
        </w:rPr>
      </w:pPr>
      <w:r w:rsidRPr="007954C7">
        <w:rPr>
          <w:rFonts w:cs="Georgia"/>
          <w:b/>
          <w:bCs/>
          <w:color w:val="000000"/>
          <w:szCs w:val="20"/>
          <w:lang w:eastAsia="en-GB"/>
        </w:rPr>
        <w:t>Significant renewables deal flow</w:t>
      </w:r>
      <w:r>
        <w:rPr>
          <w:rFonts w:cs="Georgia"/>
          <w:b/>
          <w:bCs/>
          <w:color w:val="000000"/>
          <w:szCs w:val="20"/>
          <w:lang w:eastAsia="en-GB"/>
        </w:rPr>
        <w:t xml:space="preserve"> </w:t>
      </w:r>
      <w:r>
        <w:rPr>
          <w:rFonts w:cs="Georgia"/>
          <w:bCs/>
          <w:color w:val="000000"/>
          <w:szCs w:val="20"/>
          <w:lang w:eastAsia="en-GB"/>
        </w:rPr>
        <w:t xml:space="preserve">– </w:t>
      </w:r>
      <w:r w:rsidRPr="007954C7">
        <w:rPr>
          <w:rFonts w:cs="Georgia"/>
          <w:color w:val="000000"/>
          <w:szCs w:val="20"/>
          <w:lang w:eastAsia="en-GB"/>
        </w:rPr>
        <w:t>the</w:t>
      </w:r>
      <w:r>
        <w:rPr>
          <w:rFonts w:cs="Georgia"/>
          <w:color w:val="000000"/>
          <w:szCs w:val="20"/>
          <w:lang w:eastAsia="en-GB"/>
        </w:rPr>
        <w:t xml:space="preserve">re is </w:t>
      </w:r>
      <w:r w:rsidRPr="007954C7">
        <w:rPr>
          <w:rFonts w:cs="Georgia"/>
          <w:color w:val="000000"/>
          <w:szCs w:val="20"/>
          <w:lang w:eastAsia="en-GB"/>
        </w:rPr>
        <w:t>potential for an</w:t>
      </w:r>
      <w:r>
        <w:rPr>
          <w:rFonts w:cs="Georgia"/>
          <w:color w:val="000000"/>
          <w:szCs w:val="20"/>
          <w:lang w:eastAsia="en-GB"/>
        </w:rPr>
        <w:t xml:space="preserve"> </w:t>
      </w:r>
      <w:r w:rsidRPr="007954C7">
        <w:rPr>
          <w:rFonts w:cs="Georgia"/>
          <w:color w:val="000000"/>
          <w:szCs w:val="20"/>
          <w:lang w:eastAsia="en-GB"/>
        </w:rPr>
        <w:t>unprecedented flow of deals for onshore</w:t>
      </w:r>
      <w:r>
        <w:rPr>
          <w:rFonts w:cs="Georgia"/>
          <w:color w:val="000000"/>
          <w:szCs w:val="20"/>
          <w:lang w:eastAsia="en-GB"/>
        </w:rPr>
        <w:t xml:space="preserve"> </w:t>
      </w:r>
      <w:r w:rsidRPr="007954C7">
        <w:rPr>
          <w:rFonts w:cs="Georgia"/>
          <w:color w:val="000000"/>
          <w:szCs w:val="20"/>
          <w:lang w:eastAsia="en-GB"/>
        </w:rPr>
        <w:t>wind generation assets</w:t>
      </w:r>
      <w:r>
        <w:rPr>
          <w:rFonts w:cs="Georgia"/>
          <w:color w:val="000000"/>
          <w:szCs w:val="20"/>
          <w:lang w:eastAsia="en-GB"/>
        </w:rPr>
        <w:t xml:space="preserve"> in Europe with an estimated</w:t>
      </w:r>
      <w:r w:rsidRPr="007954C7">
        <w:rPr>
          <w:rFonts w:cs="Georgia"/>
          <w:color w:val="000000"/>
          <w:szCs w:val="20"/>
          <w:lang w:eastAsia="en-GB"/>
        </w:rPr>
        <w:t xml:space="preserve"> potential total</w:t>
      </w:r>
      <w:r>
        <w:rPr>
          <w:rFonts w:cs="Georgia"/>
          <w:color w:val="000000"/>
          <w:szCs w:val="20"/>
          <w:lang w:eastAsia="en-GB"/>
        </w:rPr>
        <w:t xml:space="preserve"> </w:t>
      </w:r>
      <w:r w:rsidRPr="007954C7">
        <w:rPr>
          <w:rFonts w:cs="Georgia"/>
          <w:color w:val="000000"/>
          <w:szCs w:val="20"/>
          <w:lang w:eastAsia="en-GB"/>
        </w:rPr>
        <w:t>sales value of US$4–5bn</w:t>
      </w:r>
      <w:r>
        <w:rPr>
          <w:rFonts w:cs="Georgia"/>
          <w:color w:val="000000"/>
          <w:szCs w:val="20"/>
          <w:lang w:eastAsia="en-GB"/>
        </w:rPr>
        <w:t xml:space="preserve"> coming </w:t>
      </w:r>
      <w:r w:rsidRPr="007954C7">
        <w:rPr>
          <w:rFonts w:cs="Georgia"/>
          <w:color w:val="000000"/>
          <w:szCs w:val="20"/>
          <w:lang w:eastAsia="en-GB"/>
        </w:rPr>
        <w:t>onto the deal table</w:t>
      </w:r>
      <w:r>
        <w:rPr>
          <w:rFonts w:cs="Georgia"/>
          <w:color w:val="000000"/>
          <w:szCs w:val="20"/>
          <w:lang w:eastAsia="en-GB"/>
        </w:rPr>
        <w:t xml:space="preserve"> in the last few months</w:t>
      </w:r>
      <w:r w:rsidRPr="007954C7">
        <w:rPr>
          <w:rFonts w:cs="Georgia"/>
          <w:color w:val="000000"/>
          <w:szCs w:val="20"/>
          <w:lang w:eastAsia="en-GB"/>
        </w:rPr>
        <w:t>. In the Asia Pacific</w:t>
      </w:r>
      <w:r>
        <w:rPr>
          <w:rFonts w:cs="Georgia"/>
          <w:color w:val="000000"/>
          <w:szCs w:val="20"/>
          <w:lang w:eastAsia="en-GB"/>
        </w:rPr>
        <w:t xml:space="preserve"> </w:t>
      </w:r>
      <w:r w:rsidRPr="007954C7">
        <w:rPr>
          <w:rFonts w:cs="Georgia"/>
          <w:color w:val="000000"/>
          <w:szCs w:val="20"/>
          <w:lang w:eastAsia="en-GB"/>
        </w:rPr>
        <w:t xml:space="preserve">region, </w:t>
      </w:r>
      <w:r>
        <w:rPr>
          <w:rFonts w:cs="Georgia"/>
          <w:color w:val="000000"/>
          <w:szCs w:val="20"/>
          <w:lang w:eastAsia="en-GB"/>
        </w:rPr>
        <w:t xml:space="preserve">the report highlights strong wind project deal flow in </w:t>
      </w:r>
      <w:r w:rsidRPr="007954C7">
        <w:rPr>
          <w:rFonts w:cs="Georgia"/>
          <w:color w:val="000000"/>
          <w:szCs w:val="20"/>
          <w:lang w:eastAsia="en-GB"/>
        </w:rPr>
        <w:t xml:space="preserve">Australia in 2013, </w:t>
      </w:r>
      <w:r>
        <w:rPr>
          <w:rFonts w:cs="Georgia"/>
          <w:color w:val="000000"/>
          <w:szCs w:val="20"/>
          <w:lang w:eastAsia="en-GB"/>
        </w:rPr>
        <w:t>with interest hi</w:t>
      </w:r>
      <w:r w:rsidRPr="007954C7">
        <w:rPr>
          <w:rFonts w:cs="Georgia"/>
          <w:color w:val="000000"/>
          <w:szCs w:val="20"/>
          <w:lang w:eastAsia="en-GB"/>
        </w:rPr>
        <w:t>gh from Chinese and Japanese investors</w:t>
      </w:r>
      <w:r>
        <w:rPr>
          <w:rFonts w:cs="Georgia"/>
          <w:color w:val="000000"/>
          <w:szCs w:val="20"/>
          <w:lang w:eastAsia="en-GB"/>
        </w:rPr>
        <w:t xml:space="preserve"> </w:t>
      </w:r>
      <w:r w:rsidRPr="007954C7">
        <w:rPr>
          <w:rFonts w:cs="Georgia"/>
          <w:color w:val="000000"/>
          <w:szCs w:val="20"/>
          <w:lang w:eastAsia="en-GB"/>
        </w:rPr>
        <w:t>as well as Australian pension funds.</w:t>
      </w:r>
    </w:p>
    <w:p w:rsidR="00444E83" w:rsidRDefault="00444E83" w:rsidP="00644CE5">
      <w:pPr>
        <w:autoSpaceDE w:val="0"/>
        <w:autoSpaceDN w:val="0"/>
        <w:adjustRightInd w:val="0"/>
        <w:spacing w:line="276" w:lineRule="auto"/>
        <w:rPr>
          <w:rFonts w:cs="Georgia"/>
          <w:color w:val="000000"/>
          <w:szCs w:val="20"/>
          <w:lang w:eastAsia="en-GB"/>
        </w:rPr>
      </w:pPr>
    </w:p>
    <w:p w:rsidR="00444E83" w:rsidRDefault="00444E83" w:rsidP="00FA7C41">
      <w:pPr>
        <w:autoSpaceDE w:val="0"/>
        <w:autoSpaceDN w:val="0"/>
        <w:adjustRightInd w:val="0"/>
        <w:spacing w:line="276" w:lineRule="auto"/>
        <w:rPr>
          <w:rFonts w:cs="Georgia"/>
          <w:color w:val="000000"/>
          <w:szCs w:val="20"/>
          <w:lang w:eastAsia="en-GB"/>
        </w:rPr>
      </w:pPr>
      <w:r>
        <w:rPr>
          <w:rFonts w:cs="Georgia"/>
          <w:b/>
          <w:color w:val="000000"/>
          <w:szCs w:val="20"/>
          <w:lang w:eastAsia="en-GB"/>
        </w:rPr>
        <w:t xml:space="preserve">Major realignment among power equipment companies </w:t>
      </w:r>
      <w:r>
        <w:rPr>
          <w:rFonts w:cs="Georgia"/>
          <w:color w:val="000000"/>
          <w:szCs w:val="20"/>
          <w:lang w:eastAsia="en-GB"/>
        </w:rPr>
        <w:t>- t</w:t>
      </w:r>
      <w:r w:rsidRPr="00E02398">
        <w:rPr>
          <w:rFonts w:cs="Georgia"/>
          <w:color w:val="000000"/>
          <w:szCs w:val="20"/>
          <w:lang w:eastAsia="en-GB"/>
        </w:rPr>
        <w:t>he changing landscape in both fossil fuel</w:t>
      </w:r>
      <w:r>
        <w:rPr>
          <w:rFonts w:cs="Georgia"/>
          <w:color w:val="000000"/>
          <w:szCs w:val="20"/>
          <w:lang w:eastAsia="en-GB"/>
        </w:rPr>
        <w:t xml:space="preserve"> </w:t>
      </w:r>
      <w:r w:rsidRPr="00E02398">
        <w:rPr>
          <w:rFonts w:cs="Georgia"/>
          <w:color w:val="000000"/>
          <w:szCs w:val="20"/>
          <w:lang w:eastAsia="en-GB"/>
        </w:rPr>
        <w:t>generation and nuclear power is leading</w:t>
      </w:r>
      <w:r>
        <w:rPr>
          <w:rFonts w:cs="Georgia"/>
          <w:color w:val="000000"/>
          <w:szCs w:val="20"/>
          <w:lang w:eastAsia="en-GB"/>
        </w:rPr>
        <w:t xml:space="preserve"> </w:t>
      </w:r>
      <w:r w:rsidRPr="00E02398">
        <w:rPr>
          <w:rFonts w:cs="Georgia"/>
          <w:color w:val="000000"/>
          <w:szCs w:val="20"/>
          <w:lang w:eastAsia="en-GB"/>
        </w:rPr>
        <w:t>to major realignments among power</w:t>
      </w:r>
      <w:r>
        <w:rPr>
          <w:rFonts w:cs="Georgia"/>
          <w:color w:val="000000"/>
          <w:szCs w:val="20"/>
          <w:lang w:eastAsia="en-GB"/>
        </w:rPr>
        <w:t xml:space="preserve"> </w:t>
      </w:r>
      <w:r w:rsidRPr="00E02398">
        <w:rPr>
          <w:rFonts w:cs="Georgia"/>
          <w:color w:val="000000"/>
          <w:szCs w:val="20"/>
          <w:lang w:eastAsia="en-GB"/>
        </w:rPr>
        <w:t>equipment companies.</w:t>
      </w:r>
      <w:r>
        <w:rPr>
          <w:rFonts w:cs="Georgia"/>
          <w:color w:val="000000"/>
          <w:szCs w:val="20"/>
          <w:lang w:eastAsia="en-GB"/>
        </w:rPr>
        <w:t xml:space="preserve"> </w:t>
      </w:r>
      <w:r w:rsidRPr="00E02398">
        <w:rPr>
          <w:rFonts w:cs="Georgia"/>
          <w:color w:val="000000"/>
          <w:szCs w:val="20"/>
          <w:lang w:eastAsia="en-GB"/>
        </w:rPr>
        <w:t>Already, Hitachi</w:t>
      </w:r>
      <w:r>
        <w:rPr>
          <w:rFonts w:cs="Georgia"/>
          <w:color w:val="000000"/>
          <w:szCs w:val="20"/>
          <w:lang w:eastAsia="en-GB"/>
        </w:rPr>
        <w:t xml:space="preserve"> </w:t>
      </w:r>
      <w:r w:rsidRPr="00E02398">
        <w:rPr>
          <w:rFonts w:cs="Georgia"/>
          <w:color w:val="000000"/>
          <w:szCs w:val="20"/>
          <w:lang w:eastAsia="en-GB"/>
        </w:rPr>
        <w:t>and Mitsubishi Heavy Industries have</w:t>
      </w:r>
      <w:r>
        <w:rPr>
          <w:rFonts w:cs="Georgia"/>
          <w:color w:val="000000"/>
          <w:szCs w:val="20"/>
          <w:lang w:eastAsia="en-GB"/>
        </w:rPr>
        <w:t xml:space="preserve"> </w:t>
      </w:r>
      <w:r w:rsidRPr="00E02398">
        <w:rPr>
          <w:rFonts w:cs="Georgia"/>
          <w:color w:val="000000"/>
          <w:szCs w:val="20"/>
          <w:lang w:eastAsia="en-GB"/>
        </w:rPr>
        <w:t>announced the combination of their</w:t>
      </w:r>
      <w:r>
        <w:rPr>
          <w:rFonts w:cs="Georgia"/>
          <w:color w:val="000000"/>
          <w:szCs w:val="20"/>
          <w:lang w:eastAsia="en-GB"/>
        </w:rPr>
        <w:t xml:space="preserve"> </w:t>
      </w:r>
      <w:r w:rsidRPr="00E02398">
        <w:rPr>
          <w:rFonts w:cs="Georgia"/>
          <w:color w:val="000000"/>
          <w:szCs w:val="20"/>
          <w:lang w:eastAsia="en-GB"/>
        </w:rPr>
        <w:t>thermal businesses</w:t>
      </w:r>
      <w:r>
        <w:rPr>
          <w:rFonts w:cs="Georgia"/>
          <w:color w:val="000000"/>
          <w:szCs w:val="20"/>
          <w:lang w:eastAsia="en-GB"/>
        </w:rPr>
        <w:t xml:space="preserve">. </w:t>
      </w:r>
      <w:r w:rsidRPr="00E02398">
        <w:rPr>
          <w:rFonts w:cs="Georgia"/>
          <w:color w:val="000000"/>
          <w:szCs w:val="20"/>
          <w:lang w:eastAsia="en-GB"/>
        </w:rPr>
        <w:t>Toshiba has announced</w:t>
      </w:r>
      <w:r>
        <w:rPr>
          <w:rFonts w:cs="Georgia"/>
          <w:color w:val="000000"/>
          <w:szCs w:val="20"/>
          <w:lang w:eastAsia="en-GB"/>
        </w:rPr>
        <w:t xml:space="preserve"> </w:t>
      </w:r>
      <w:r w:rsidRPr="00E02398">
        <w:rPr>
          <w:rFonts w:cs="Georgia"/>
          <w:color w:val="000000"/>
          <w:szCs w:val="20"/>
          <w:lang w:eastAsia="en-GB"/>
        </w:rPr>
        <w:t>its intention to sell part of its</w:t>
      </w:r>
      <w:r>
        <w:rPr>
          <w:rFonts w:cs="Georgia"/>
          <w:color w:val="000000"/>
          <w:szCs w:val="20"/>
          <w:lang w:eastAsia="en-GB"/>
        </w:rPr>
        <w:t xml:space="preserve"> </w:t>
      </w:r>
      <w:r w:rsidRPr="00E02398">
        <w:rPr>
          <w:rFonts w:cs="Georgia"/>
          <w:color w:val="000000"/>
          <w:szCs w:val="20"/>
          <w:lang w:eastAsia="en-GB"/>
        </w:rPr>
        <w:t>Westinghouse nuclear business.</w:t>
      </w:r>
    </w:p>
    <w:p w:rsidR="00444E83" w:rsidRPr="00644CE5" w:rsidRDefault="00444E83" w:rsidP="00FA7C41">
      <w:pPr>
        <w:autoSpaceDE w:val="0"/>
        <w:autoSpaceDN w:val="0"/>
        <w:adjustRightInd w:val="0"/>
        <w:spacing w:line="276" w:lineRule="auto"/>
        <w:rPr>
          <w:rFonts w:cs="Georgia"/>
          <w:color w:val="000000"/>
          <w:szCs w:val="20"/>
          <w:lang w:eastAsia="en-GB"/>
        </w:rPr>
      </w:pPr>
    </w:p>
    <w:p w:rsidR="00444E83" w:rsidRDefault="00444E83" w:rsidP="00AA495C">
      <w:pPr>
        <w:autoSpaceDE w:val="0"/>
        <w:autoSpaceDN w:val="0"/>
        <w:adjustRightInd w:val="0"/>
        <w:spacing w:line="276" w:lineRule="auto"/>
        <w:rPr>
          <w:rFonts w:cs="Georgia"/>
          <w:color w:val="000000"/>
          <w:szCs w:val="20"/>
          <w:lang w:eastAsia="en-GB"/>
        </w:rPr>
      </w:pPr>
      <w:r>
        <w:rPr>
          <w:rFonts w:cs="Georgia"/>
          <w:b/>
          <w:bCs/>
          <w:color w:val="000000"/>
          <w:szCs w:val="20"/>
          <w:lang w:eastAsia="en-GB"/>
        </w:rPr>
        <w:t>A coming p</w:t>
      </w:r>
      <w:r w:rsidRPr="007954C7">
        <w:rPr>
          <w:rFonts w:cs="Georgia"/>
          <w:b/>
          <w:bCs/>
          <w:color w:val="000000"/>
          <w:szCs w:val="20"/>
          <w:lang w:eastAsia="en-GB"/>
        </w:rPr>
        <w:t xml:space="preserve">rivatisation wave </w:t>
      </w:r>
      <w:r>
        <w:rPr>
          <w:rFonts w:cs="Georgia"/>
          <w:bCs/>
          <w:color w:val="000000"/>
          <w:szCs w:val="20"/>
          <w:lang w:eastAsia="en-GB"/>
        </w:rPr>
        <w:t xml:space="preserve">– </w:t>
      </w:r>
      <w:r w:rsidRPr="00644CE5">
        <w:rPr>
          <w:rFonts w:cs="Georgia"/>
          <w:color w:val="000000"/>
          <w:szCs w:val="20"/>
          <w:lang w:eastAsia="en-GB"/>
        </w:rPr>
        <w:t>p</w:t>
      </w:r>
      <w:r>
        <w:rPr>
          <w:rFonts w:cs="Georgia"/>
          <w:color w:val="000000"/>
          <w:szCs w:val="20"/>
          <w:lang w:eastAsia="en-GB"/>
        </w:rPr>
        <w:t>ower sector privatisations are scheduled in A</w:t>
      </w:r>
      <w:r w:rsidRPr="00644CE5">
        <w:rPr>
          <w:rFonts w:cs="Georgia"/>
          <w:color w:val="000000"/>
          <w:szCs w:val="20"/>
          <w:lang w:eastAsia="en-GB"/>
        </w:rPr>
        <w:t>ustralia</w:t>
      </w:r>
      <w:r>
        <w:rPr>
          <w:rFonts w:cs="Georgia"/>
          <w:color w:val="000000"/>
          <w:szCs w:val="20"/>
          <w:lang w:eastAsia="en-GB"/>
        </w:rPr>
        <w:t xml:space="preserve">, </w:t>
      </w:r>
      <w:r w:rsidRPr="00644CE5">
        <w:rPr>
          <w:rFonts w:cs="Georgia"/>
          <w:color w:val="000000"/>
          <w:szCs w:val="20"/>
          <w:lang w:eastAsia="en-GB"/>
        </w:rPr>
        <w:t>New Zealand, Mexico, Nigeria</w:t>
      </w:r>
      <w:r w:rsidR="00532F63">
        <w:rPr>
          <w:rFonts w:cs="Georgia"/>
          <w:color w:val="000000"/>
          <w:szCs w:val="20"/>
          <w:lang w:eastAsia="en-GB"/>
        </w:rPr>
        <w:t xml:space="preserve">, </w:t>
      </w:r>
      <w:r w:rsidRPr="00644CE5">
        <w:rPr>
          <w:rFonts w:cs="Georgia"/>
          <w:color w:val="000000"/>
          <w:szCs w:val="20"/>
          <w:lang w:eastAsia="en-GB"/>
        </w:rPr>
        <w:t>Turkey</w:t>
      </w:r>
      <w:r w:rsidR="00532F63">
        <w:rPr>
          <w:rFonts w:cs="Georgia"/>
          <w:color w:val="000000"/>
          <w:szCs w:val="20"/>
          <w:lang w:eastAsia="en-GB"/>
        </w:rPr>
        <w:t xml:space="preserve"> and across parts of</w:t>
      </w:r>
      <w:r w:rsidR="00532F63" w:rsidRPr="00532F63">
        <w:rPr>
          <w:rFonts w:cs="Georgia"/>
          <w:color w:val="000000"/>
          <w:szCs w:val="20"/>
          <w:lang w:eastAsia="en-GB"/>
        </w:rPr>
        <w:t xml:space="preserve"> </w:t>
      </w:r>
      <w:r w:rsidR="00532F63">
        <w:rPr>
          <w:rFonts w:cs="Georgia"/>
          <w:color w:val="000000"/>
          <w:szCs w:val="20"/>
          <w:lang w:eastAsia="en-GB"/>
        </w:rPr>
        <w:t>Central and Eastern Europe</w:t>
      </w:r>
      <w:r>
        <w:rPr>
          <w:rFonts w:cs="Georgia"/>
          <w:color w:val="000000"/>
          <w:szCs w:val="20"/>
          <w:lang w:eastAsia="en-GB"/>
        </w:rPr>
        <w:t xml:space="preserve">. While there is political uncertainty surrounding some of these, privatisations are set to contribute significantly to deal value in 2013. </w:t>
      </w:r>
    </w:p>
    <w:p w:rsidR="00444E83" w:rsidRPr="00C70B1D" w:rsidRDefault="00444E83" w:rsidP="00AA495C">
      <w:pPr>
        <w:autoSpaceDE w:val="0"/>
        <w:autoSpaceDN w:val="0"/>
        <w:adjustRightInd w:val="0"/>
        <w:spacing w:line="276" w:lineRule="auto"/>
        <w:rPr>
          <w:color w:val="000000"/>
          <w:szCs w:val="20"/>
          <w:lang w:eastAsia="en-GB"/>
        </w:rPr>
      </w:pPr>
    </w:p>
    <w:p w:rsidR="00444E83" w:rsidRDefault="00444E8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r w:rsidRPr="005C5EC5">
        <w:rPr>
          <w:b/>
          <w:szCs w:val="20"/>
          <w:lang w:eastAsia="en-GB"/>
        </w:rPr>
        <w:t>Note to Editors</w:t>
      </w:r>
    </w:p>
    <w:p w:rsidR="00E46C7E" w:rsidRPr="005C5EC5" w:rsidRDefault="00E46C7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b/>
          <w:szCs w:val="20"/>
          <w:lang w:eastAsia="en-GB"/>
        </w:rPr>
      </w:pPr>
    </w:p>
    <w:p w:rsidR="00444E83" w:rsidRPr="005C5EC5" w:rsidRDefault="00444E83">
      <w:pPr>
        <w:rPr>
          <w:rFonts w:cs="Arial"/>
          <w:b/>
          <w:i/>
          <w:szCs w:val="20"/>
        </w:rPr>
      </w:pPr>
      <w:r w:rsidRPr="005C5EC5">
        <w:rPr>
          <w:rFonts w:cs="Arial"/>
          <w:b/>
          <w:i/>
          <w:szCs w:val="20"/>
        </w:rPr>
        <w:t>Methodology</w:t>
      </w:r>
    </w:p>
    <w:p w:rsidR="00444E83" w:rsidRDefault="00444E83" w:rsidP="005C5EC5">
      <w:pPr>
        <w:rPr>
          <w:rFonts w:cs="Arial"/>
          <w:sz w:val="18"/>
          <w:szCs w:val="18"/>
        </w:rPr>
      </w:pPr>
      <w:r w:rsidRPr="005C5EC5">
        <w:rPr>
          <w:rFonts w:cs="Arial"/>
          <w:sz w:val="18"/>
          <w:szCs w:val="18"/>
        </w:rPr>
        <w:t>Global Power &amp; Renewables Deals includes analysis of all global power utilities, renewable energy</w:t>
      </w:r>
      <w:r>
        <w:rPr>
          <w:rFonts w:cs="Arial"/>
          <w:sz w:val="18"/>
          <w:szCs w:val="18"/>
        </w:rPr>
        <w:t xml:space="preserve"> </w:t>
      </w:r>
      <w:r w:rsidRPr="005C5EC5">
        <w:rPr>
          <w:rFonts w:cs="Arial"/>
          <w:sz w:val="18"/>
          <w:szCs w:val="18"/>
        </w:rPr>
        <w:t>and clean technology deal activity. We include deals involving power generation, transmission</w:t>
      </w:r>
      <w:r>
        <w:rPr>
          <w:rFonts w:cs="Arial"/>
          <w:sz w:val="18"/>
          <w:szCs w:val="18"/>
        </w:rPr>
        <w:t xml:space="preserve"> </w:t>
      </w:r>
      <w:r w:rsidRPr="005C5EC5">
        <w:rPr>
          <w:rFonts w:cs="Arial"/>
          <w:sz w:val="18"/>
          <w:szCs w:val="18"/>
        </w:rPr>
        <w:t>and distribution; natural gas transmission, distribution, storage and pipelines; energy retail; and</w:t>
      </w:r>
      <w:r>
        <w:rPr>
          <w:rFonts w:cs="Arial"/>
          <w:sz w:val="18"/>
          <w:szCs w:val="18"/>
        </w:rPr>
        <w:t xml:space="preserve"> </w:t>
      </w:r>
      <w:r w:rsidRPr="005C5EC5">
        <w:rPr>
          <w:rFonts w:cs="Arial"/>
          <w:sz w:val="18"/>
          <w:szCs w:val="18"/>
        </w:rPr>
        <w:t>nuclear power assets. Deals involving operations upstream of these activities, including upstream</w:t>
      </w:r>
      <w:r>
        <w:rPr>
          <w:rFonts w:cs="Arial"/>
          <w:sz w:val="18"/>
          <w:szCs w:val="18"/>
        </w:rPr>
        <w:t xml:space="preserve"> </w:t>
      </w:r>
      <w:r w:rsidRPr="005C5EC5">
        <w:rPr>
          <w:rFonts w:cs="Arial"/>
          <w:sz w:val="18"/>
          <w:szCs w:val="18"/>
        </w:rPr>
        <w:t xml:space="preserve">gas exploration and production, are also excluded. </w:t>
      </w:r>
      <w:r w:rsidRPr="005C5EC5">
        <w:rPr>
          <w:rFonts w:cs="Arial"/>
          <w:sz w:val="18"/>
          <w:szCs w:val="18"/>
        </w:rPr>
        <w:lastRenderedPageBreak/>
        <w:t>Renewable energy deals are defined as those</w:t>
      </w:r>
      <w:r>
        <w:rPr>
          <w:rFonts w:cs="Arial"/>
          <w:sz w:val="18"/>
          <w:szCs w:val="18"/>
        </w:rPr>
        <w:t xml:space="preserve"> </w:t>
      </w:r>
      <w:r w:rsidRPr="005C5EC5">
        <w:rPr>
          <w:rFonts w:cs="Arial"/>
          <w:sz w:val="18"/>
          <w:szCs w:val="18"/>
        </w:rPr>
        <w:t>relating to the following sectors: biofuels, biomass, geothermal, hydro, marine, solar and wind.</w:t>
      </w:r>
      <w:r>
        <w:rPr>
          <w:rFonts w:cs="Arial"/>
          <w:sz w:val="18"/>
          <w:szCs w:val="18"/>
        </w:rPr>
        <w:t xml:space="preserve"> </w:t>
      </w:r>
      <w:r w:rsidRPr="005C5EC5">
        <w:rPr>
          <w:rFonts w:cs="Arial"/>
          <w:sz w:val="18"/>
          <w:szCs w:val="18"/>
        </w:rPr>
        <w:t>Renewable energy deals relate to the acquisition of (i) operating and construction stage projects</w:t>
      </w:r>
      <w:r>
        <w:rPr>
          <w:rFonts w:cs="Arial"/>
          <w:sz w:val="18"/>
          <w:szCs w:val="18"/>
        </w:rPr>
        <w:t xml:space="preserve"> </w:t>
      </w:r>
      <w:r w:rsidRPr="005C5EC5">
        <w:rPr>
          <w:rFonts w:cs="Arial"/>
          <w:sz w:val="18"/>
          <w:szCs w:val="18"/>
        </w:rPr>
        <w:t>involved in the production of renewable energy and (ii) companies manufacturing equipment for</w:t>
      </w:r>
      <w:r>
        <w:rPr>
          <w:rFonts w:cs="Arial"/>
          <w:sz w:val="18"/>
          <w:szCs w:val="18"/>
        </w:rPr>
        <w:t xml:space="preserve"> </w:t>
      </w:r>
      <w:r w:rsidRPr="005C5EC5">
        <w:rPr>
          <w:rFonts w:cs="Arial"/>
          <w:sz w:val="18"/>
          <w:szCs w:val="18"/>
        </w:rPr>
        <w:t>the renewables sector. We define clean technology deals as those relating to the acquisition of</w:t>
      </w:r>
      <w:r>
        <w:rPr>
          <w:rFonts w:cs="Arial"/>
          <w:sz w:val="18"/>
          <w:szCs w:val="18"/>
        </w:rPr>
        <w:t xml:space="preserve"> </w:t>
      </w:r>
      <w:r w:rsidRPr="005C5EC5">
        <w:rPr>
          <w:rFonts w:cs="Arial"/>
          <w:sz w:val="18"/>
          <w:szCs w:val="18"/>
        </w:rPr>
        <w:t>companies developing energy efficient products for renewable energy infrastructure.</w:t>
      </w:r>
    </w:p>
    <w:p w:rsidR="00E46C7E" w:rsidRPr="005C5EC5" w:rsidRDefault="00E46C7E" w:rsidP="005C5EC5">
      <w:pPr>
        <w:rPr>
          <w:rFonts w:cs="Arial"/>
          <w:sz w:val="18"/>
          <w:szCs w:val="18"/>
        </w:rPr>
      </w:pPr>
    </w:p>
    <w:p w:rsidR="00444E83" w:rsidRPr="005C5EC5" w:rsidRDefault="00444E83" w:rsidP="005C5EC5">
      <w:pPr>
        <w:rPr>
          <w:rFonts w:cs="Arial"/>
          <w:color w:val="000000"/>
          <w:szCs w:val="20"/>
          <w:lang w:val="en-US"/>
        </w:rPr>
      </w:pPr>
      <w:r w:rsidRPr="005C5EC5">
        <w:rPr>
          <w:rFonts w:cs="Arial"/>
          <w:sz w:val="18"/>
          <w:szCs w:val="18"/>
        </w:rPr>
        <w:t>The analysis is based on published transactions from the Dealogic ‘M&amp;A Global database’ for all</w:t>
      </w:r>
      <w:r>
        <w:rPr>
          <w:rFonts w:cs="Arial"/>
          <w:sz w:val="18"/>
          <w:szCs w:val="18"/>
        </w:rPr>
        <w:t xml:space="preserve"> </w:t>
      </w:r>
      <w:r w:rsidRPr="005C5EC5">
        <w:rPr>
          <w:rFonts w:cs="Arial"/>
          <w:sz w:val="18"/>
          <w:szCs w:val="18"/>
        </w:rPr>
        <w:t>electricity, gas utility and renewables deals. Deals are included at their announcement date when</w:t>
      </w:r>
      <w:r>
        <w:rPr>
          <w:rFonts w:cs="Arial"/>
          <w:sz w:val="18"/>
          <w:szCs w:val="18"/>
        </w:rPr>
        <w:t xml:space="preserve"> </w:t>
      </w:r>
      <w:r w:rsidRPr="005C5EC5">
        <w:rPr>
          <w:rFonts w:cs="Arial"/>
          <w:sz w:val="18"/>
          <w:szCs w:val="18"/>
        </w:rPr>
        <w:t>they are partially completed (pending financial and legal closure) or completed. Deal values are</w:t>
      </w:r>
      <w:r>
        <w:rPr>
          <w:rFonts w:cs="Arial"/>
          <w:sz w:val="18"/>
          <w:szCs w:val="18"/>
        </w:rPr>
        <w:t xml:space="preserve"> </w:t>
      </w:r>
      <w:r w:rsidRPr="005C5EC5">
        <w:rPr>
          <w:rFonts w:cs="Arial"/>
          <w:sz w:val="18"/>
          <w:szCs w:val="18"/>
        </w:rPr>
        <w:t>the consideration value announced or reported including any assumption of debt and liabilities.</w:t>
      </w:r>
      <w:r>
        <w:rPr>
          <w:rFonts w:cs="Arial"/>
          <w:sz w:val="18"/>
          <w:szCs w:val="18"/>
        </w:rPr>
        <w:t xml:space="preserve"> </w:t>
      </w:r>
      <w:r w:rsidRPr="005C5EC5">
        <w:rPr>
          <w:rFonts w:cs="Arial"/>
          <w:sz w:val="18"/>
          <w:szCs w:val="18"/>
        </w:rPr>
        <w:t>Comparative data for prior years and quarters differ to that appearing in previous editions of</w:t>
      </w:r>
      <w:r>
        <w:rPr>
          <w:rFonts w:cs="Arial"/>
          <w:sz w:val="18"/>
          <w:szCs w:val="18"/>
        </w:rPr>
        <w:t xml:space="preserve"> </w:t>
      </w:r>
      <w:r w:rsidRPr="005C5EC5">
        <w:rPr>
          <w:rFonts w:cs="Arial"/>
          <w:sz w:val="18"/>
          <w:szCs w:val="18"/>
        </w:rPr>
        <w:t>our analysis or other current year deals publications. This can arise in the case of updated</w:t>
      </w:r>
      <w:r>
        <w:rPr>
          <w:rFonts w:cs="Arial"/>
          <w:sz w:val="18"/>
          <w:szCs w:val="18"/>
        </w:rPr>
        <w:t xml:space="preserve"> </w:t>
      </w:r>
      <w:r w:rsidRPr="005C5EC5">
        <w:rPr>
          <w:rFonts w:cs="Arial"/>
          <w:sz w:val="18"/>
          <w:szCs w:val="18"/>
        </w:rPr>
        <w:t>information or methodological refinements and consequent restatement of the input database.</w:t>
      </w:r>
    </w:p>
    <w:p w:rsidR="00444E83" w:rsidRPr="005C5EC5" w:rsidRDefault="00444E83">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Cs/>
          <w:color w:val="000000"/>
          <w:szCs w:val="20"/>
          <w:lang w:eastAsia="en-GB"/>
        </w:rPr>
      </w:pPr>
    </w:p>
    <w:p w:rsidR="00444E83" w:rsidRPr="005C5EC5" w:rsidRDefault="00444E83">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Georgia"/>
          <w:b/>
          <w:iCs/>
          <w:color w:val="000000"/>
          <w:szCs w:val="20"/>
          <w:lang w:eastAsia="en-GB"/>
        </w:rPr>
      </w:pPr>
      <w:r w:rsidRPr="005C5EC5">
        <w:rPr>
          <w:rFonts w:cs="Georgia"/>
          <w:b/>
          <w:iCs/>
          <w:color w:val="000000"/>
          <w:szCs w:val="20"/>
          <w:lang w:eastAsia="en-GB"/>
        </w:rPr>
        <w:t>About PwC</w:t>
      </w:r>
    </w:p>
    <w:p w:rsidR="00444E83" w:rsidRPr="00DB0265" w:rsidRDefault="00444E83" w:rsidP="00DB0265">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sz w:val="18"/>
          <w:szCs w:val="18"/>
        </w:rPr>
      </w:pPr>
      <w:r w:rsidRPr="00DB0265">
        <w:rPr>
          <w:rFonts w:cs="Arial"/>
          <w:sz w:val="18"/>
          <w:szCs w:val="18"/>
        </w:rPr>
        <w:t>PwC firms provide industry-focused assurance, tax and advisory services to enhance value for their clients. More than 180,000 people in 158 countries in firms across the PwC network share their thinking, experience and solutions to develop fresh perspectives and practical advice.</w:t>
      </w:r>
    </w:p>
    <w:sectPr w:rsidR="00444E83" w:rsidRPr="00DB0265" w:rsidSect="00457454">
      <w:headerReference w:type="even" r:id="rId7"/>
      <w:headerReference w:type="default" r:id="rId8"/>
      <w:footerReference w:type="even" r:id="rId9"/>
      <w:footerReference w:type="default" r:id="rId10"/>
      <w:headerReference w:type="first" r:id="rId11"/>
      <w:footerReference w:type="first" r:id="rId12"/>
      <w:pgSz w:w="11907" w:h="16839"/>
      <w:pgMar w:top="3137" w:right="797" w:bottom="1417" w:left="1984"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9C" w:rsidRDefault="00E8389C">
      <w:pPr>
        <w:spacing w:line="240" w:lineRule="auto"/>
      </w:pPr>
      <w:r>
        <w:separator/>
      </w:r>
    </w:p>
  </w:endnote>
  <w:endnote w:type="continuationSeparator" w:id="0">
    <w:p w:rsidR="00E8389C" w:rsidRDefault="00E83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83" w:rsidRDefault="00CD34EA">
    <w:pPr>
      <w:pStyle w:val="Footer"/>
    </w:pPr>
    <w:r>
      <w:fldChar w:fldCharType="begin"/>
    </w:r>
    <w:r w:rsidR="007E1F76">
      <w:instrText xml:space="preserve"> PAGE  \* MERGEFORMAT </w:instrText>
    </w:r>
    <w:r>
      <w:fldChar w:fldCharType="separate"/>
    </w:r>
    <w:r w:rsidR="009C059E">
      <w:rPr>
        <w:noProof/>
      </w:rPr>
      <w:t>2</w:t>
    </w:r>
    <w:r>
      <w:rPr>
        <w:noProof/>
      </w:rPr>
      <w:fldChar w:fldCharType="end"/>
    </w:r>
    <w:r w:rsidR="00444E83">
      <w:t xml:space="preserve"> of </w:t>
    </w:r>
    <w:fldSimple w:instr=" NUMPAGES  \* MERGEFORMAT ">
      <w:r w:rsidR="009C059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83" w:rsidRDefault="00CD34EA">
    <w:pPr>
      <w:pStyle w:val="Footer"/>
    </w:pPr>
    <w:r>
      <w:fldChar w:fldCharType="begin"/>
    </w:r>
    <w:r w:rsidR="007E1F76">
      <w:instrText xml:space="preserve"> PAGE  \* MERGEFORMAT </w:instrText>
    </w:r>
    <w:r>
      <w:fldChar w:fldCharType="separate"/>
    </w:r>
    <w:r w:rsidR="009C059E">
      <w:rPr>
        <w:noProof/>
      </w:rPr>
      <w:t>3</w:t>
    </w:r>
    <w:r>
      <w:rPr>
        <w:noProof/>
      </w:rPr>
      <w:fldChar w:fldCharType="end"/>
    </w:r>
    <w:r w:rsidR="00444E83">
      <w:t xml:space="preserve"> of </w:t>
    </w:r>
    <w:fldSimple w:instr=" NUMPAGES  \* MERGEFORMAT ">
      <w:r w:rsidR="009C059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83" w:rsidRDefault="00444E83">
    <w:pPr>
      <w:pStyle w:val="Address"/>
    </w:pPr>
    <w:bookmarkStart w:id="1" w:name="FirstPageFooter"/>
    <w:bookmarkEnd w:id="1"/>
    <w:r>
      <w:t xml:space="preserve">PricewaterhouseCoopers LLP, </w:t>
    </w:r>
    <w:smartTag w:uri="urn:schemas-microsoft-com:office:smarttags" w:element="address">
      <w:smartTag w:uri="urn:schemas-microsoft-com:office:smarttags" w:element="Street">
        <w:r>
          <w:t>1 Embankment Place</w:t>
        </w:r>
      </w:smartTag>
    </w:smartTag>
    <w:r>
      <w:t xml:space="preserve">. </w:t>
    </w:r>
    <w:smartTag w:uri="urn:schemas-microsoft-com:office:smarttags" w:element="City">
      <w:smartTag w:uri="urn:schemas-microsoft-com:office:smarttags" w:element="place">
        <w:r>
          <w:t>London</w:t>
        </w:r>
      </w:smartTag>
      <w:r>
        <w:t xml:space="preserve">, </w:t>
      </w:r>
      <w:smartTag w:uri="urn:schemas-microsoft-com:office:smarttags" w:element="PostalCode">
        <w:r>
          <w:t>WC2N 6RH</w:t>
        </w:r>
      </w:smartTag>
    </w:smartTag>
  </w:p>
  <w:p w:rsidR="00444E83" w:rsidRDefault="00444E83">
    <w:pPr>
      <w:pStyle w:val="Address"/>
      <w:rPr>
        <w:lang w:val="de-DE"/>
      </w:rPr>
    </w:pPr>
    <w:r>
      <w:rPr>
        <w:lang w:val="de-DE"/>
      </w:rPr>
      <w:t>T: +44 (0)20 7 583 5000, F: +44 (0)20 7 822 4652, www.pwc.co.uk</w:t>
    </w:r>
  </w:p>
  <w:p w:rsidR="00444E83" w:rsidRDefault="00444E83">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9C" w:rsidRDefault="00E8389C">
      <w:pPr>
        <w:spacing w:line="240" w:lineRule="auto"/>
      </w:pPr>
      <w:r>
        <w:separator/>
      </w:r>
    </w:p>
  </w:footnote>
  <w:footnote w:type="continuationSeparator" w:id="0">
    <w:p w:rsidR="00E8389C" w:rsidRDefault="00E838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83" w:rsidRDefault="007735B1">
    <w:pPr>
      <w:pStyle w:val="Header"/>
    </w:pPr>
    <w:r>
      <w:rPr>
        <w:noProof/>
        <w:lang w:eastAsia="en-GB"/>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444E83" w:rsidRDefault="00444E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83" w:rsidRDefault="007735B1">
    <w:pPr>
      <w:pStyle w:val="Header"/>
    </w:pPr>
    <w:r>
      <w:rPr>
        <w:noProof/>
        <w:lang w:eastAsia="en-GB"/>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444E83" w:rsidRDefault="00444E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E83" w:rsidRDefault="007735B1">
    <w:pPr>
      <w:pStyle w:val="Header"/>
    </w:pPr>
    <w:r>
      <w:rPr>
        <w:noProof/>
        <w:lang w:eastAsia="en-GB"/>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37C78"/>
    <w:rsid w:val="00005BE3"/>
    <w:rsid w:val="00056288"/>
    <w:rsid w:val="00057CF7"/>
    <w:rsid w:val="000C680E"/>
    <w:rsid w:val="000D5F9D"/>
    <w:rsid w:val="000D7CD5"/>
    <w:rsid w:val="00127456"/>
    <w:rsid w:val="00127840"/>
    <w:rsid w:val="001C4EA5"/>
    <w:rsid w:val="002058A4"/>
    <w:rsid w:val="00242C50"/>
    <w:rsid w:val="00244C0C"/>
    <w:rsid w:val="00261D9B"/>
    <w:rsid w:val="00286614"/>
    <w:rsid w:val="002E4CF1"/>
    <w:rsid w:val="002E5153"/>
    <w:rsid w:val="002E6259"/>
    <w:rsid w:val="003144EF"/>
    <w:rsid w:val="003160AF"/>
    <w:rsid w:val="00346011"/>
    <w:rsid w:val="00364B71"/>
    <w:rsid w:val="003904A6"/>
    <w:rsid w:val="00444E83"/>
    <w:rsid w:val="00457454"/>
    <w:rsid w:val="00497896"/>
    <w:rsid w:val="004B06A7"/>
    <w:rsid w:val="00532F63"/>
    <w:rsid w:val="00580B70"/>
    <w:rsid w:val="005903E3"/>
    <w:rsid w:val="005C5EC5"/>
    <w:rsid w:val="00605176"/>
    <w:rsid w:val="00644CE5"/>
    <w:rsid w:val="006656A9"/>
    <w:rsid w:val="00687CDE"/>
    <w:rsid w:val="00690FE6"/>
    <w:rsid w:val="006B3FB3"/>
    <w:rsid w:val="006F72DE"/>
    <w:rsid w:val="007735B1"/>
    <w:rsid w:val="007954C7"/>
    <w:rsid w:val="00797C1B"/>
    <w:rsid w:val="007B5637"/>
    <w:rsid w:val="007E1F76"/>
    <w:rsid w:val="008102D9"/>
    <w:rsid w:val="0082101F"/>
    <w:rsid w:val="00837C78"/>
    <w:rsid w:val="00853E33"/>
    <w:rsid w:val="008B2DCC"/>
    <w:rsid w:val="008D0BB6"/>
    <w:rsid w:val="0091339D"/>
    <w:rsid w:val="00920F49"/>
    <w:rsid w:val="00964025"/>
    <w:rsid w:val="009A3BE8"/>
    <w:rsid w:val="009C059E"/>
    <w:rsid w:val="009F1AA1"/>
    <w:rsid w:val="00A21F13"/>
    <w:rsid w:val="00A2631C"/>
    <w:rsid w:val="00A30367"/>
    <w:rsid w:val="00A60F48"/>
    <w:rsid w:val="00A74492"/>
    <w:rsid w:val="00A91E03"/>
    <w:rsid w:val="00AA495C"/>
    <w:rsid w:val="00B07FD3"/>
    <w:rsid w:val="00B57F2F"/>
    <w:rsid w:val="00B71E48"/>
    <w:rsid w:val="00B8607C"/>
    <w:rsid w:val="00B945E8"/>
    <w:rsid w:val="00BD6972"/>
    <w:rsid w:val="00BE35D0"/>
    <w:rsid w:val="00BF5F79"/>
    <w:rsid w:val="00BF74E4"/>
    <w:rsid w:val="00C10150"/>
    <w:rsid w:val="00C4336D"/>
    <w:rsid w:val="00C54C3E"/>
    <w:rsid w:val="00C70B1D"/>
    <w:rsid w:val="00C87588"/>
    <w:rsid w:val="00CA455B"/>
    <w:rsid w:val="00CD34EA"/>
    <w:rsid w:val="00D8232F"/>
    <w:rsid w:val="00D85C1F"/>
    <w:rsid w:val="00DA7A63"/>
    <w:rsid w:val="00DB0265"/>
    <w:rsid w:val="00DB66CA"/>
    <w:rsid w:val="00DD2BF6"/>
    <w:rsid w:val="00E02398"/>
    <w:rsid w:val="00E40C0A"/>
    <w:rsid w:val="00E46C7E"/>
    <w:rsid w:val="00E8389C"/>
    <w:rsid w:val="00EA0FD0"/>
    <w:rsid w:val="00EB721F"/>
    <w:rsid w:val="00F15BD3"/>
    <w:rsid w:val="00F2171B"/>
    <w:rsid w:val="00F50ECD"/>
    <w:rsid w:val="00F62E75"/>
    <w:rsid w:val="00FA7C41"/>
    <w:rsid w:val="00FE3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78"/>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837C78"/>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C78"/>
    <w:rPr>
      <w:rFonts w:ascii="Cambria" w:hAnsi="Cambria" w:cs="Times New Roman"/>
      <w:b/>
      <w:bCs/>
      <w:kern w:val="32"/>
      <w:sz w:val="32"/>
      <w:szCs w:val="32"/>
    </w:rPr>
  </w:style>
  <w:style w:type="paragraph" w:styleId="Header">
    <w:name w:val="header"/>
    <w:basedOn w:val="Normal"/>
    <w:link w:val="HeaderChar"/>
    <w:uiPriority w:val="99"/>
    <w:semiHidden/>
    <w:rsid w:val="00837C78"/>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37C78"/>
    <w:rPr>
      <w:rFonts w:cs="Times New Roman"/>
    </w:rPr>
  </w:style>
  <w:style w:type="paragraph" w:styleId="Footer">
    <w:name w:val="footer"/>
    <w:basedOn w:val="Normal"/>
    <w:link w:val="FooterChar"/>
    <w:uiPriority w:val="99"/>
    <w:semiHidden/>
    <w:rsid w:val="00837C78"/>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37C78"/>
    <w:rPr>
      <w:rFonts w:cs="Times New Roman"/>
    </w:rPr>
  </w:style>
  <w:style w:type="paragraph" w:styleId="BodyText">
    <w:name w:val="Body Text"/>
    <w:basedOn w:val="Normal"/>
    <w:link w:val="BodyTextChar"/>
    <w:uiPriority w:val="99"/>
    <w:semiHidden/>
    <w:rsid w:val="00837C78"/>
    <w:pPr>
      <w:spacing w:after="240"/>
    </w:pPr>
  </w:style>
  <w:style w:type="character" w:customStyle="1" w:styleId="BodyTextChar">
    <w:name w:val="Body Text Char"/>
    <w:basedOn w:val="DefaultParagraphFont"/>
    <w:link w:val="BodyText"/>
    <w:uiPriority w:val="99"/>
    <w:semiHidden/>
    <w:locked/>
    <w:rsid w:val="00837C78"/>
    <w:rPr>
      <w:rFonts w:ascii="Georgia" w:hAnsi="Georgia" w:cs="Times New Roman"/>
      <w:sz w:val="20"/>
    </w:rPr>
  </w:style>
  <w:style w:type="paragraph" w:styleId="Title">
    <w:name w:val="Title"/>
    <w:basedOn w:val="Normal"/>
    <w:next w:val="Normal"/>
    <w:link w:val="TitleChar"/>
    <w:uiPriority w:val="99"/>
    <w:qFormat/>
    <w:rsid w:val="00837C78"/>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837C78"/>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37C78"/>
    <w:pPr>
      <w:spacing w:line="200" w:lineRule="atLeast"/>
    </w:pPr>
    <w:rPr>
      <w:i/>
      <w:sz w:val="18"/>
    </w:rPr>
  </w:style>
  <w:style w:type="character" w:customStyle="1" w:styleId="AddressChar">
    <w:name w:val="Address Char"/>
    <w:basedOn w:val="DefaultParagraphFont"/>
    <w:link w:val="Address"/>
    <w:uiPriority w:val="99"/>
    <w:locked/>
    <w:rsid w:val="00837C78"/>
    <w:rPr>
      <w:rFonts w:ascii="Georgia" w:hAnsi="Georgia" w:cs="Times New Roman"/>
      <w:i/>
      <w:sz w:val="18"/>
    </w:rPr>
  </w:style>
  <w:style w:type="paragraph" w:customStyle="1" w:styleId="Disclaimer">
    <w:name w:val="Disclaimer"/>
    <w:basedOn w:val="Normal"/>
    <w:link w:val="DisclaimerChar"/>
    <w:uiPriority w:val="99"/>
    <w:rsid w:val="00837C78"/>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37C78"/>
    <w:rPr>
      <w:rFonts w:ascii="Arial" w:hAnsi="Arial" w:cs="Arial"/>
      <w:sz w:val="12"/>
    </w:rPr>
  </w:style>
  <w:style w:type="paragraph" w:customStyle="1" w:styleId="ReleaseBodyText">
    <w:name w:val="Release Body Text"/>
    <w:uiPriority w:val="99"/>
    <w:rsid w:val="00837C78"/>
    <w:rPr>
      <w:rFonts w:ascii="Arial" w:eastAsia="Times New Roman" w:hAnsi="Arial" w:cs="Arial"/>
      <w:sz w:val="20"/>
      <w:szCs w:val="20"/>
      <w:lang w:eastAsia="en-US"/>
    </w:rPr>
  </w:style>
  <w:style w:type="paragraph" w:customStyle="1" w:styleId="Heading">
    <w:name w:val="Heading"/>
    <w:basedOn w:val="Normal"/>
    <w:uiPriority w:val="99"/>
    <w:rsid w:val="00837C78"/>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37C78"/>
    <w:rPr>
      <w:rFonts w:cs="Times New Roman"/>
      <w:sz w:val="16"/>
      <w:szCs w:val="16"/>
    </w:rPr>
  </w:style>
  <w:style w:type="paragraph" w:styleId="CommentText">
    <w:name w:val="annotation text"/>
    <w:basedOn w:val="Normal"/>
    <w:link w:val="CommentTextChar"/>
    <w:uiPriority w:val="99"/>
    <w:semiHidden/>
    <w:rsid w:val="00837C78"/>
    <w:pPr>
      <w:spacing w:line="240" w:lineRule="auto"/>
    </w:pPr>
    <w:rPr>
      <w:szCs w:val="20"/>
    </w:rPr>
  </w:style>
  <w:style w:type="character" w:customStyle="1" w:styleId="CommentTextChar">
    <w:name w:val="Comment Text Char"/>
    <w:basedOn w:val="DefaultParagraphFont"/>
    <w:link w:val="CommentText"/>
    <w:uiPriority w:val="99"/>
    <w:semiHidden/>
    <w:locked/>
    <w:rsid w:val="00837C78"/>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37C78"/>
    <w:rPr>
      <w:b/>
      <w:bCs/>
    </w:rPr>
  </w:style>
  <w:style w:type="character" w:customStyle="1" w:styleId="CommentSubjectChar">
    <w:name w:val="Comment Subject Char"/>
    <w:basedOn w:val="CommentTextChar"/>
    <w:link w:val="CommentSubject"/>
    <w:uiPriority w:val="99"/>
    <w:semiHidden/>
    <w:locked/>
    <w:rsid w:val="00837C78"/>
    <w:rPr>
      <w:rFonts w:ascii="Georgia" w:hAnsi="Georgia" w:cs="Times New Roman"/>
      <w:b/>
      <w:bCs/>
      <w:lang w:eastAsia="en-US"/>
    </w:rPr>
  </w:style>
  <w:style w:type="paragraph" w:styleId="BalloonText">
    <w:name w:val="Balloon Text"/>
    <w:basedOn w:val="Normal"/>
    <w:link w:val="BalloonTextChar"/>
    <w:uiPriority w:val="99"/>
    <w:semiHidden/>
    <w:rsid w:val="00837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C78"/>
    <w:rPr>
      <w:rFonts w:ascii="Tahoma" w:hAnsi="Tahoma" w:cs="Tahoma"/>
      <w:sz w:val="16"/>
      <w:szCs w:val="16"/>
      <w:lang w:eastAsia="en-US"/>
    </w:rPr>
  </w:style>
  <w:style w:type="character" w:styleId="Hyperlink">
    <w:name w:val="Hyperlink"/>
    <w:basedOn w:val="DefaultParagraphFont"/>
    <w:uiPriority w:val="99"/>
    <w:rsid w:val="00837C7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78"/>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837C78"/>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C78"/>
    <w:rPr>
      <w:rFonts w:ascii="Cambria" w:hAnsi="Cambria" w:cs="Times New Roman"/>
      <w:b/>
      <w:bCs/>
      <w:kern w:val="32"/>
      <w:sz w:val="32"/>
      <w:szCs w:val="32"/>
    </w:rPr>
  </w:style>
  <w:style w:type="paragraph" w:styleId="Header">
    <w:name w:val="header"/>
    <w:basedOn w:val="Normal"/>
    <w:link w:val="HeaderChar"/>
    <w:uiPriority w:val="99"/>
    <w:semiHidden/>
    <w:rsid w:val="00837C78"/>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837C78"/>
    <w:rPr>
      <w:rFonts w:cs="Times New Roman"/>
    </w:rPr>
  </w:style>
  <w:style w:type="paragraph" w:styleId="Footer">
    <w:name w:val="footer"/>
    <w:basedOn w:val="Normal"/>
    <w:link w:val="FooterChar"/>
    <w:uiPriority w:val="99"/>
    <w:semiHidden/>
    <w:rsid w:val="00837C78"/>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837C78"/>
    <w:rPr>
      <w:rFonts w:cs="Times New Roman"/>
    </w:rPr>
  </w:style>
  <w:style w:type="paragraph" w:styleId="BodyText">
    <w:name w:val="Body Text"/>
    <w:basedOn w:val="Normal"/>
    <w:link w:val="BodyTextChar"/>
    <w:uiPriority w:val="99"/>
    <w:semiHidden/>
    <w:rsid w:val="00837C78"/>
    <w:pPr>
      <w:spacing w:after="240"/>
    </w:pPr>
  </w:style>
  <w:style w:type="character" w:customStyle="1" w:styleId="BodyTextChar">
    <w:name w:val="Body Text Char"/>
    <w:basedOn w:val="DefaultParagraphFont"/>
    <w:link w:val="BodyText"/>
    <w:uiPriority w:val="99"/>
    <w:semiHidden/>
    <w:locked/>
    <w:rsid w:val="00837C78"/>
    <w:rPr>
      <w:rFonts w:ascii="Georgia" w:hAnsi="Georgia" w:cs="Times New Roman"/>
      <w:sz w:val="20"/>
    </w:rPr>
  </w:style>
  <w:style w:type="paragraph" w:styleId="Title">
    <w:name w:val="Title"/>
    <w:basedOn w:val="Normal"/>
    <w:next w:val="Normal"/>
    <w:link w:val="TitleChar"/>
    <w:uiPriority w:val="99"/>
    <w:qFormat/>
    <w:rsid w:val="00837C78"/>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837C78"/>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837C78"/>
    <w:pPr>
      <w:spacing w:line="200" w:lineRule="atLeast"/>
    </w:pPr>
    <w:rPr>
      <w:i/>
      <w:sz w:val="18"/>
    </w:rPr>
  </w:style>
  <w:style w:type="character" w:customStyle="1" w:styleId="AddressChar">
    <w:name w:val="Address Char"/>
    <w:basedOn w:val="DefaultParagraphFont"/>
    <w:link w:val="Address"/>
    <w:uiPriority w:val="99"/>
    <w:locked/>
    <w:rsid w:val="00837C78"/>
    <w:rPr>
      <w:rFonts w:ascii="Georgia" w:hAnsi="Georgia" w:cs="Times New Roman"/>
      <w:i/>
      <w:sz w:val="18"/>
    </w:rPr>
  </w:style>
  <w:style w:type="paragraph" w:customStyle="1" w:styleId="Disclaimer">
    <w:name w:val="Disclaimer"/>
    <w:basedOn w:val="Normal"/>
    <w:link w:val="DisclaimerChar"/>
    <w:uiPriority w:val="99"/>
    <w:rsid w:val="00837C78"/>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837C78"/>
    <w:rPr>
      <w:rFonts w:ascii="Arial" w:hAnsi="Arial" w:cs="Arial"/>
      <w:sz w:val="12"/>
    </w:rPr>
  </w:style>
  <w:style w:type="paragraph" w:customStyle="1" w:styleId="ReleaseBodyText">
    <w:name w:val="Release Body Text"/>
    <w:uiPriority w:val="99"/>
    <w:rsid w:val="00837C78"/>
    <w:rPr>
      <w:rFonts w:ascii="Arial" w:eastAsia="Times New Roman" w:hAnsi="Arial" w:cs="Arial"/>
      <w:sz w:val="20"/>
      <w:szCs w:val="20"/>
      <w:lang w:eastAsia="en-US"/>
    </w:rPr>
  </w:style>
  <w:style w:type="paragraph" w:customStyle="1" w:styleId="Heading">
    <w:name w:val="Heading"/>
    <w:basedOn w:val="Normal"/>
    <w:uiPriority w:val="99"/>
    <w:rsid w:val="00837C78"/>
    <w:pPr>
      <w:spacing w:line="240" w:lineRule="auto"/>
    </w:pPr>
    <w:rPr>
      <w:rFonts w:ascii="Arial" w:eastAsia="Times New Roman" w:hAnsi="Arial"/>
      <w:b/>
      <w:sz w:val="24"/>
      <w:szCs w:val="20"/>
    </w:rPr>
  </w:style>
  <w:style w:type="character" w:styleId="CommentReference">
    <w:name w:val="annotation reference"/>
    <w:basedOn w:val="DefaultParagraphFont"/>
    <w:uiPriority w:val="99"/>
    <w:semiHidden/>
    <w:rsid w:val="00837C78"/>
    <w:rPr>
      <w:rFonts w:cs="Times New Roman"/>
      <w:sz w:val="16"/>
      <w:szCs w:val="16"/>
    </w:rPr>
  </w:style>
  <w:style w:type="paragraph" w:styleId="CommentText">
    <w:name w:val="annotation text"/>
    <w:basedOn w:val="Normal"/>
    <w:link w:val="CommentTextChar"/>
    <w:uiPriority w:val="99"/>
    <w:semiHidden/>
    <w:rsid w:val="00837C78"/>
    <w:pPr>
      <w:spacing w:line="240" w:lineRule="auto"/>
    </w:pPr>
    <w:rPr>
      <w:szCs w:val="20"/>
    </w:rPr>
  </w:style>
  <w:style w:type="character" w:customStyle="1" w:styleId="CommentTextChar">
    <w:name w:val="Comment Text Char"/>
    <w:basedOn w:val="DefaultParagraphFont"/>
    <w:link w:val="CommentText"/>
    <w:uiPriority w:val="99"/>
    <w:semiHidden/>
    <w:locked/>
    <w:rsid w:val="00837C78"/>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837C78"/>
    <w:rPr>
      <w:b/>
      <w:bCs/>
    </w:rPr>
  </w:style>
  <w:style w:type="character" w:customStyle="1" w:styleId="CommentSubjectChar">
    <w:name w:val="Comment Subject Char"/>
    <w:basedOn w:val="CommentTextChar"/>
    <w:link w:val="CommentSubject"/>
    <w:uiPriority w:val="99"/>
    <w:semiHidden/>
    <w:locked/>
    <w:rsid w:val="00837C78"/>
    <w:rPr>
      <w:rFonts w:ascii="Georgia" w:hAnsi="Georgia" w:cs="Times New Roman"/>
      <w:b/>
      <w:bCs/>
      <w:lang w:eastAsia="en-US"/>
    </w:rPr>
  </w:style>
  <w:style w:type="paragraph" w:styleId="BalloonText">
    <w:name w:val="Balloon Text"/>
    <w:basedOn w:val="Normal"/>
    <w:link w:val="BalloonTextChar"/>
    <w:uiPriority w:val="99"/>
    <w:semiHidden/>
    <w:rsid w:val="00837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C78"/>
    <w:rPr>
      <w:rFonts w:ascii="Tahoma" w:hAnsi="Tahoma" w:cs="Tahoma"/>
      <w:sz w:val="16"/>
      <w:szCs w:val="16"/>
      <w:lang w:eastAsia="en-US"/>
    </w:rPr>
  </w:style>
  <w:style w:type="character" w:styleId="Hyperlink">
    <w:name w:val="Hyperlink"/>
    <w:basedOn w:val="DefaultParagraphFont"/>
    <w:uiPriority w:val="99"/>
    <w:rsid w:val="00837C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7091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a4 no disclaimer colour.dotx</Template>
  <TotalTime>2</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svanpelt001</cp:lastModifiedBy>
  <cp:revision>3</cp:revision>
  <cp:lastPrinted>2013-01-25T11:17:00Z</cp:lastPrinted>
  <dcterms:created xsi:type="dcterms:W3CDTF">2013-01-28T13:35:00Z</dcterms:created>
  <dcterms:modified xsi:type="dcterms:W3CDTF">2013-01-28T13:36:00Z</dcterms:modified>
</cp:coreProperties>
</file>