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83" w:rsidRPr="004772EC" w:rsidRDefault="00DD32F0" w:rsidP="00053A46">
      <w:pPr>
        <w:spacing w:line="240" w:lineRule="auto"/>
      </w:pPr>
      <w:r>
        <w:rPr>
          <w:noProof/>
          <w:lang w:eastAsia="en-GB"/>
        </w:rPr>
        <w:pict>
          <v:shape id="_x0000_s1026" style="position:absolute;margin-left:87.85pt;margin-top:771.05pt;width:465pt;height:11.35pt;z-index:251657728;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p>
    <w:p w:rsidR="007B1B83" w:rsidRPr="004772EC" w:rsidRDefault="00B52711" w:rsidP="00053A46">
      <w:pPr>
        <w:pStyle w:val="Title"/>
        <w:spacing w:after="0"/>
        <w:rPr>
          <w:rFonts w:ascii="Georgia" w:hAnsi="Georgia"/>
        </w:rPr>
      </w:pPr>
      <w:r w:rsidRPr="004772EC">
        <w:rPr>
          <w:rFonts w:ascii="Georgia" w:hAnsi="Georgia"/>
        </w:rPr>
        <w:t>News release</w:t>
      </w:r>
      <w:r w:rsidR="00543742">
        <w:rPr>
          <w:rFonts w:ascii="Georgia" w:hAnsi="Georgia"/>
        </w:rPr>
        <w:t xml:space="preserve"> </w:t>
      </w:r>
    </w:p>
    <w:tbl>
      <w:tblPr>
        <w:tblW w:w="0" w:type="auto"/>
        <w:tblLayout w:type="fixed"/>
        <w:tblLook w:val="0000"/>
      </w:tblPr>
      <w:tblGrid>
        <w:gridCol w:w="2268"/>
        <w:gridCol w:w="4645"/>
      </w:tblGrid>
      <w:tr w:rsidR="007B1B83" w:rsidRPr="004772EC">
        <w:tc>
          <w:tcPr>
            <w:tcW w:w="2268" w:type="dxa"/>
            <w:shd w:val="clear" w:color="auto" w:fill="auto"/>
          </w:tcPr>
          <w:p w:rsidR="007B1B83" w:rsidRPr="004772EC" w:rsidRDefault="00B52711" w:rsidP="00053A46">
            <w:pPr>
              <w:spacing w:line="240" w:lineRule="auto"/>
              <w:rPr>
                <w:i/>
              </w:rPr>
            </w:pPr>
            <w:r w:rsidRPr="004772EC">
              <w:rPr>
                <w:i/>
              </w:rPr>
              <w:t>Date</w:t>
            </w:r>
          </w:p>
        </w:tc>
        <w:tc>
          <w:tcPr>
            <w:tcW w:w="4645" w:type="dxa"/>
            <w:shd w:val="clear" w:color="auto" w:fill="auto"/>
          </w:tcPr>
          <w:p w:rsidR="007B1B83" w:rsidRPr="004772EC" w:rsidRDefault="003955EB" w:rsidP="00053A46">
            <w:pPr>
              <w:spacing w:line="240" w:lineRule="auto"/>
            </w:pPr>
            <w:r>
              <w:t>7 January</w:t>
            </w:r>
            <w:r w:rsidR="00B52711" w:rsidRPr="004772EC">
              <w:t xml:space="preserve"> 201</w:t>
            </w:r>
            <w:r>
              <w:t>3</w:t>
            </w:r>
          </w:p>
          <w:p w:rsidR="007C6884" w:rsidRPr="004772EC" w:rsidRDefault="007C6884" w:rsidP="00053A46">
            <w:pPr>
              <w:spacing w:line="240" w:lineRule="auto"/>
            </w:pPr>
          </w:p>
        </w:tc>
      </w:tr>
      <w:tr w:rsidR="007B1B83" w:rsidRPr="004772EC">
        <w:tc>
          <w:tcPr>
            <w:tcW w:w="2268" w:type="dxa"/>
            <w:shd w:val="clear" w:color="auto" w:fill="auto"/>
          </w:tcPr>
          <w:p w:rsidR="007B1B83" w:rsidRPr="004772EC" w:rsidRDefault="00B52711" w:rsidP="00053A46">
            <w:pPr>
              <w:spacing w:line="240" w:lineRule="auto"/>
              <w:rPr>
                <w:i/>
              </w:rPr>
            </w:pPr>
            <w:r w:rsidRPr="004772EC">
              <w:rPr>
                <w:i/>
              </w:rPr>
              <w:t>Contact</w:t>
            </w:r>
          </w:p>
        </w:tc>
        <w:tc>
          <w:tcPr>
            <w:tcW w:w="4645" w:type="dxa"/>
            <w:shd w:val="clear" w:color="auto" w:fill="auto"/>
          </w:tcPr>
          <w:p w:rsidR="007B1B83" w:rsidRPr="004772EC" w:rsidRDefault="003955EB" w:rsidP="00053A46">
            <w:pPr>
              <w:tabs>
                <w:tab w:val="left" w:pos="1440"/>
              </w:tabs>
              <w:spacing w:line="240" w:lineRule="auto"/>
              <w:ind w:left="1440" w:hanging="1440"/>
              <w:rPr>
                <w:rFonts w:cs="Arial"/>
                <w:color w:val="000000"/>
                <w:lang w:val="it-IT" w:eastAsia="zh-TW"/>
              </w:rPr>
            </w:pPr>
            <w:r>
              <w:rPr>
                <w:rFonts w:cs="Arial"/>
                <w:bCs/>
                <w:color w:val="000000"/>
                <w:lang w:val="it-IT"/>
              </w:rPr>
              <w:t>Pearl Fan</w:t>
            </w:r>
            <w:r w:rsidR="00B52711" w:rsidRPr="004772EC">
              <w:rPr>
                <w:rFonts w:cs="Arial"/>
                <w:bCs/>
                <w:color w:val="000000"/>
                <w:lang w:val="it-IT"/>
              </w:rPr>
              <w:t>, PwC</w:t>
            </w:r>
          </w:p>
          <w:p w:rsidR="007B1B83" w:rsidRPr="004772EC" w:rsidRDefault="003955EB" w:rsidP="00053A46">
            <w:pPr>
              <w:tabs>
                <w:tab w:val="left" w:pos="1440"/>
              </w:tabs>
              <w:spacing w:line="240" w:lineRule="auto"/>
              <w:ind w:left="1440" w:hanging="1440"/>
              <w:rPr>
                <w:rFonts w:cs="Arial"/>
                <w:color w:val="000000"/>
                <w:lang w:val="it-IT"/>
              </w:rPr>
            </w:pPr>
            <w:r>
              <w:rPr>
                <w:rFonts w:cs="Arial"/>
                <w:color w:val="000000"/>
                <w:lang w:val="it-IT"/>
              </w:rPr>
              <w:t>Tel: +852 2289 8718</w:t>
            </w:r>
          </w:p>
          <w:p w:rsidR="007B1B83" w:rsidRPr="004772EC" w:rsidRDefault="004772EC" w:rsidP="00053A46">
            <w:pPr>
              <w:tabs>
                <w:tab w:val="left" w:pos="1440"/>
              </w:tabs>
              <w:spacing w:line="240" w:lineRule="auto"/>
              <w:ind w:left="1440" w:hanging="1440"/>
              <w:rPr>
                <w:rFonts w:cs="Arial"/>
                <w:color w:val="000000"/>
                <w:lang w:val="it-IT"/>
              </w:rPr>
            </w:pPr>
            <w:r w:rsidRPr="004772EC">
              <w:rPr>
                <w:rFonts w:cs="Arial"/>
                <w:color w:val="000000"/>
                <w:lang w:val="it-IT" w:eastAsia="zh-TW"/>
              </w:rPr>
              <w:t>E</w:t>
            </w:r>
            <w:r w:rsidR="00E43956" w:rsidRPr="004772EC">
              <w:rPr>
                <w:rFonts w:cs="Arial"/>
                <w:color w:val="000000"/>
                <w:lang w:val="it-IT"/>
              </w:rPr>
              <w:t xml:space="preserve">mail: </w:t>
            </w:r>
            <w:hyperlink r:id="rId7" w:history="1">
              <w:r w:rsidR="003955EB" w:rsidRPr="007C0504">
                <w:rPr>
                  <w:rStyle w:val="Hyperlink"/>
                  <w:rFonts w:cs="Arial"/>
                  <w:lang w:val="it-IT"/>
                </w:rPr>
                <w:t>pearl.fan@hk.pwc.com</w:t>
              </w:r>
            </w:hyperlink>
          </w:p>
          <w:p w:rsidR="007B1B83" w:rsidRPr="004772EC" w:rsidRDefault="007B1B83" w:rsidP="00053A46">
            <w:pPr>
              <w:pStyle w:val="Header"/>
              <w:tabs>
                <w:tab w:val="left" w:pos="1440"/>
              </w:tabs>
              <w:ind w:left="1440" w:hanging="1440"/>
              <w:rPr>
                <w:rFonts w:cs="Arial"/>
                <w:bCs/>
                <w:lang w:val="it-IT"/>
              </w:rPr>
            </w:pPr>
          </w:p>
          <w:p w:rsidR="007B1B83" w:rsidRPr="004772EC" w:rsidRDefault="007B1B83" w:rsidP="00053A46">
            <w:pPr>
              <w:tabs>
                <w:tab w:val="left" w:pos="1440"/>
              </w:tabs>
              <w:spacing w:line="240" w:lineRule="auto"/>
              <w:rPr>
                <w:lang w:val="it-IT"/>
              </w:rPr>
            </w:pPr>
          </w:p>
        </w:tc>
      </w:tr>
      <w:tr w:rsidR="007B1B83" w:rsidRPr="004772EC">
        <w:tc>
          <w:tcPr>
            <w:tcW w:w="2268" w:type="dxa"/>
            <w:shd w:val="clear" w:color="auto" w:fill="auto"/>
          </w:tcPr>
          <w:p w:rsidR="007B1B83" w:rsidRPr="004772EC" w:rsidRDefault="00B52711" w:rsidP="00053A46">
            <w:pPr>
              <w:spacing w:line="240" w:lineRule="auto"/>
              <w:rPr>
                <w:i/>
              </w:rPr>
            </w:pPr>
            <w:r w:rsidRPr="004772EC">
              <w:rPr>
                <w:i/>
              </w:rPr>
              <w:t xml:space="preserve">Pages </w:t>
            </w:r>
          </w:p>
        </w:tc>
        <w:tc>
          <w:tcPr>
            <w:tcW w:w="4645" w:type="dxa"/>
            <w:shd w:val="clear" w:color="auto" w:fill="auto"/>
          </w:tcPr>
          <w:p w:rsidR="007B1B83" w:rsidRPr="004772EC" w:rsidRDefault="00870F85" w:rsidP="00053A46">
            <w:pPr>
              <w:spacing w:line="240" w:lineRule="auto"/>
            </w:pPr>
            <w:r w:rsidRPr="004772EC">
              <w:t>3</w:t>
            </w:r>
          </w:p>
        </w:tc>
      </w:tr>
    </w:tbl>
    <w:p w:rsidR="007B1B83" w:rsidRPr="004772EC" w:rsidRDefault="007B1B83" w:rsidP="00053A46">
      <w:pPr>
        <w:pStyle w:val="Title"/>
        <w:spacing w:after="0"/>
        <w:rPr>
          <w:rFonts w:ascii="Georgia" w:hAnsi="Georgia"/>
        </w:rPr>
      </w:pPr>
    </w:p>
    <w:p w:rsidR="007B1B83" w:rsidRPr="004772EC" w:rsidRDefault="006009E8" w:rsidP="00053A46">
      <w:pPr>
        <w:pStyle w:val="Heading1"/>
        <w:keepNext w:val="0"/>
        <w:spacing w:before="0" w:after="0"/>
        <w:jc w:val="center"/>
        <w:rPr>
          <w:rFonts w:ascii="Georgia" w:hAnsi="Georgia" w:cs="Arial"/>
          <w:sz w:val="26"/>
          <w:szCs w:val="26"/>
        </w:rPr>
      </w:pPr>
      <w:r w:rsidRPr="004772EC">
        <w:rPr>
          <w:rFonts w:ascii="Georgia" w:hAnsi="Georgia" w:cs="Arial"/>
          <w:sz w:val="26"/>
          <w:szCs w:val="26"/>
        </w:rPr>
        <w:t>Chinese bank</w:t>
      </w:r>
      <w:r w:rsidR="001E5A56">
        <w:rPr>
          <w:rFonts w:ascii="Georgia" w:eastAsiaTheme="minorEastAsia" w:hAnsi="Georgia" w:cs="Arial" w:hint="eastAsia"/>
          <w:sz w:val="26"/>
          <w:szCs w:val="26"/>
          <w:lang w:eastAsia="zh-CN"/>
        </w:rPr>
        <w:t>er</w:t>
      </w:r>
      <w:r w:rsidRPr="004772EC">
        <w:rPr>
          <w:rFonts w:ascii="Georgia" w:hAnsi="Georgia" w:cs="Arial"/>
          <w:sz w:val="26"/>
          <w:szCs w:val="26"/>
        </w:rPr>
        <w:t>s</w:t>
      </w:r>
      <w:r w:rsidR="00A235FB">
        <w:rPr>
          <w:rFonts w:ascii="Georgia" w:eastAsiaTheme="minorEastAsia" w:hAnsi="Georgia" w:cs="Arial"/>
          <w:sz w:val="26"/>
          <w:szCs w:val="26"/>
          <w:lang w:eastAsia="zh-CN"/>
        </w:rPr>
        <w:t xml:space="preserve"> preparing</w:t>
      </w:r>
      <w:r w:rsidR="003955EB">
        <w:rPr>
          <w:rFonts w:ascii="Georgia" w:hAnsi="Georgia" w:cs="Arial"/>
          <w:sz w:val="26"/>
          <w:szCs w:val="26"/>
        </w:rPr>
        <w:t xml:space="preserve"> to meet challenges ahead</w:t>
      </w:r>
    </w:p>
    <w:p w:rsidR="007B1B83" w:rsidRPr="004772EC" w:rsidRDefault="00A235FB" w:rsidP="00053A46">
      <w:pPr>
        <w:spacing w:line="240" w:lineRule="auto"/>
        <w:jc w:val="center"/>
        <w:rPr>
          <w:rFonts w:cs="Arial"/>
          <w:i/>
          <w:sz w:val="24"/>
        </w:rPr>
      </w:pPr>
      <w:r>
        <w:rPr>
          <w:rFonts w:cs="Arial"/>
          <w:i/>
          <w:sz w:val="24"/>
        </w:rPr>
        <w:t>I</w:t>
      </w:r>
      <w:r w:rsidR="003955EB">
        <w:rPr>
          <w:rFonts w:cs="Arial"/>
          <w:i/>
          <w:sz w:val="24"/>
        </w:rPr>
        <w:t>nterest rate liberalisation</w:t>
      </w:r>
      <w:r w:rsidR="006B0228">
        <w:rPr>
          <w:rFonts w:eastAsiaTheme="minorEastAsia" w:cs="Arial" w:hint="eastAsia"/>
          <w:i/>
          <w:sz w:val="24"/>
          <w:lang w:eastAsia="zh-CN"/>
        </w:rPr>
        <w:t xml:space="preserve"> and managing risks</w:t>
      </w:r>
      <w:r w:rsidR="003955EB">
        <w:rPr>
          <w:rFonts w:cs="Arial"/>
          <w:i/>
          <w:sz w:val="24"/>
        </w:rPr>
        <w:t xml:space="preserve"> top </w:t>
      </w:r>
      <w:r>
        <w:rPr>
          <w:rFonts w:cs="Arial"/>
          <w:i/>
          <w:sz w:val="24"/>
        </w:rPr>
        <w:t>of agenda</w:t>
      </w:r>
    </w:p>
    <w:p w:rsidR="00A34E9A" w:rsidRPr="004772EC" w:rsidRDefault="00A34E9A" w:rsidP="00053A46">
      <w:pPr>
        <w:spacing w:line="240" w:lineRule="auto"/>
        <w:jc w:val="center"/>
        <w:rPr>
          <w:rFonts w:cs="Arial"/>
          <w:b/>
          <w:i/>
          <w:iCs/>
        </w:rPr>
      </w:pPr>
    </w:p>
    <w:p w:rsidR="002D331C" w:rsidRDefault="00E32195" w:rsidP="00053A46">
      <w:pPr>
        <w:spacing w:line="240" w:lineRule="auto"/>
        <w:rPr>
          <w:rFonts w:eastAsiaTheme="minorEastAsia"/>
          <w:szCs w:val="20"/>
          <w:lang w:eastAsia="zh-CN"/>
        </w:rPr>
      </w:pPr>
      <w:r w:rsidRPr="004772EC">
        <w:rPr>
          <w:rFonts w:cs="Arial"/>
          <w:b/>
          <w:bCs/>
          <w:szCs w:val="20"/>
        </w:rPr>
        <w:t>HONG KONG,</w:t>
      </w:r>
      <w:r w:rsidR="00E43956" w:rsidRPr="004772EC">
        <w:rPr>
          <w:rFonts w:cs="Arial"/>
          <w:b/>
          <w:bCs/>
          <w:szCs w:val="20"/>
        </w:rPr>
        <w:t xml:space="preserve"> </w:t>
      </w:r>
      <w:r w:rsidR="003955EB">
        <w:rPr>
          <w:rFonts w:cs="Arial"/>
          <w:b/>
          <w:bCs/>
          <w:szCs w:val="20"/>
        </w:rPr>
        <w:t>7 January 2013</w:t>
      </w:r>
      <w:r w:rsidR="00B52711" w:rsidRPr="004772EC">
        <w:rPr>
          <w:rFonts w:cs="Arial"/>
          <w:b/>
          <w:bCs/>
          <w:szCs w:val="20"/>
        </w:rPr>
        <w:t xml:space="preserve"> </w:t>
      </w:r>
      <w:r w:rsidR="00B52711" w:rsidRPr="004772EC">
        <w:rPr>
          <w:rFonts w:cs="Arial"/>
          <w:bCs/>
          <w:szCs w:val="20"/>
        </w:rPr>
        <w:t>–</w:t>
      </w:r>
      <w:r w:rsidR="00880A82" w:rsidRPr="004772EC">
        <w:rPr>
          <w:rFonts w:cs="Arial"/>
          <w:bCs/>
          <w:szCs w:val="20"/>
        </w:rPr>
        <w:t xml:space="preserve"> </w:t>
      </w:r>
      <w:r w:rsidR="002D331C">
        <w:rPr>
          <w:szCs w:val="20"/>
        </w:rPr>
        <w:t xml:space="preserve">Over 60% of </w:t>
      </w:r>
      <w:r w:rsidR="002D331C" w:rsidRPr="00A54C38">
        <w:rPr>
          <w:szCs w:val="20"/>
        </w:rPr>
        <w:t xml:space="preserve">bankers believe that </w:t>
      </w:r>
      <w:r w:rsidR="002D331C">
        <w:rPr>
          <w:rFonts w:eastAsiaTheme="minorEastAsia" w:hint="eastAsia"/>
          <w:szCs w:val="20"/>
          <w:lang w:eastAsia="zh-CN"/>
        </w:rPr>
        <w:t>interest rate liberalisation</w:t>
      </w:r>
      <w:r w:rsidR="002D331C">
        <w:rPr>
          <w:szCs w:val="20"/>
        </w:rPr>
        <w:t xml:space="preserve"> </w:t>
      </w:r>
      <w:r w:rsidR="000313DF">
        <w:rPr>
          <w:rFonts w:eastAsiaTheme="minorEastAsia" w:hint="eastAsia"/>
          <w:szCs w:val="20"/>
          <w:lang w:eastAsia="zh-CN"/>
        </w:rPr>
        <w:t>poses</w:t>
      </w:r>
      <w:r w:rsidR="00DE3283">
        <w:rPr>
          <w:rFonts w:eastAsiaTheme="minorEastAsia" w:hint="eastAsia"/>
          <w:szCs w:val="20"/>
          <w:lang w:eastAsia="zh-CN"/>
        </w:rPr>
        <w:t xml:space="preserve"> challenges to their business in the next three to five years</w:t>
      </w:r>
      <w:r w:rsidR="002D331C" w:rsidRPr="00A54C38">
        <w:rPr>
          <w:szCs w:val="20"/>
        </w:rPr>
        <w:t>.</w:t>
      </w:r>
    </w:p>
    <w:p w:rsidR="00182070" w:rsidRPr="00A54C38" w:rsidRDefault="00182070" w:rsidP="00053A46">
      <w:pPr>
        <w:spacing w:line="240" w:lineRule="auto"/>
        <w:rPr>
          <w:szCs w:val="20"/>
        </w:rPr>
      </w:pPr>
    </w:p>
    <w:p w:rsidR="00522183" w:rsidRDefault="00DE3283" w:rsidP="00053A46">
      <w:pPr>
        <w:spacing w:line="240" w:lineRule="auto"/>
        <w:rPr>
          <w:szCs w:val="20"/>
        </w:rPr>
      </w:pPr>
      <w:r>
        <w:rPr>
          <w:szCs w:val="20"/>
        </w:rPr>
        <w:t>T</w:t>
      </w:r>
      <w:r w:rsidRPr="00A54C38">
        <w:rPr>
          <w:szCs w:val="20"/>
        </w:rPr>
        <w:t xml:space="preserve">he announcement of the People’s Bank of China to </w:t>
      </w:r>
      <w:r>
        <w:rPr>
          <w:rFonts w:eastAsiaTheme="minorEastAsia" w:hint="eastAsia"/>
          <w:szCs w:val="20"/>
          <w:lang w:eastAsia="zh-CN"/>
        </w:rPr>
        <w:t>raise</w:t>
      </w:r>
      <w:r w:rsidRPr="00A54C38">
        <w:rPr>
          <w:szCs w:val="20"/>
        </w:rPr>
        <w:t xml:space="preserve"> deposit </w:t>
      </w:r>
      <w:r>
        <w:rPr>
          <w:rFonts w:eastAsiaTheme="minorEastAsia" w:hint="eastAsia"/>
          <w:szCs w:val="20"/>
          <w:lang w:eastAsia="zh-CN"/>
        </w:rPr>
        <w:t xml:space="preserve">interest </w:t>
      </w:r>
      <w:r w:rsidRPr="00A54C38">
        <w:rPr>
          <w:szCs w:val="20"/>
        </w:rPr>
        <w:t>rates in June 2012 was beyond the expectati</w:t>
      </w:r>
      <w:r>
        <w:rPr>
          <w:szCs w:val="20"/>
        </w:rPr>
        <w:t xml:space="preserve">ons of most bankers. </w:t>
      </w:r>
      <w:r w:rsidR="00182070" w:rsidRPr="00A54C38">
        <w:rPr>
          <w:szCs w:val="20"/>
        </w:rPr>
        <w:t xml:space="preserve">According to the </w:t>
      </w:r>
      <w:r w:rsidR="00F11235">
        <w:rPr>
          <w:rFonts w:eastAsiaTheme="minorEastAsia" w:hint="eastAsia"/>
          <w:szCs w:val="20"/>
          <w:lang w:eastAsia="zh-CN"/>
        </w:rPr>
        <w:t>results</w:t>
      </w:r>
      <w:r w:rsidR="00182070" w:rsidRPr="00A54C38">
        <w:rPr>
          <w:szCs w:val="20"/>
        </w:rPr>
        <w:t xml:space="preserve"> of the fourth PwC/China Banking Association (</w:t>
      </w:r>
      <w:smartTag w:uri="urn:schemas-microsoft-com:office:smarttags" w:element="stockticker">
        <w:r w:rsidR="00182070" w:rsidRPr="00A54C38">
          <w:rPr>
            <w:szCs w:val="20"/>
          </w:rPr>
          <w:t>CBA</w:t>
        </w:r>
      </w:smartTag>
      <w:r w:rsidR="00182070" w:rsidRPr="00A54C38">
        <w:rPr>
          <w:szCs w:val="20"/>
        </w:rPr>
        <w:t>) Chinese Bankers Survey 2012,</w:t>
      </w:r>
      <w:r w:rsidR="00182070">
        <w:rPr>
          <w:szCs w:val="20"/>
        </w:rPr>
        <w:t xml:space="preserve"> less than three in</w:t>
      </w:r>
      <w:r w:rsidR="00182070" w:rsidRPr="00A54C38">
        <w:rPr>
          <w:szCs w:val="20"/>
        </w:rPr>
        <w:t xml:space="preserve"> 10</w:t>
      </w:r>
      <w:r w:rsidR="00182070">
        <w:rPr>
          <w:szCs w:val="20"/>
        </w:rPr>
        <w:t xml:space="preserve">0 of the </w:t>
      </w:r>
      <w:r w:rsidR="00182070" w:rsidRPr="00A54C38">
        <w:rPr>
          <w:szCs w:val="20"/>
        </w:rPr>
        <w:t>bank</w:t>
      </w:r>
      <w:r w:rsidR="00F11235">
        <w:rPr>
          <w:rFonts w:eastAsiaTheme="minorEastAsia" w:hint="eastAsia"/>
          <w:szCs w:val="20"/>
          <w:lang w:eastAsia="zh-CN"/>
        </w:rPr>
        <w:t>er</w:t>
      </w:r>
      <w:r w:rsidR="00182070" w:rsidRPr="00A54C38">
        <w:rPr>
          <w:szCs w:val="20"/>
        </w:rPr>
        <w:t xml:space="preserve">s </w:t>
      </w:r>
      <w:r w:rsidR="00182070">
        <w:rPr>
          <w:szCs w:val="20"/>
        </w:rPr>
        <w:t xml:space="preserve">surveyed </w:t>
      </w:r>
      <w:r w:rsidR="00D731D9">
        <w:rPr>
          <w:rFonts w:eastAsiaTheme="minorEastAsia" w:hint="eastAsia"/>
          <w:szCs w:val="20"/>
          <w:lang w:eastAsia="zh-CN"/>
        </w:rPr>
        <w:t>an</w:t>
      </w:r>
      <w:r w:rsidR="000313DF">
        <w:rPr>
          <w:rFonts w:eastAsiaTheme="minorEastAsia" w:hint="eastAsia"/>
          <w:szCs w:val="20"/>
          <w:lang w:eastAsia="zh-CN"/>
        </w:rPr>
        <w:t>ticipate</w:t>
      </w:r>
      <w:r w:rsidR="00D731D9">
        <w:rPr>
          <w:rFonts w:eastAsiaTheme="minorEastAsia" w:hint="eastAsia"/>
          <w:szCs w:val="20"/>
          <w:lang w:eastAsia="zh-CN"/>
        </w:rPr>
        <w:t>d</w:t>
      </w:r>
      <w:r w:rsidR="000313DF">
        <w:rPr>
          <w:rFonts w:eastAsiaTheme="minorEastAsia" w:hint="eastAsia"/>
          <w:szCs w:val="20"/>
          <w:lang w:eastAsia="zh-CN"/>
        </w:rPr>
        <w:t xml:space="preserve"> </w:t>
      </w:r>
      <w:r w:rsidR="00D731D9">
        <w:rPr>
          <w:rFonts w:eastAsiaTheme="minorEastAsia" w:hint="eastAsia"/>
          <w:szCs w:val="20"/>
          <w:lang w:eastAsia="zh-CN"/>
        </w:rPr>
        <w:t>the start of</w:t>
      </w:r>
      <w:r w:rsidR="00182070" w:rsidRPr="00A54C38">
        <w:rPr>
          <w:szCs w:val="20"/>
        </w:rPr>
        <w:t xml:space="preserve"> interest rate liberalisation</w:t>
      </w:r>
      <w:r w:rsidR="00D731D9">
        <w:rPr>
          <w:rFonts w:eastAsiaTheme="minorEastAsia" w:hint="eastAsia"/>
          <w:szCs w:val="20"/>
          <w:lang w:eastAsia="zh-CN"/>
        </w:rPr>
        <w:t xml:space="preserve"> </w:t>
      </w:r>
      <w:r w:rsidR="00F11235">
        <w:rPr>
          <w:rFonts w:eastAsiaTheme="minorEastAsia" w:hint="eastAsia"/>
          <w:szCs w:val="20"/>
          <w:lang w:eastAsia="zh-CN"/>
        </w:rPr>
        <w:t>last</w:t>
      </w:r>
      <w:r w:rsidR="00182070" w:rsidRPr="00A54C38">
        <w:rPr>
          <w:szCs w:val="20"/>
        </w:rPr>
        <w:t xml:space="preserve"> year</w:t>
      </w:r>
      <w:r w:rsidR="00231024">
        <w:rPr>
          <w:rFonts w:eastAsiaTheme="minorEastAsia" w:hint="eastAsia"/>
          <w:szCs w:val="20"/>
          <w:lang w:eastAsia="zh-CN"/>
        </w:rPr>
        <w:t xml:space="preserve"> (the questionnaire was released in April 2012)</w:t>
      </w:r>
      <w:r w:rsidR="00182070" w:rsidRPr="00A54C38">
        <w:rPr>
          <w:szCs w:val="20"/>
        </w:rPr>
        <w:t>.</w:t>
      </w:r>
      <w:r w:rsidR="00182070">
        <w:rPr>
          <w:szCs w:val="20"/>
        </w:rPr>
        <w:t xml:space="preserve"> </w:t>
      </w:r>
    </w:p>
    <w:p w:rsidR="00522183" w:rsidRDefault="00522183" w:rsidP="00053A46">
      <w:pPr>
        <w:spacing w:line="240" w:lineRule="auto"/>
        <w:rPr>
          <w:szCs w:val="20"/>
        </w:rPr>
      </w:pPr>
    </w:p>
    <w:p w:rsidR="00522183" w:rsidRPr="00A54C38" w:rsidRDefault="00522183" w:rsidP="00053A46">
      <w:pPr>
        <w:spacing w:line="240" w:lineRule="auto"/>
        <w:rPr>
          <w:szCs w:val="20"/>
        </w:rPr>
      </w:pPr>
      <w:r>
        <w:rPr>
          <w:szCs w:val="20"/>
        </w:rPr>
        <w:t xml:space="preserve">56.6% of respondents believe that removing the ceiling for deposit interest rates </w:t>
      </w:r>
      <w:r w:rsidR="00D731D9">
        <w:rPr>
          <w:rFonts w:eastAsiaTheme="minorEastAsia" w:hint="eastAsia"/>
          <w:szCs w:val="20"/>
          <w:lang w:eastAsia="zh-CN"/>
        </w:rPr>
        <w:t>has</w:t>
      </w:r>
      <w:r>
        <w:rPr>
          <w:szCs w:val="20"/>
        </w:rPr>
        <w:t xml:space="preserve"> a</w:t>
      </w:r>
      <w:r w:rsidR="00305961">
        <w:rPr>
          <w:rFonts w:eastAsiaTheme="minorEastAsia" w:hint="eastAsia"/>
          <w:szCs w:val="20"/>
          <w:lang w:eastAsia="zh-CN"/>
        </w:rPr>
        <w:t xml:space="preserve"> </w:t>
      </w:r>
      <w:r>
        <w:rPr>
          <w:szCs w:val="20"/>
        </w:rPr>
        <w:t>negative impact</w:t>
      </w:r>
      <w:r w:rsidR="00305961">
        <w:rPr>
          <w:rFonts w:eastAsiaTheme="minorEastAsia" w:hint="eastAsia"/>
          <w:szCs w:val="20"/>
          <w:lang w:eastAsia="zh-CN"/>
        </w:rPr>
        <w:t xml:space="preserve"> on </w:t>
      </w:r>
      <w:r w:rsidR="000313DF">
        <w:rPr>
          <w:rFonts w:eastAsiaTheme="minorEastAsia" w:hint="eastAsia"/>
          <w:szCs w:val="20"/>
          <w:lang w:eastAsia="zh-CN"/>
        </w:rPr>
        <w:t>banks</w:t>
      </w:r>
      <w:r w:rsidR="00D731D9">
        <w:rPr>
          <w:rFonts w:eastAsiaTheme="minorEastAsia" w:hint="eastAsia"/>
          <w:szCs w:val="20"/>
          <w:lang w:eastAsia="zh-CN"/>
        </w:rPr>
        <w:t>.</w:t>
      </w:r>
    </w:p>
    <w:p w:rsidR="00522183" w:rsidRPr="00A54C38" w:rsidRDefault="00522183" w:rsidP="00053A46">
      <w:pPr>
        <w:spacing w:line="240" w:lineRule="auto"/>
        <w:rPr>
          <w:szCs w:val="20"/>
        </w:rPr>
      </w:pPr>
    </w:p>
    <w:p w:rsidR="00522183" w:rsidRPr="00A54C38" w:rsidRDefault="00522183" w:rsidP="00053A46">
      <w:pPr>
        <w:spacing w:line="240" w:lineRule="auto"/>
        <w:rPr>
          <w:szCs w:val="20"/>
        </w:rPr>
      </w:pPr>
      <w:r w:rsidRPr="00A54C38">
        <w:rPr>
          <w:szCs w:val="20"/>
        </w:rPr>
        <w:t xml:space="preserve">“Bankers are </w:t>
      </w:r>
      <w:r w:rsidR="00176C10">
        <w:rPr>
          <w:rFonts w:eastAsiaTheme="minorEastAsia" w:hint="eastAsia"/>
          <w:szCs w:val="20"/>
          <w:lang w:eastAsia="zh-CN"/>
        </w:rPr>
        <w:t xml:space="preserve">developing </w:t>
      </w:r>
      <w:r w:rsidRPr="00A54C38">
        <w:rPr>
          <w:szCs w:val="20"/>
        </w:rPr>
        <w:t xml:space="preserve">a </w:t>
      </w:r>
      <w:r w:rsidR="000313DF">
        <w:rPr>
          <w:rFonts w:eastAsiaTheme="minorEastAsia" w:hint="eastAsia"/>
          <w:szCs w:val="20"/>
          <w:lang w:eastAsia="zh-CN"/>
        </w:rPr>
        <w:t>series</w:t>
      </w:r>
      <w:r w:rsidRPr="00A54C38">
        <w:rPr>
          <w:szCs w:val="20"/>
        </w:rPr>
        <w:t xml:space="preserve"> of measures in response to the</w:t>
      </w:r>
      <w:r w:rsidR="00756820">
        <w:rPr>
          <w:szCs w:val="20"/>
        </w:rPr>
        <w:t xml:space="preserve"> </w:t>
      </w:r>
      <w:r w:rsidR="00176C10">
        <w:rPr>
          <w:rFonts w:eastAsiaTheme="minorEastAsia" w:hint="eastAsia"/>
          <w:szCs w:val="20"/>
          <w:lang w:eastAsia="zh-CN"/>
        </w:rPr>
        <w:t>challenges</w:t>
      </w:r>
      <w:r w:rsidRPr="00A54C38">
        <w:rPr>
          <w:szCs w:val="20"/>
        </w:rPr>
        <w:t xml:space="preserve">. The measures include </w:t>
      </w:r>
      <w:r w:rsidR="00756820">
        <w:rPr>
          <w:szCs w:val="20"/>
        </w:rPr>
        <w:t xml:space="preserve">expanding </w:t>
      </w:r>
      <w:r w:rsidR="00F95DA8">
        <w:rPr>
          <w:rFonts w:eastAsiaTheme="minorEastAsia" w:hint="eastAsia"/>
          <w:szCs w:val="20"/>
          <w:lang w:eastAsia="zh-CN"/>
        </w:rPr>
        <w:t xml:space="preserve">high margin SME (Small </w:t>
      </w:r>
      <w:r w:rsidR="00F95DA8">
        <w:rPr>
          <w:rFonts w:eastAsiaTheme="minorEastAsia"/>
          <w:szCs w:val="20"/>
          <w:lang w:eastAsia="zh-CN"/>
        </w:rPr>
        <w:t xml:space="preserve">and Micro </w:t>
      </w:r>
      <w:r w:rsidR="00F95DA8">
        <w:rPr>
          <w:rFonts w:eastAsiaTheme="minorEastAsia" w:hint="eastAsia"/>
          <w:szCs w:val="20"/>
          <w:lang w:eastAsia="zh-CN"/>
        </w:rPr>
        <w:t>Enterprise</w:t>
      </w:r>
      <w:r w:rsidR="00D41DE9">
        <w:rPr>
          <w:rFonts w:eastAsiaTheme="minorEastAsia"/>
          <w:szCs w:val="20"/>
          <w:lang w:eastAsia="zh-CN"/>
        </w:rPr>
        <w:t>s</w:t>
      </w:r>
      <w:r w:rsidR="009F3489">
        <w:rPr>
          <w:rFonts w:eastAsiaTheme="minorEastAsia" w:hint="eastAsia"/>
          <w:szCs w:val="20"/>
          <w:lang w:eastAsia="zh-CN"/>
        </w:rPr>
        <w:t>) loans</w:t>
      </w:r>
      <w:r w:rsidR="00756820">
        <w:rPr>
          <w:szCs w:val="20"/>
        </w:rPr>
        <w:t>;</w:t>
      </w:r>
      <w:r w:rsidR="009F3489">
        <w:rPr>
          <w:rFonts w:eastAsiaTheme="minorEastAsia" w:hint="eastAsia"/>
          <w:szCs w:val="20"/>
          <w:lang w:eastAsia="zh-CN"/>
        </w:rPr>
        <w:t xml:space="preserve"> increasing low cost </w:t>
      </w:r>
      <w:r w:rsidR="006653F7">
        <w:rPr>
          <w:rFonts w:eastAsiaTheme="minorEastAsia" w:hint="eastAsia"/>
          <w:szCs w:val="20"/>
          <w:lang w:eastAsia="zh-CN"/>
        </w:rPr>
        <w:t>customer deposits</w:t>
      </w:r>
      <w:r w:rsidR="001C3A16">
        <w:rPr>
          <w:szCs w:val="20"/>
        </w:rPr>
        <w:t xml:space="preserve">; </w:t>
      </w:r>
      <w:r w:rsidR="00756820">
        <w:rPr>
          <w:szCs w:val="20"/>
        </w:rPr>
        <w:t xml:space="preserve">and </w:t>
      </w:r>
      <w:r w:rsidR="000B5033">
        <w:rPr>
          <w:rFonts w:eastAsiaTheme="minorEastAsia"/>
          <w:szCs w:val="20"/>
          <w:lang w:eastAsia="zh-CN"/>
        </w:rPr>
        <w:t>optimising</w:t>
      </w:r>
      <w:r w:rsidR="009F3489">
        <w:rPr>
          <w:rFonts w:eastAsiaTheme="minorEastAsia" w:hint="eastAsia"/>
          <w:szCs w:val="20"/>
          <w:lang w:eastAsia="zh-CN"/>
        </w:rPr>
        <w:t xml:space="preserve"> capital deployment</w:t>
      </w:r>
      <w:r w:rsidR="006653F7">
        <w:rPr>
          <w:rFonts w:eastAsiaTheme="minorEastAsia" w:hint="eastAsia"/>
          <w:szCs w:val="20"/>
          <w:lang w:eastAsia="zh-CN"/>
        </w:rPr>
        <w:t xml:space="preserve"> through fee based business activities</w:t>
      </w:r>
      <w:r w:rsidRPr="00A54C38">
        <w:rPr>
          <w:szCs w:val="20"/>
        </w:rPr>
        <w:t>.” sa</w:t>
      </w:r>
      <w:r w:rsidR="00961367">
        <w:rPr>
          <w:szCs w:val="20"/>
        </w:rPr>
        <w:t>id</w:t>
      </w:r>
      <w:r w:rsidRPr="00A54C38">
        <w:rPr>
          <w:szCs w:val="20"/>
        </w:rPr>
        <w:t xml:space="preserve"> Raymond Yung, PwC Financial Services Leader for China.</w:t>
      </w:r>
    </w:p>
    <w:p w:rsidR="00522183" w:rsidRPr="00A54C38" w:rsidRDefault="00522183" w:rsidP="00053A46">
      <w:pPr>
        <w:spacing w:line="240" w:lineRule="auto"/>
        <w:rPr>
          <w:szCs w:val="20"/>
        </w:rPr>
      </w:pPr>
    </w:p>
    <w:p w:rsidR="00FB3A2E" w:rsidRPr="000313DF" w:rsidRDefault="000313DF" w:rsidP="00053A46">
      <w:pPr>
        <w:spacing w:line="240" w:lineRule="auto"/>
        <w:rPr>
          <w:rFonts w:eastAsiaTheme="minorEastAsia"/>
          <w:b/>
          <w:szCs w:val="20"/>
          <w:lang w:eastAsia="zh-CN"/>
        </w:rPr>
      </w:pPr>
      <w:r>
        <w:rPr>
          <w:rFonts w:eastAsiaTheme="minorEastAsia" w:hint="eastAsia"/>
          <w:b/>
          <w:szCs w:val="20"/>
          <w:lang w:eastAsia="zh-CN"/>
        </w:rPr>
        <w:t>Strategic transformation speeds up</w:t>
      </w:r>
    </w:p>
    <w:p w:rsidR="00E07ACC" w:rsidRDefault="00E07ACC" w:rsidP="00053A46">
      <w:pPr>
        <w:spacing w:line="240" w:lineRule="auto"/>
        <w:rPr>
          <w:rFonts w:eastAsiaTheme="minorEastAsia"/>
          <w:lang w:eastAsia="zh-CN"/>
        </w:rPr>
      </w:pPr>
      <w:r>
        <w:rPr>
          <w:rFonts w:eastAsiaTheme="minorEastAsia" w:hint="eastAsia"/>
          <w:lang w:eastAsia="zh-CN"/>
        </w:rPr>
        <w:t>According to the survey, 41.2</w:t>
      </w:r>
      <w:r w:rsidR="000313DF">
        <w:rPr>
          <w:rFonts w:eastAsiaTheme="minorEastAsia" w:hint="eastAsia"/>
          <w:lang w:eastAsia="zh-CN"/>
        </w:rPr>
        <w:t xml:space="preserve">% of the bankers surveyed choose to </w:t>
      </w:r>
      <w:r>
        <w:rPr>
          <w:rFonts w:eastAsiaTheme="minorEastAsia" w:hint="eastAsia"/>
          <w:lang w:eastAsia="zh-CN"/>
        </w:rPr>
        <w:t>diversify business into other types of financial services. 33.9% and 29.4% of the bankers decide to adjust business structure and customer structure respectively as the keys to their strategic transformation.</w:t>
      </w:r>
    </w:p>
    <w:p w:rsidR="00E07ACC" w:rsidRDefault="00E07ACC" w:rsidP="00053A46">
      <w:pPr>
        <w:spacing w:line="240" w:lineRule="auto"/>
        <w:rPr>
          <w:rFonts w:eastAsiaTheme="minorEastAsia"/>
          <w:lang w:eastAsia="zh-CN"/>
        </w:rPr>
      </w:pPr>
    </w:p>
    <w:p w:rsidR="00FB3A2E" w:rsidRPr="00151D4F" w:rsidRDefault="000313DF" w:rsidP="00053A46">
      <w:pPr>
        <w:spacing w:line="240" w:lineRule="auto"/>
        <w:rPr>
          <w:rFonts w:eastAsiaTheme="minorEastAsia"/>
          <w:szCs w:val="20"/>
          <w:lang w:eastAsia="zh-CN"/>
        </w:rPr>
      </w:pPr>
      <w:r>
        <w:rPr>
          <w:rFonts w:eastAsiaTheme="minorEastAsia" w:hint="eastAsia"/>
          <w:lang w:eastAsia="zh-CN"/>
        </w:rPr>
        <w:t>Compared to 2011, t</w:t>
      </w:r>
      <w:r w:rsidR="00151D4F">
        <w:rPr>
          <w:rFonts w:eastAsiaTheme="minorEastAsia" w:hint="eastAsia"/>
          <w:lang w:eastAsia="zh-CN"/>
        </w:rPr>
        <w:t>here</w:t>
      </w:r>
      <w:r w:rsidR="00FB3A2E">
        <w:t xml:space="preserve"> has been </w:t>
      </w:r>
      <w:r w:rsidR="000C1CD3">
        <w:rPr>
          <w:rFonts w:eastAsiaTheme="minorEastAsia" w:hint="eastAsia"/>
          <w:lang w:eastAsia="zh-CN"/>
        </w:rPr>
        <w:t>a</w:t>
      </w:r>
      <w:r w:rsidR="001321FA">
        <w:rPr>
          <w:rFonts w:eastAsiaTheme="minorEastAsia" w:hint="eastAsia"/>
          <w:lang w:eastAsia="zh-CN"/>
        </w:rPr>
        <w:t xml:space="preserve"> significant</w:t>
      </w:r>
      <w:r w:rsidR="00FB3A2E">
        <w:t xml:space="preserve"> growth in wealth management</w:t>
      </w:r>
      <w:r w:rsidR="00151D4F">
        <w:rPr>
          <w:rFonts w:eastAsiaTheme="minorEastAsia" w:hint="eastAsia"/>
          <w:lang w:eastAsia="zh-CN"/>
        </w:rPr>
        <w:t xml:space="preserve"> business</w:t>
      </w:r>
      <w:r w:rsidR="00D731D9">
        <w:rPr>
          <w:rFonts w:eastAsiaTheme="minorEastAsia" w:hint="eastAsia"/>
          <w:szCs w:val="20"/>
          <w:lang w:eastAsia="zh-CN"/>
        </w:rPr>
        <w:t xml:space="preserve">, </w:t>
      </w:r>
      <w:r w:rsidR="000B5033">
        <w:rPr>
          <w:rFonts w:eastAsiaTheme="minorEastAsia"/>
          <w:szCs w:val="20"/>
          <w:lang w:eastAsia="zh-CN"/>
        </w:rPr>
        <w:t xml:space="preserve">primarily </w:t>
      </w:r>
      <w:r w:rsidR="00D731D9">
        <w:rPr>
          <w:rFonts w:eastAsiaTheme="minorEastAsia" w:hint="eastAsia"/>
          <w:szCs w:val="20"/>
          <w:lang w:eastAsia="zh-CN"/>
        </w:rPr>
        <w:t xml:space="preserve">because </w:t>
      </w:r>
      <w:r w:rsidR="00053A46">
        <w:rPr>
          <w:rFonts w:eastAsiaTheme="minorEastAsia"/>
          <w:szCs w:val="20"/>
          <w:lang w:eastAsia="zh-CN"/>
        </w:rPr>
        <w:t>of increased</w:t>
      </w:r>
      <w:r w:rsidR="00FB3A2E" w:rsidRPr="00A54C38">
        <w:rPr>
          <w:szCs w:val="20"/>
        </w:rPr>
        <w:t xml:space="preserve"> competition </w:t>
      </w:r>
      <w:r w:rsidR="000C1CD3">
        <w:rPr>
          <w:rFonts w:eastAsiaTheme="minorEastAsia" w:hint="eastAsia"/>
          <w:szCs w:val="20"/>
          <w:lang w:eastAsia="zh-CN"/>
        </w:rPr>
        <w:t xml:space="preserve">for </w:t>
      </w:r>
      <w:r w:rsidR="000C1CD3">
        <w:rPr>
          <w:rFonts w:eastAsiaTheme="minorEastAsia"/>
          <w:szCs w:val="20"/>
          <w:lang w:eastAsia="zh-CN"/>
        </w:rPr>
        <w:t>customer</w:t>
      </w:r>
      <w:r w:rsidR="000C1CD3">
        <w:rPr>
          <w:rFonts w:eastAsiaTheme="minorEastAsia" w:hint="eastAsia"/>
          <w:szCs w:val="20"/>
          <w:lang w:eastAsia="zh-CN"/>
        </w:rPr>
        <w:t xml:space="preserve"> deposits</w:t>
      </w:r>
      <w:r w:rsidR="000B5033">
        <w:rPr>
          <w:rFonts w:eastAsiaTheme="minorEastAsia"/>
          <w:szCs w:val="20"/>
          <w:lang w:eastAsia="zh-CN"/>
        </w:rPr>
        <w:t>;</w:t>
      </w:r>
      <w:r w:rsidR="000C1CD3">
        <w:rPr>
          <w:rFonts w:eastAsiaTheme="minorEastAsia" w:hint="eastAsia"/>
          <w:szCs w:val="20"/>
          <w:lang w:eastAsia="zh-CN"/>
        </w:rPr>
        <w:t xml:space="preserve"> tightened monitoring of credit extension</w:t>
      </w:r>
      <w:r w:rsidR="000B5033">
        <w:rPr>
          <w:rFonts w:eastAsiaTheme="minorEastAsia"/>
          <w:szCs w:val="20"/>
          <w:lang w:eastAsia="zh-CN"/>
        </w:rPr>
        <w:t>;</w:t>
      </w:r>
      <w:r w:rsidR="000C1CD3">
        <w:rPr>
          <w:rFonts w:eastAsiaTheme="minorEastAsia" w:hint="eastAsia"/>
          <w:szCs w:val="20"/>
          <w:lang w:eastAsia="zh-CN"/>
        </w:rPr>
        <w:t xml:space="preserve"> capital adequacy and </w:t>
      </w:r>
      <w:r w:rsidR="00FB3A2E" w:rsidRPr="00A54C38">
        <w:rPr>
          <w:szCs w:val="20"/>
        </w:rPr>
        <w:t>loan-to-deposit ratio</w:t>
      </w:r>
      <w:r w:rsidR="000C1CD3">
        <w:rPr>
          <w:rFonts w:eastAsiaTheme="minorEastAsia" w:hint="eastAsia"/>
          <w:szCs w:val="20"/>
          <w:lang w:eastAsia="zh-CN"/>
        </w:rPr>
        <w:t xml:space="preserve"> </w:t>
      </w:r>
      <w:r w:rsidR="000B5033">
        <w:rPr>
          <w:rFonts w:eastAsiaTheme="minorEastAsia"/>
          <w:szCs w:val="20"/>
          <w:lang w:eastAsia="zh-CN"/>
        </w:rPr>
        <w:t xml:space="preserve">constraints imposed </w:t>
      </w:r>
      <w:r w:rsidR="000C1CD3">
        <w:rPr>
          <w:rFonts w:eastAsiaTheme="minorEastAsia" w:hint="eastAsia"/>
          <w:szCs w:val="20"/>
          <w:lang w:eastAsia="zh-CN"/>
        </w:rPr>
        <w:t xml:space="preserve">by the </w:t>
      </w:r>
      <w:r w:rsidR="000C1CD3">
        <w:rPr>
          <w:rFonts w:eastAsiaTheme="minorEastAsia"/>
          <w:szCs w:val="20"/>
          <w:lang w:eastAsia="zh-CN"/>
        </w:rPr>
        <w:t>regulators</w:t>
      </w:r>
      <w:r w:rsidR="000B5033">
        <w:rPr>
          <w:rFonts w:eastAsiaTheme="minorEastAsia"/>
          <w:szCs w:val="20"/>
          <w:lang w:eastAsia="zh-CN"/>
        </w:rPr>
        <w:t>;</w:t>
      </w:r>
      <w:r w:rsidR="000C1CD3">
        <w:rPr>
          <w:rFonts w:eastAsiaTheme="minorEastAsia" w:hint="eastAsia"/>
          <w:szCs w:val="20"/>
          <w:lang w:eastAsia="zh-CN"/>
        </w:rPr>
        <w:t xml:space="preserve"> and a</w:t>
      </w:r>
      <w:r w:rsidR="000B5033">
        <w:rPr>
          <w:rFonts w:eastAsiaTheme="minorEastAsia"/>
          <w:szCs w:val="20"/>
          <w:lang w:eastAsia="zh-CN"/>
        </w:rPr>
        <w:t xml:space="preserve"> general </w:t>
      </w:r>
      <w:r w:rsidR="000C1CD3">
        <w:rPr>
          <w:rFonts w:eastAsiaTheme="minorEastAsia" w:hint="eastAsia"/>
          <w:szCs w:val="20"/>
          <w:lang w:eastAsia="zh-CN"/>
        </w:rPr>
        <w:t xml:space="preserve">shortage of </w:t>
      </w:r>
      <w:r w:rsidR="00FB3A2E" w:rsidRPr="00A54C38">
        <w:rPr>
          <w:szCs w:val="20"/>
        </w:rPr>
        <w:t xml:space="preserve">other investment </w:t>
      </w:r>
      <w:r w:rsidR="000B5033">
        <w:rPr>
          <w:szCs w:val="20"/>
        </w:rPr>
        <w:t>products and channels</w:t>
      </w:r>
      <w:r w:rsidR="00FB3A2E" w:rsidRPr="00A54C38">
        <w:rPr>
          <w:szCs w:val="20"/>
        </w:rPr>
        <w:t xml:space="preserve">. </w:t>
      </w:r>
      <w:r w:rsidR="00D731D9">
        <w:rPr>
          <w:rFonts w:eastAsiaTheme="minorEastAsia" w:hint="eastAsia"/>
          <w:szCs w:val="20"/>
          <w:lang w:eastAsia="zh-CN"/>
        </w:rPr>
        <w:t>T</w:t>
      </w:r>
      <w:r w:rsidR="00FB3A2E" w:rsidRPr="00A54C38">
        <w:rPr>
          <w:szCs w:val="20"/>
        </w:rPr>
        <w:t>he bankers surveyed</w:t>
      </w:r>
      <w:r w:rsidR="00D731D9">
        <w:rPr>
          <w:rFonts w:eastAsiaTheme="minorEastAsia" w:hint="eastAsia"/>
          <w:szCs w:val="20"/>
          <w:lang w:eastAsia="zh-CN"/>
        </w:rPr>
        <w:t xml:space="preserve"> expressed strong support</w:t>
      </w:r>
      <w:r w:rsidR="00FB3A2E" w:rsidRPr="00A54C38">
        <w:rPr>
          <w:szCs w:val="20"/>
        </w:rPr>
        <w:t xml:space="preserve"> o</w:t>
      </w:r>
      <w:r w:rsidR="00D731D9">
        <w:rPr>
          <w:rFonts w:eastAsiaTheme="minorEastAsia" w:hint="eastAsia"/>
          <w:szCs w:val="20"/>
          <w:lang w:eastAsia="zh-CN"/>
        </w:rPr>
        <w:t>n</w:t>
      </w:r>
      <w:r w:rsidR="00FB3A2E" w:rsidRPr="00A54C38">
        <w:rPr>
          <w:szCs w:val="20"/>
        </w:rPr>
        <w:t xml:space="preserve"> expanding wealth management business (80%).</w:t>
      </w:r>
    </w:p>
    <w:p w:rsidR="00FB3A2E" w:rsidRDefault="00FB3A2E" w:rsidP="00053A46">
      <w:pPr>
        <w:spacing w:line="240" w:lineRule="auto"/>
        <w:rPr>
          <w:szCs w:val="20"/>
        </w:rPr>
      </w:pPr>
    </w:p>
    <w:p w:rsidR="00592516" w:rsidRDefault="00E07ACC" w:rsidP="00053A46">
      <w:pPr>
        <w:spacing w:line="240" w:lineRule="auto"/>
        <w:rPr>
          <w:rFonts w:eastAsiaTheme="minorEastAsia"/>
          <w:szCs w:val="20"/>
          <w:lang w:eastAsia="zh-CN"/>
        </w:rPr>
      </w:pPr>
      <w:r>
        <w:rPr>
          <w:rFonts w:eastAsiaTheme="minorEastAsia" w:hint="eastAsia"/>
          <w:szCs w:val="20"/>
          <w:lang w:eastAsia="zh-CN"/>
        </w:rPr>
        <w:t>The</w:t>
      </w:r>
      <w:r w:rsidR="00FB3A2E">
        <w:rPr>
          <w:szCs w:val="20"/>
        </w:rPr>
        <w:t xml:space="preserve"> potential risks and issues underlying the rapid development of wealth management </w:t>
      </w:r>
      <w:r w:rsidR="006B0228">
        <w:rPr>
          <w:rFonts w:eastAsiaTheme="minorEastAsia" w:hint="eastAsia"/>
          <w:szCs w:val="20"/>
          <w:lang w:eastAsia="zh-CN"/>
        </w:rPr>
        <w:t>business</w:t>
      </w:r>
      <w:r w:rsidR="006B0228">
        <w:rPr>
          <w:szCs w:val="20"/>
        </w:rPr>
        <w:t xml:space="preserve"> </w:t>
      </w:r>
      <w:r w:rsidR="00FB3A2E">
        <w:rPr>
          <w:szCs w:val="20"/>
        </w:rPr>
        <w:t>have attracted the attention of the respondents</w:t>
      </w:r>
      <w:r w:rsidR="006B0228">
        <w:rPr>
          <w:rFonts w:eastAsiaTheme="minorEastAsia" w:hint="eastAsia"/>
          <w:szCs w:val="20"/>
          <w:lang w:eastAsia="zh-CN"/>
        </w:rPr>
        <w:t xml:space="preserve">. </w:t>
      </w:r>
      <w:r w:rsidR="006B0228">
        <w:rPr>
          <w:szCs w:val="20"/>
        </w:rPr>
        <w:t xml:space="preserve">The survey also shows that 50.9% of bankers believe that </w:t>
      </w:r>
      <w:r w:rsidR="00592516">
        <w:rPr>
          <w:rFonts w:eastAsiaTheme="minorEastAsia" w:hint="eastAsia"/>
          <w:szCs w:val="20"/>
          <w:lang w:eastAsia="zh-CN"/>
        </w:rPr>
        <w:t xml:space="preserve">since </w:t>
      </w:r>
      <w:r w:rsidR="00226BFB">
        <w:rPr>
          <w:rFonts w:eastAsiaTheme="minorEastAsia" w:hint="eastAsia"/>
          <w:szCs w:val="20"/>
          <w:lang w:eastAsia="zh-CN"/>
        </w:rPr>
        <w:t xml:space="preserve">the </w:t>
      </w:r>
      <w:r w:rsidR="001321FA">
        <w:rPr>
          <w:rFonts w:eastAsiaTheme="minorEastAsia" w:hint="eastAsia"/>
          <w:szCs w:val="20"/>
          <w:lang w:eastAsia="zh-CN"/>
        </w:rPr>
        <w:t>significant</w:t>
      </w:r>
      <w:r w:rsidR="00226BFB">
        <w:rPr>
          <w:rFonts w:eastAsiaTheme="minorEastAsia" w:hint="eastAsia"/>
          <w:szCs w:val="20"/>
          <w:lang w:eastAsia="zh-CN"/>
        </w:rPr>
        <w:t xml:space="preserve"> growth</w:t>
      </w:r>
      <w:r w:rsidR="006B0228">
        <w:rPr>
          <w:szCs w:val="20"/>
        </w:rPr>
        <w:t xml:space="preserve"> </w:t>
      </w:r>
      <w:r w:rsidR="00226BFB">
        <w:rPr>
          <w:rFonts w:eastAsiaTheme="minorEastAsia" w:hint="eastAsia"/>
          <w:szCs w:val="20"/>
          <w:lang w:eastAsia="zh-CN"/>
        </w:rPr>
        <w:t xml:space="preserve">has </w:t>
      </w:r>
      <w:r w:rsidR="006B0228">
        <w:rPr>
          <w:szCs w:val="20"/>
        </w:rPr>
        <w:t>resul</w:t>
      </w:r>
      <w:r w:rsidR="00226BFB">
        <w:rPr>
          <w:rFonts w:eastAsiaTheme="minorEastAsia" w:hint="eastAsia"/>
          <w:szCs w:val="20"/>
          <w:lang w:eastAsia="zh-CN"/>
        </w:rPr>
        <w:t>ted</w:t>
      </w:r>
      <w:r w:rsidR="006B0228">
        <w:rPr>
          <w:szCs w:val="20"/>
        </w:rPr>
        <w:t xml:space="preserve"> in </w:t>
      </w:r>
      <w:r w:rsidR="00226BFB">
        <w:rPr>
          <w:rFonts w:eastAsiaTheme="minorEastAsia" w:hint="eastAsia"/>
          <w:szCs w:val="20"/>
          <w:lang w:eastAsia="zh-CN"/>
        </w:rPr>
        <w:t xml:space="preserve">a </w:t>
      </w:r>
      <w:r w:rsidR="006B0228">
        <w:rPr>
          <w:szCs w:val="20"/>
        </w:rPr>
        <w:t xml:space="preserve">high </w:t>
      </w:r>
      <w:r w:rsidR="00226BFB">
        <w:rPr>
          <w:rFonts w:eastAsiaTheme="minorEastAsia" w:hint="eastAsia"/>
          <w:szCs w:val="20"/>
          <w:lang w:eastAsia="zh-CN"/>
        </w:rPr>
        <w:t>volume</w:t>
      </w:r>
      <w:r w:rsidR="006B0228">
        <w:rPr>
          <w:szCs w:val="20"/>
        </w:rPr>
        <w:t xml:space="preserve"> of off-balance sheet assets</w:t>
      </w:r>
      <w:r w:rsidR="00226BFB">
        <w:rPr>
          <w:rFonts w:eastAsiaTheme="minorEastAsia" w:hint="eastAsia"/>
          <w:szCs w:val="20"/>
          <w:lang w:eastAsia="zh-CN"/>
        </w:rPr>
        <w:t xml:space="preserve"> (and liabilities)</w:t>
      </w:r>
      <w:r w:rsidR="006B0228">
        <w:rPr>
          <w:szCs w:val="20"/>
        </w:rPr>
        <w:t xml:space="preserve">, </w:t>
      </w:r>
      <w:r w:rsidR="00592516">
        <w:rPr>
          <w:rFonts w:eastAsiaTheme="minorEastAsia" w:hint="eastAsia"/>
          <w:szCs w:val="20"/>
          <w:lang w:eastAsia="zh-CN"/>
        </w:rPr>
        <w:t xml:space="preserve">a </w:t>
      </w:r>
      <w:r w:rsidR="000B5033">
        <w:rPr>
          <w:rFonts w:eastAsiaTheme="minorEastAsia"/>
          <w:szCs w:val="20"/>
          <w:lang w:eastAsia="zh-CN"/>
        </w:rPr>
        <w:t xml:space="preserve">decline in the </w:t>
      </w:r>
      <w:r w:rsidR="00592516">
        <w:rPr>
          <w:rFonts w:eastAsiaTheme="minorEastAsia" w:hint="eastAsia"/>
          <w:szCs w:val="20"/>
          <w:lang w:eastAsia="zh-CN"/>
        </w:rPr>
        <w:t>quality of these underlying assets could impact the steady operation</w:t>
      </w:r>
      <w:r w:rsidR="000B5033">
        <w:rPr>
          <w:rFonts w:eastAsiaTheme="minorEastAsia"/>
          <w:szCs w:val="20"/>
          <w:lang w:eastAsia="zh-CN"/>
        </w:rPr>
        <w:t xml:space="preserve"> and reputation</w:t>
      </w:r>
      <w:r w:rsidR="00592516">
        <w:rPr>
          <w:rFonts w:eastAsiaTheme="minorEastAsia" w:hint="eastAsia"/>
          <w:szCs w:val="20"/>
          <w:lang w:eastAsia="zh-CN"/>
        </w:rPr>
        <w:t xml:space="preserve"> of the banks.</w:t>
      </w:r>
      <w:r w:rsidR="000313DF">
        <w:rPr>
          <w:rFonts w:eastAsiaTheme="minorEastAsia" w:hint="eastAsia"/>
          <w:szCs w:val="20"/>
          <w:lang w:eastAsia="zh-CN"/>
        </w:rPr>
        <w:t xml:space="preserve">  </w:t>
      </w:r>
      <w:r>
        <w:rPr>
          <w:rFonts w:eastAsiaTheme="minorEastAsia" w:hint="eastAsia"/>
          <w:szCs w:val="20"/>
          <w:lang w:eastAsia="zh-CN"/>
        </w:rPr>
        <w:t>They</w:t>
      </w:r>
      <w:r w:rsidR="000313DF">
        <w:rPr>
          <w:rFonts w:eastAsiaTheme="minorEastAsia" w:hint="eastAsia"/>
          <w:szCs w:val="20"/>
          <w:lang w:eastAsia="zh-CN"/>
        </w:rPr>
        <w:t xml:space="preserve"> welcome more guidance from the regulators in this respect.</w:t>
      </w:r>
    </w:p>
    <w:p w:rsidR="00FB3A2E" w:rsidRDefault="00FB3A2E" w:rsidP="00053A46">
      <w:pPr>
        <w:spacing w:line="240" w:lineRule="auto"/>
        <w:rPr>
          <w:szCs w:val="20"/>
        </w:rPr>
      </w:pPr>
    </w:p>
    <w:p w:rsidR="001E5A56" w:rsidRDefault="000313DF" w:rsidP="00053A46">
      <w:pPr>
        <w:spacing w:line="240" w:lineRule="auto"/>
        <w:rPr>
          <w:rFonts w:eastAsiaTheme="minorEastAsia"/>
          <w:szCs w:val="20"/>
          <w:lang w:eastAsia="zh-CN"/>
        </w:rPr>
      </w:pPr>
      <w:r>
        <w:rPr>
          <w:rFonts w:eastAsiaTheme="minorEastAsia" w:hint="eastAsia"/>
          <w:szCs w:val="20"/>
          <w:lang w:eastAsia="zh-CN"/>
        </w:rPr>
        <w:t>The b</w:t>
      </w:r>
      <w:r w:rsidR="00FB3A2E" w:rsidRPr="001903C9">
        <w:rPr>
          <w:szCs w:val="20"/>
        </w:rPr>
        <w:t>ankers</w:t>
      </w:r>
      <w:r w:rsidR="001321FA">
        <w:rPr>
          <w:rFonts w:eastAsiaTheme="minorEastAsia" w:hint="eastAsia"/>
          <w:szCs w:val="20"/>
          <w:lang w:eastAsia="zh-CN"/>
        </w:rPr>
        <w:t xml:space="preserve"> </w:t>
      </w:r>
      <w:r w:rsidR="00E07ACC">
        <w:rPr>
          <w:rFonts w:eastAsiaTheme="minorEastAsia" w:hint="eastAsia"/>
          <w:szCs w:val="20"/>
          <w:lang w:eastAsia="zh-CN"/>
        </w:rPr>
        <w:t>also</w:t>
      </w:r>
      <w:r w:rsidR="00FB3A2E" w:rsidRPr="001903C9">
        <w:rPr>
          <w:szCs w:val="20"/>
        </w:rPr>
        <w:t xml:space="preserve"> </w:t>
      </w:r>
      <w:r w:rsidR="00B90B12">
        <w:rPr>
          <w:szCs w:val="20"/>
        </w:rPr>
        <w:t>focu</w:t>
      </w:r>
      <w:r w:rsidR="001321FA">
        <w:rPr>
          <w:rFonts w:eastAsiaTheme="minorEastAsia" w:hint="eastAsia"/>
          <w:szCs w:val="20"/>
          <w:lang w:eastAsia="zh-CN"/>
        </w:rPr>
        <w:t>s</w:t>
      </w:r>
      <w:r w:rsidR="00B90B12">
        <w:rPr>
          <w:szCs w:val="20"/>
        </w:rPr>
        <w:t xml:space="preserve"> more on</w:t>
      </w:r>
      <w:r w:rsidR="00FB3A2E" w:rsidRPr="001903C9">
        <w:rPr>
          <w:szCs w:val="20"/>
        </w:rPr>
        <w:t xml:space="preserve"> SME loans</w:t>
      </w:r>
      <w:r w:rsidR="00B90B12">
        <w:rPr>
          <w:szCs w:val="20"/>
        </w:rPr>
        <w:t xml:space="preserve">, </w:t>
      </w:r>
      <w:r w:rsidR="00FB3A2E" w:rsidRPr="000E1769">
        <w:t xml:space="preserve">and </w:t>
      </w:r>
      <w:r w:rsidR="001321FA">
        <w:rPr>
          <w:rFonts w:eastAsiaTheme="minorEastAsia" w:hint="eastAsia"/>
          <w:lang w:eastAsia="zh-CN"/>
        </w:rPr>
        <w:t>develop</w:t>
      </w:r>
      <w:r w:rsidR="00B90B12">
        <w:t xml:space="preserve"> suitable credit products tailored to the </w:t>
      </w:r>
      <w:r w:rsidR="00FB3A2E" w:rsidRPr="000E1769">
        <w:t>risk characteristics</w:t>
      </w:r>
      <w:r w:rsidR="00B90B12">
        <w:t xml:space="preserve"> of the SME</w:t>
      </w:r>
      <w:r w:rsidR="00FB3A2E" w:rsidRPr="001903C9">
        <w:rPr>
          <w:szCs w:val="20"/>
        </w:rPr>
        <w:t xml:space="preserve">. </w:t>
      </w:r>
      <w:r w:rsidR="001E5A56" w:rsidRPr="00A54C38">
        <w:rPr>
          <w:szCs w:val="20"/>
        </w:rPr>
        <w:t xml:space="preserve">Survey respondents believe that </w:t>
      </w:r>
      <w:r w:rsidR="001E5A56">
        <w:rPr>
          <w:szCs w:val="20"/>
        </w:rPr>
        <w:t xml:space="preserve">despite an increase in risk, SME loans </w:t>
      </w:r>
      <w:r w:rsidR="00961367">
        <w:rPr>
          <w:rFonts w:eastAsiaTheme="minorEastAsia"/>
          <w:szCs w:val="20"/>
          <w:lang w:eastAsia="zh-CN"/>
        </w:rPr>
        <w:t>are</w:t>
      </w:r>
      <w:r w:rsidR="001E5A56">
        <w:rPr>
          <w:szCs w:val="20"/>
        </w:rPr>
        <w:t xml:space="preserve"> the</w:t>
      </w:r>
      <w:r w:rsidR="001E5A56">
        <w:rPr>
          <w:rFonts w:eastAsiaTheme="minorEastAsia" w:hint="eastAsia"/>
          <w:szCs w:val="20"/>
          <w:lang w:eastAsia="zh-CN"/>
        </w:rPr>
        <w:t xml:space="preserve"> future</w:t>
      </w:r>
      <w:r w:rsidR="001E5A56">
        <w:rPr>
          <w:szCs w:val="20"/>
        </w:rPr>
        <w:t xml:space="preserve"> focus</w:t>
      </w:r>
      <w:r w:rsidR="001E5A56">
        <w:rPr>
          <w:rFonts w:eastAsiaTheme="minorEastAsia" w:hint="eastAsia"/>
          <w:szCs w:val="20"/>
          <w:lang w:eastAsia="zh-CN"/>
        </w:rPr>
        <w:t xml:space="preserve"> of </w:t>
      </w:r>
      <w:r w:rsidR="001E5A56" w:rsidRPr="00A54C38">
        <w:rPr>
          <w:szCs w:val="20"/>
        </w:rPr>
        <w:t xml:space="preserve">corporate </w:t>
      </w:r>
      <w:r w:rsidR="001E5A56">
        <w:rPr>
          <w:szCs w:val="20"/>
        </w:rPr>
        <w:t>lending</w:t>
      </w:r>
      <w:r w:rsidR="00A2640B">
        <w:rPr>
          <w:rFonts w:eastAsiaTheme="minorEastAsia" w:hint="eastAsia"/>
          <w:szCs w:val="20"/>
          <w:lang w:eastAsia="zh-CN"/>
        </w:rPr>
        <w:t xml:space="preserve"> </w:t>
      </w:r>
      <w:r w:rsidR="001E5A56" w:rsidRPr="00A54C38">
        <w:rPr>
          <w:szCs w:val="20"/>
        </w:rPr>
        <w:t>(77.4%).</w:t>
      </w:r>
      <w:r w:rsidR="001E5A56">
        <w:rPr>
          <w:szCs w:val="20"/>
        </w:rPr>
        <w:t xml:space="preserve"> </w:t>
      </w:r>
    </w:p>
    <w:p w:rsidR="001E5A56" w:rsidRPr="001E5A56" w:rsidRDefault="001E5A56" w:rsidP="00053A46">
      <w:pPr>
        <w:spacing w:line="240" w:lineRule="auto"/>
        <w:rPr>
          <w:rFonts w:eastAsiaTheme="minorEastAsia"/>
          <w:szCs w:val="20"/>
          <w:lang w:eastAsia="zh-CN"/>
        </w:rPr>
      </w:pPr>
    </w:p>
    <w:p w:rsidR="00FB3A2E" w:rsidRPr="00C23695" w:rsidRDefault="00FB3A2E" w:rsidP="00053A46">
      <w:pPr>
        <w:spacing w:line="240" w:lineRule="auto"/>
      </w:pPr>
      <w:r w:rsidRPr="001903C9">
        <w:rPr>
          <w:szCs w:val="20"/>
        </w:rPr>
        <w:lastRenderedPageBreak/>
        <w:t>“The</w:t>
      </w:r>
      <w:r w:rsidRPr="00A54C38">
        <w:rPr>
          <w:szCs w:val="20"/>
        </w:rPr>
        <w:t xml:space="preserve"> Chinese banking industry </w:t>
      </w:r>
      <w:r>
        <w:rPr>
          <w:szCs w:val="20"/>
        </w:rPr>
        <w:t>is</w:t>
      </w:r>
      <w:r w:rsidRPr="00A54C38">
        <w:rPr>
          <w:szCs w:val="20"/>
        </w:rPr>
        <w:t xml:space="preserve"> vigorously develop</w:t>
      </w:r>
      <w:r w:rsidR="00B90B12">
        <w:rPr>
          <w:szCs w:val="20"/>
        </w:rPr>
        <w:t>ing</w:t>
      </w:r>
      <w:r w:rsidRPr="00A54C38">
        <w:rPr>
          <w:szCs w:val="20"/>
        </w:rPr>
        <w:t xml:space="preserve"> the SME business despite concerns on the </w:t>
      </w:r>
      <w:r w:rsidR="00B90B12">
        <w:rPr>
          <w:szCs w:val="20"/>
        </w:rPr>
        <w:t xml:space="preserve">potential higher </w:t>
      </w:r>
      <w:r w:rsidRPr="00A54C38">
        <w:rPr>
          <w:szCs w:val="20"/>
        </w:rPr>
        <w:t xml:space="preserve">rate of </w:t>
      </w:r>
      <w:r w:rsidR="00B90B12">
        <w:rPr>
          <w:szCs w:val="20"/>
        </w:rPr>
        <w:t>non-performing loans in that sector</w:t>
      </w:r>
      <w:r w:rsidR="00961367">
        <w:rPr>
          <w:szCs w:val="20"/>
        </w:rPr>
        <w:t>,</w:t>
      </w:r>
      <w:r w:rsidRPr="00A54C38">
        <w:rPr>
          <w:szCs w:val="20"/>
        </w:rPr>
        <w:t>” add</w:t>
      </w:r>
      <w:r w:rsidR="00961367">
        <w:rPr>
          <w:szCs w:val="20"/>
        </w:rPr>
        <w:t>ed</w:t>
      </w:r>
      <w:r w:rsidRPr="00A54C38">
        <w:rPr>
          <w:szCs w:val="20"/>
        </w:rPr>
        <w:t xml:space="preserve"> </w:t>
      </w:r>
      <w:r>
        <w:rPr>
          <w:szCs w:val="20"/>
        </w:rPr>
        <w:t xml:space="preserve">Mr </w:t>
      </w:r>
      <w:r w:rsidRPr="00A54C38">
        <w:rPr>
          <w:szCs w:val="20"/>
        </w:rPr>
        <w:t>Yung.</w:t>
      </w:r>
    </w:p>
    <w:p w:rsidR="00FB3A2E" w:rsidRPr="00A54C38" w:rsidRDefault="00FB3A2E" w:rsidP="00053A46">
      <w:pPr>
        <w:spacing w:line="240" w:lineRule="auto"/>
        <w:rPr>
          <w:szCs w:val="20"/>
        </w:rPr>
      </w:pPr>
    </w:p>
    <w:p w:rsidR="00FB3A2E" w:rsidRPr="00A2640B" w:rsidRDefault="00E922AA" w:rsidP="00053A46">
      <w:pPr>
        <w:tabs>
          <w:tab w:val="left" w:pos="950"/>
        </w:tabs>
        <w:spacing w:line="240" w:lineRule="auto"/>
        <w:rPr>
          <w:rFonts w:eastAsiaTheme="minorEastAsia"/>
          <w:b/>
          <w:szCs w:val="20"/>
          <w:lang w:eastAsia="zh-CN"/>
        </w:rPr>
      </w:pPr>
      <w:r>
        <w:rPr>
          <w:rFonts w:eastAsiaTheme="minorEastAsia" w:hint="eastAsia"/>
          <w:b/>
          <w:szCs w:val="20"/>
          <w:lang w:eastAsia="zh-CN"/>
        </w:rPr>
        <w:t>Servic</w:t>
      </w:r>
      <w:r w:rsidR="000B5033">
        <w:rPr>
          <w:rFonts w:eastAsiaTheme="minorEastAsia"/>
          <w:b/>
          <w:szCs w:val="20"/>
          <w:lang w:eastAsia="zh-CN"/>
        </w:rPr>
        <w:t>ing</w:t>
      </w:r>
      <w:r>
        <w:rPr>
          <w:rFonts w:eastAsiaTheme="minorEastAsia" w:hint="eastAsia"/>
          <w:b/>
          <w:szCs w:val="20"/>
          <w:lang w:eastAsia="zh-CN"/>
        </w:rPr>
        <w:t xml:space="preserve"> the real economy</w:t>
      </w:r>
    </w:p>
    <w:p w:rsidR="00FB3A2E" w:rsidRDefault="00FB3A2E" w:rsidP="00053A46">
      <w:pPr>
        <w:spacing w:line="240" w:lineRule="auto"/>
        <w:rPr>
          <w:szCs w:val="20"/>
        </w:rPr>
      </w:pPr>
      <w:r>
        <w:rPr>
          <w:szCs w:val="20"/>
        </w:rPr>
        <w:t>“With China promoting industrial and econom</w:t>
      </w:r>
      <w:r w:rsidR="009831C5">
        <w:rPr>
          <w:szCs w:val="20"/>
        </w:rPr>
        <w:t xml:space="preserve">ic restructuring simultaneously, </w:t>
      </w:r>
      <w:r>
        <w:rPr>
          <w:szCs w:val="20"/>
        </w:rPr>
        <w:t>the Chinese bank</w:t>
      </w:r>
      <w:r w:rsidR="00E922AA">
        <w:rPr>
          <w:rFonts w:eastAsiaTheme="minorEastAsia" w:hint="eastAsia"/>
          <w:szCs w:val="20"/>
          <w:lang w:eastAsia="zh-CN"/>
        </w:rPr>
        <w:t>er</w:t>
      </w:r>
      <w:r>
        <w:rPr>
          <w:szCs w:val="20"/>
        </w:rPr>
        <w:t xml:space="preserve">s think that the best measure </w:t>
      </w:r>
      <w:r w:rsidR="00A2640B">
        <w:rPr>
          <w:rFonts w:eastAsiaTheme="minorEastAsia" w:hint="eastAsia"/>
          <w:szCs w:val="20"/>
          <w:lang w:eastAsia="zh-CN"/>
        </w:rPr>
        <w:t>is</w:t>
      </w:r>
      <w:r>
        <w:rPr>
          <w:szCs w:val="20"/>
        </w:rPr>
        <w:t xml:space="preserve"> to increase support </w:t>
      </w:r>
      <w:r w:rsidR="001321FA">
        <w:rPr>
          <w:rFonts w:eastAsiaTheme="minorEastAsia" w:hint="eastAsia"/>
          <w:szCs w:val="20"/>
          <w:lang w:eastAsia="zh-CN"/>
        </w:rPr>
        <w:t>on</w:t>
      </w:r>
      <w:r>
        <w:rPr>
          <w:szCs w:val="20"/>
        </w:rPr>
        <w:t xml:space="preserve"> strategic emerging industries, </w:t>
      </w:r>
      <w:r w:rsidR="00E922AA">
        <w:rPr>
          <w:rFonts w:eastAsiaTheme="minorEastAsia" w:hint="eastAsia"/>
          <w:szCs w:val="20"/>
          <w:lang w:eastAsia="zh-CN"/>
        </w:rPr>
        <w:t>technology innovation industries, modern services industries, and culture businesses</w:t>
      </w:r>
      <w:r w:rsidR="00E9107B">
        <w:rPr>
          <w:rFonts w:eastAsiaTheme="minorEastAsia" w:hint="eastAsia"/>
          <w:szCs w:val="20"/>
          <w:lang w:eastAsia="zh-CN"/>
        </w:rPr>
        <w:t xml:space="preserve">; </w:t>
      </w:r>
      <w:r>
        <w:rPr>
          <w:szCs w:val="20"/>
        </w:rPr>
        <w:t xml:space="preserve">and </w:t>
      </w:r>
      <w:r w:rsidR="00E922AA">
        <w:rPr>
          <w:rFonts w:eastAsiaTheme="minorEastAsia" w:hint="eastAsia"/>
          <w:szCs w:val="20"/>
          <w:lang w:eastAsia="zh-CN"/>
        </w:rPr>
        <w:t xml:space="preserve">to </w:t>
      </w:r>
      <w:r>
        <w:rPr>
          <w:szCs w:val="20"/>
        </w:rPr>
        <w:t>reduc</w:t>
      </w:r>
      <w:r w:rsidR="00E922AA">
        <w:rPr>
          <w:rFonts w:eastAsiaTheme="minorEastAsia" w:hint="eastAsia"/>
          <w:szCs w:val="20"/>
          <w:lang w:eastAsia="zh-CN"/>
        </w:rPr>
        <w:t>e</w:t>
      </w:r>
      <w:r>
        <w:rPr>
          <w:szCs w:val="20"/>
        </w:rPr>
        <w:t xml:space="preserve"> loans to industries with restricted growth</w:t>
      </w:r>
      <w:r w:rsidR="00961367">
        <w:rPr>
          <w:szCs w:val="20"/>
        </w:rPr>
        <w:t>,</w:t>
      </w:r>
      <w:r>
        <w:rPr>
          <w:szCs w:val="20"/>
        </w:rPr>
        <w:t>” sa</w:t>
      </w:r>
      <w:r w:rsidR="00961367">
        <w:rPr>
          <w:szCs w:val="20"/>
        </w:rPr>
        <w:t>id</w:t>
      </w:r>
      <w:r>
        <w:rPr>
          <w:szCs w:val="20"/>
        </w:rPr>
        <w:t xml:space="preserve"> </w:t>
      </w:r>
      <w:r>
        <w:t>Jimmy Leung, China Banking an</w:t>
      </w:r>
      <w:r w:rsidR="00BB7ABF">
        <w:t>d Capital Markets Leader, PwC</w:t>
      </w:r>
      <w:r>
        <w:t>.</w:t>
      </w:r>
    </w:p>
    <w:p w:rsidR="00FB3A2E" w:rsidRDefault="00FB3A2E" w:rsidP="00053A46">
      <w:pPr>
        <w:tabs>
          <w:tab w:val="left" w:pos="950"/>
        </w:tabs>
        <w:spacing w:line="240" w:lineRule="auto"/>
        <w:rPr>
          <w:szCs w:val="20"/>
        </w:rPr>
      </w:pPr>
    </w:p>
    <w:p w:rsidR="00FB3A2E" w:rsidRPr="00E922AA" w:rsidRDefault="00FB3A2E" w:rsidP="00053A46">
      <w:pPr>
        <w:tabs>
          <w:tab w:val="left" w:pos="950"/>
        </w:tabs>
        <w:spacing w:line="240" w:lineRule="auto"/>
        <w:rPr>
          <w:rFonts w:eastAsiaTheme="minorEastAsia"/>
          <w:szCs w:val="20"/>
          <w:lang w:eastAsia="zh-CN"/>
        </w:rPr>
      </w:pPr>
      <w:r>
        <w:rPr>
          <w:szCs w:val="20"/>
        </w:rPr>
        <w:t xml:space="preserve">According to the survey, </w:t>
      </w:r>
      <w:r w:rsidRPr="00A54C38">
        <w:rPr>
          <w:szCs w:val="20"/>
        </w:rPr>
        <w:t xml:space="preserve">strategic emerging industries (72%), logistics industry (52.1%), media and culture industry (50.8%), machinery </w:t>
      </w:r>
      <w:r w:rsidR="00E9107B">
        <w:rPr>
          <w:rFonts w:eastAsiaTheme="minorEastAsia" w:hint="eastAsia"/>
          <w:szCs w:val="20"/>
          <w:lang w:eastAsia="zh-CN"/>
        </w:rPr>
        <w:t>production</w:t>
      </w:r>
      <w:r w:rsidR="00E9107B" w:rsidRPr="00A54C38">
        <w:rPr>
          <w:szCs w:val="20"/>
        </w:rPr>
        <w:t xml:space="preserve"> </w:t>
      </w:r>
      <w:r w:rsidRPr="00A54C38">
        <w:rPr>
          <w:szCs w:val="20"/>
        </w:rPr>
        <w:t>industry (46.2%), agriculture, forestry, livestock breeding and fishing industry (44.7%), and information technology services (44.2%)</w:t>
      </w:r>
      <w:r w:rsidR="00E922AA">
        <w:rPr>
          <w:rFonts w:eastAsiaTheme="minorEastAsia" w:hint="eastAsia"/>
          <w:szCs w:val="20"/>
          <w:lang w:eastAsia="zh-CN"/>
        </w:rPr>
        <w:t xml:space="preserve"> are the key focuses of credit facilities in the future.</w:t>
      </w:r>
    </w:p>
    <w:p w:rsidR="00FB3A2E" w:rsidRDefault="00FB3A2E" w:rsidP="00053A46">
      <w:pPr>
        <w:tabs>
          <w:tab w:val="left" w:pos="950"/>
        </w:tabs>
        <w:spacing w:line="240" w:lineRule="auto"/>
        <w:rPr>
          <w:szCs w:val="20"/>
        </w:rPr>
      </w:pPr>
    </w:p>
    <w:p w:rsidR="00FB3A2E" w:rsidRDefault="00FB3A2E" w:rsidP="00053A46">
      <w:pPr>
        <w:tabs>
          <w:tab w:val="left" w:pos="950"/>
        </w:tabs>
        <w:spacing w:line="240" w:lineRule="auto"/>
        <w:rPr>
          <w:szCs w:val="20"/>
        </w:rPr>
      </w:pPr>
      <w:r w:rsidRPr="00A54C38">
        <w:rPr>
          <w:szCs w:val="20"/>
        </w:rPr>
        <w:t>As in the past year, Chinese bank</w:t>
      </w:r>
      <w:r w:rsidR="00E922AA">
        <w:rPr>
          <w:rFonts w:eastAsiaTheme="minorEastAsia" w:hint="eastAsia"/>
          <w:szCs w:val="20"/>
          <w:lang w:eastAsia="zh-CN"/>
        </w:rPr>
        <w:t>er</w:t>
      </w:r>
      <w:r w:rsidRPr="00A54C38">
        <w:rPr>
          <w:szCs w:val="20"/>
        </w:rPr>
        <w:t xml:space="preserve">s continued to take a more cautious stance in loans for real estate projects (67.4%) due to China’s </w:t>
      </w:r>
      <w:r w:rsidR="001321FA">
        <w:rPr>
          <w:rFonts w:eastAsiaTheme="minorEastAsia" w:hint="eastAsia"/>
          <w:szCs w:val="20"/>
          <w:lang w:eastAsia="zh-CN"/>
        </w:rPr>
        <w:t xml:space="preserve">current </w:t>
      </w:r>
      <w:r w:rsidRPr="00A54C38">
        <w:rPr>
          <w:szCs w:val="20"/>
        </w:rPr>
        <w:t>tighten</w:t>
      </w:r>
      <w:r w:rsidR="001321FA">
        <w:rPr>
          <w:rFonts w:eastAsiaTheme="minorEastAsia" w:hint="eastAsia"/>
          <w:szCs w:val="20"/>
          <w:lang w:eastAsia="zh-CN"/>
        </w:rPr>
        <w:t>ed</w:t>
      </w:r>
      <w:r w:rsidRPr="00A54C38">
        <w:rPr>
          <w:szCs w:val="20"/>
        </w:rPr>
        <w:t xml:space="preserve"> policies on the property market.</w:t>
      </w:r>
      <w:r>
        <w:rPr>
          <w:szCs w:val="20"/>
        </w:rPr>
        <w:t xml:space="preserve"> </w:t>
      </w:r>
    </w:p>
    <w:p w:rsidR="00FB3A2E" w:rsidRDefault="00FB3A2E" w:rsidP="00053A46">
      <w:pPr>
        <w:tabs>
          <w:tab w:val="left" w:pos="950"/>
        </w:tabs>
        <w:spacing w:line="240" w:lineRule="auto"/>
        <w:rPr>
          <w:szCs w:val="20"/>
        </w:rPr>
      </w:pPr>
    </w:p>
    <w:p w:rsidR="00FB3A2E" w:rsidRDefault="00FB3A2E" w:rsidP="00053A46">
      <w:pPr>
        <w:tabs>
          <w:tab w:val="left" w:pos="950"/>
        </w:tabs>
        <w:spacing w:line="240" w:lineRule="auto"/>
        <w:rPr>
          <w:szCs w:val="20"/>
        </w:rPr>
      </w:pPr>
      <w:r>
        <w:rPr>
          <w:szCs w:val="20"/>
        </w:rPr>
        <w:t>Compared to 2011, Chinese bank</w:t>
      </w:r>
      <w:r w:rsidR="00E922AA">
        <w:rPr>
          <w:rFonts w:eastAsiaTheme="minorEastAsia" w:hint="eastAsia"/>
          <w:szCs w:val="20"/>
          <w:lang w:eastAsia="zh-CN"/>
        </w:rPr>
        <w:t>er</w:t>
      </w:r>
      <w:r>
        <w:rPr>
          <w:szCs w:val="20"/>
        </w:rPr>
        <w:t>s were less favourable</w:t>
      </w:r>
      <w:r w:rsidR="00E922AA">
        <w:rPr>
          <w:rFonts w:eastAsiaTheme="minorEastAsia" w:hint="eastAsia"/>
          <w:szCs w:val="20"/>
          <w:lang w:eastAsia="zh-CN"/>
        </w:rPr>
        <w:t xml:space="preserve"> in</w:t>
      </w:r>
      <w:r>
        <w:rPr>
          <w:szCs w:val="20"/>
        </w:rPr>
        <w:t xml:space="preserve"> lending to the road and rail transportation industry. More than 60% of the bankers surveyed say that the volume of local government financing platform loans should be</w:t>
      </w:r>
      <w:r w:rsidR="001321FA">
        <w:rPr>
          <w:rFonts w:eastAsiaTheme="minorEastAsia" w:hint="eastAsia"/>
          <w:szCs w:val="20"/>
          <w:lang w:eastAsia="zh-CN"/>
        </w:rPr>
        <w:t xml:space="preserve"> reduc</w:t>
      </w:r>
      <w:r>
        <w:rPr>
          <w:szCs w:val="20"/>
        </w:rPr>
        <w:t xml:space="preserve">ed, 58.8% express risk concerns and 26.6% believe that local government financing platforms </w:t>
      </w:r>
      <w:r w:rsidR="001321FA">
        <w:rPr>
          <w:rFonts w:eastAsiaTheme="minorEastAsia" w:hint="eastAsia"/>
          <w:szCs w:val="20"/>
          <w:lang w:eastAsia="zh-CN"/>
        </w:rPr>
        <w:t>will</w:t>
      </w:r>
      <w:r w:rsidR="001321FA">
        <w:rPr>
          <w:szCs w:val="20"/>
        </w:rPr>
        <w:t xml:space="preserve"> </w:t>
      </w:r>
      <w:r>
        <w:rPr>
          <w:szCs w:val="20"/>
        </w:rPr>
        <w:t>be among the highest instances for loan default r</w:t>
      </w:r>
      <w:r w:rsidR="00721C8A">
        <w:rPr>
          <w:szCs w:val="20"/>
        </w:rPr>
        <w:t>ates in the following three</w:t>
      </w:r>
      <w:r>
        <w:rPr>
          <w:szCs w:val="20"/>
        </w:rPr>
        <w:t xml:space="preserve"> years.</w:t>
      </w:r>
    </w:p>
    <w:p w:rsidR="00FB3A2E" w:rsidRDefault="00FB3A2E" w:rsidP="00053A46">
      <w:pPr>
        <w:tabs>
          <w:tab w:val="left" w:pos="950"/>
        </w:tabs>
        <w:spacing w:line="240" w:lineRule="auto"/>
        <w:rPr>
          <w:szCs w:val="20"/>
        </w:rPr>
      </w:pPr>
    </w:p>
    <w:p w:rsidR="00FB3A2E" w:rsidRPr="00A54C38" w:rsidRDefault="00FB3A2E" w:rsidP="00053A46">
      <w:pPr>
        <w:spacing w:line="240" w:lineRule="auto"/>
        <w:rPr>
          <w:b/>
          <w:szCs w:val="20"/>
        </w:rPr>
      </w:pPr>
      <w:r w:rsidRPr="00A54C38">
        <w:rPr>
          <w:b/>
          <w:szCs w:val="20"/>
        </w:rPr>
        <w:t>Lower economic growth expectations</w:t>
      </w:r>
    </w:p>
    <w:p w:rsidR="00FB3A2E" w:rsidRPr="00A54C38" w:rsidRDefault="00FB3A2E" w:rsidP="00053A46">
      <w:pPr>
        <w:spacing w:line="240" w:lineRule="auto"/>
        <w:rPr>
          <w:szCs w:val="20"/>
        </w:rPr>
      </w:pPr>
      <w:r w:rsidRPr="00A54C38">
        <w:rPr>
          <w:szCs w:val="20"/>
        </w:rPr>
        <w:t>Whilst bankers have lowered their expectations on China’s economic growth for 2012, around 50% of</w:t>
      </w:r>
      <w:r>
        <w:rPr>
          <w:szCs w:val="20"/>
        </w:rPr>
        <w:t xml:space="preserve"> the bankers surveyed say</w:t>
      </w:r>
      <w:r w:rsidRPr="00A54C38">
        <w:rPr>
          <w:szCs w:val="20"/>
        </w:rPr>
        <w:t xml:space="preserve"> </w:t>
      </w:r>
      <w:r w:rsidR="001321FA">
        <w:rPr>
          <w:rFonts w:eastAsiaTheme="minorEastAsia" w:hint="eastAsia"/>
          <w:szCs w:val="20"/>
          <w:lang w:eastAsia="zh-CN"/>
        </w:rPr>
        <w:t xml:space="preserve">that </w:t>
      </w:r>
      <w:r w:rsidRPr="00A54C38">
        <w:rPr>
          <w:szCs w:val="20"/>
        </w:rPr>
        <w:t>the country’s economic growth</w:t>
      </w:r>
      <w:r w:rsidR="00982DDA">
        <w:rPr>
          <w:rFonts w:eastAsiaTheme="minorEastAsia" w:hint="eastAsia"/>
          <w:szCs w:val="20"/>
          <w:lang w:eastAsia="zh-CN"/>
        </w:rPr>
        <w:t xml:space="preserve"> for 2012</w:t>
      </w:r>
      <w:r w:rsidRPr="00A54C38">
        <w:rPr>
          <w:szCs w:val="20"/>
        </w:rPr>
        <w:t xml:space="preserve"> w</w:t>
      </w:r>
      <w:r w:rsidR="00982DDA">
        <w:rPr>
          <w:rFonts w:eastAsiaTheme="minorEastAsia" w:hint="eastAsia"/>
          <w:szCs w:val="20"/>
          <w:lang w:eastAsia="zh-CN"/>
        </w:rPr>
        <w:t>ould</w:t>
      </w:r>
      <w:r w:rsidRPr="00A54C38">
        <w:rPr>
          <w:szCs w:val="20"/>
        </w:rPr>
        <w:t xml:space="preserve"> be 7.5%, </w:t>
      </w:r>
      <w:r w:rsidR="001321FA">
        <w:rPr>
          <w:rFonts w:eastAsiaTheme="minorEastAsia" w:hint="eastAsia"/>
          <w:szCs w:val="20"/>
          <w:lang w:eastAsia="zh-CN"/>
        </w:rPr>
        <w:t xml:space="preserve">and </w:t>
      </w:r>
      <w:r w:rsidRPr="00A54C38">
        <w:rPr>
          <w:szCs w:val="20"/>
        </w:rPr>
        <w:t>the</w:t>
      </w:r>
      <w:r w:rsidR="00017E1D">
        <w:rPr>
          <w:szCs w:val="20"/>
        </w:rPr>
        <w:t xml:space="preserve">y are confident about the </w:t>
      </w:r>
      <w:r w:rsidRPr="00A54C38">
        <w:rPr>
          <w:szCs w:val="20"/>
        </w:rPr>
        <w:t>outlook on China’s medium and long-term economic growth prospects. 72</w:t>
      </w:r>
      <w:r w:rsidR="00BE772F">
        <w:rPr>
          <w:rFonts w:eastAsiaTheme="minorEastAsia" w:hint="eastAsia"/>
          <w:szCs w:val="20"/>
          <w:lang w:eastAsia="zh-CN"/>
        </w:rPr>
        <w:t>.2</w:t>
      </w:r>
      <w:r w:rsidRPr="00A54C38">
        <w:rPr>
          <w:szCs w:val="20"/>
        </w:rPr>
        <w:t xml:space="preserve">% of </w:t>
      </w:r>
      <w:r w:rsidR="00982DDA">
        <w:rPr>
          <w:rFonts w:eastAsiaTheme="minorEastAsia" w:hint="eastAsia"/>
          <w:szCs w:val="20"/>
          <w:lang w:eastAsia="zh-CN"/>
        </w:rPr>
        <w:t xml:space="preserve">the </w:t>
      </w:r>
      <w:r w:rsidRPr="00A54C38">
        <w:rPr>
          <w:szCs w:val="20"/>
        </w:rPr>
        <w:t xml:space="preserve">bankers believe that technological innovation is the main source for China’s economic growth in the next </w:t>
      </w:r>
      <w:r w:rsidR="00982DDA">
        <w:rPr>
          <w:rFonts w:eastAsiaTheme="minorEastAsia" w:hint="eastAsia"/>
          <w:szCs w:val="20"/>
          <w:lang w:eastAsia="zh-CN"/>
        </w:rPr>
        <w:t>three to five</w:t>
      </w:r>
      <w:r w:rsidRPr="00A54C38">
        <w:rPr>
          <w:szCs w:val="20"/>
        </w:rPr>
        <w:t xml:space="preserve"> years, and 59.6% indicate that benefits from policy transformation aid this growth prospect.</w:t>
      </w:r>
    </w:p>
    <w:p w:rsidR="00FB3A2E" w:rsidRPr="00A54C38" w:rsidRDefault="00FB3A2E" w:rsidP="00053A46">
      <w:pPr>
        <w:spacing w:line="240" w:lineRule="auto"/>
        <w:rPr>
          <w:szCs w:val="20"/>
        </w:rPr>
      </w:pPr>
    </w:p>
    <w:p w:rsidR="00FB3A2E" w:rsidRPr="00982DDA" w:rsidRDefault="00FB3A2E" w:rsidP="00053A46">
      <w:pPr>
        <w:spacing w:line="240" w:lineRule="auto"/>
        <w:rPr>
          <w:rFonts w:eastAsiaTheme="minorEastAsia"/>
          <w:szCs w:val="20"/>
          <w:lang w:eastAsia="zh-CN"/>
        </w:rPr>
      </w:pPr>
      <w:r w:rsidRPr="00A54C38">
        <w:rPr>
          <w:szCs w:val="20"/>
        </w:rPr>
        <w:t xml:space="preserve">Faced with a </w:t>
      </w:r>
      <w:r w:rsidR="00BE772F">
        <w:rPr>
          <w:rFonts w:eastAsiaTheme="minorEastAsia" w:hint="eastAsia"/>
          <w:szCs w:val="20"/>
          <w:lang w:eastAsia="zh-CN"/>
        </w:rPr>
        <w:t>down turning</w:t>
      </w:r>
      <w:r w:rsidRPr="00A54C38">
        <w:rPr>
          <w:szCs w:val="20"/>
        </w:rPr>
        <w:t xml:space="preserve"> economy, </w:t>
      </w:r>
      <w:r w:rsidR="00BE772F">
        <w:rPr>
          <w:rFonts w:eastAsiaTheme="minorEastAsia" w:hint="eastAsia"/>
          <w:szCs w:val="20"/>
          <w:lang w:eastAsia="zh-CN"/>
        </w:rPr>
        <w:t>the</w:t>
      </w:r>
      <w:r w:rsidRPr="00A54C38">
        <w:rPr>
          <w:szCs w:val="20"/>
        </w:rPr>
        <w:t xml:space="preserve"> bankers </w:t>
      </w:r>
      <w:r w:rsidR="00BE772F">
        <w:rPr>
          <w:rFonts w:eastAsiaTheme="minorEastAsia" w:hint="eastAsia"/>
          <w:szCs w:val="20"/>
          <w:lang w:eastAsia="zh-CN"/>
        </w:rPr>
        <w:t xml:space="preserve">are </w:t>
      </w:r>
      <w:r w:rsidRPr="00A54C38">
        <w:rPr>
          <w:szCs w:val="20"/>
        </w:rPr>
        <w:t>most concerned about macro-control policy change</w:t>
      </w:r>
      <w:r w:rsidR="00982DDA">
        <w:rPr>
          <w:rFonts w:eastAsiaTheme="minorEastAsia" w:hint="eastAsia"/>
          <w:szCs w:val="20"/>
          <w:lang w:eastAsia="zh-CN"/>
        </w:rPr>
        <w:t xml:space="preserve"> </w:t>
      </w:r>
      <w:r w:rsidRPr="00A54C38">
        <w:rPr>
          <w:szCs w:val="20"/>
        </w:rPr>
        <w:t>(75.1%), financial regulatory policy change (72.4%) and a global economic slowdown (64.4%).</w:t>
      </w:r>
      <w:r w:rsidR="00543742">
        <w:rPr>
          <w:szCs w:val="20"/>
        </w:rPr>
        <w:t xml:space="preserve"> </w:t>
      </w:r>
      <w:r w:rsidR="00543742">
        <w:rPr>
          <w:rFonts w:eastAsiaTheme="minorEastAsia" w:hint="eastAsia"/>
          <w:szCs w:val="20"/>
          <w:lang w:eastAsia="zh-CN"/>
        </w:rPr>
        <w:t xml:space="preserve">About 25% of the bankers anticipate that the annual growth rate in income and profit will be higher than 20%, and about half of the bankers believe that the non performing loan ratio will be below 1% </w:t>
      </w:r>
      <w:r w:rsidR="00053A46">
        <w:rPr>
          <w:rFonts w:eastAsiaTheme="minorEastAsia"/>
          <w:szCs w:val="20"/>
          <w:lang w:eastAsia="zh-CN"/>
        </w:rPr>
        <w:br/>
      </w:r>
      <w:r w:rsidR="00543742">
        <w:rPr>
          <w:rFonts w:eastAsiaTheme="minorEastAsia" w:hint="eastAsia"/>
          <w:szCs w:val="20"/>
          <w:lang w:eastAsia="zh-CN"/>
        </w:rPr>
        <w:t>for the next three years.</w:t>
      </w:r>
    </w:p>
    <w:p w:rsidR="00522183" w:rsidRDefault="00522183" w:rsidP="00053A46">
      <w:pPr>
        <w:spacing w:line="240" w:lineRule="auto"/>
        <w:rPr>
          <w:szCs w:val="20"/>
        </w:rPr>
      </w:pPr>
    </w:p>
    <w:p w:rsidR="00522183" w:rsidRDefault="00522183" w:rsidP="00053A46">
      <w:pPr>
        <w:spacing w:line="240" w:lineRule="auto"/>
        <w:rPr>
          <w:rFonts w:eastAsiaTheme="minorEastAsia"/>
          <w:szCs w:val="20"/>
          <w:lang w:eastAsia="zh-CN"/>
        </w:rPr>
      </w:pPr>
      <w:r>
        <w:rPr>
          <w:szCs w:val="20"/>
        </w:rPr>
        <w:t>“Despite the significant pressure on the Chinese banking environment caused by the global economic downturn, Chinese bank</w:t>
      </w:r>
      <w:r w:rsidR="00BE772F">
        <w:rPr>
          <w:rFonts w:eastAsiaTheme="minorEastAsia" w:hint="eastAsia"/>
          <w:szCs w:val="20"/>
          <w:lang w:eastAsia="zh-CN"/>
        </w:rPr>
        <w:t>er</w:t>
      </w:r>
      <w:r>
        <w:rPr>
          <w:szCs w:val="20"/>
        </w:rPr>
        <w:t xml:space="preserve">s remain </w:t>
      </w:r>
      <w:r w:rsidR="00BE772F">
        <w:rPr>
          <w:rFonts w:eastAsiaTheme="minorEastAsia" w:hint="eastAsia"/>
          <w:szCs w:val="20"/>
          <w:lang w:eastAsia="zh-CN"/>
        </w:rPr>
        <w:t xml:space="preserve">very </w:t>
      </w:r>
      <w:r>
        <w:rPr>
          <w:szCs w:val="20"/>
        </w:rPr>
        <w:t>positive about the industry’s future development</w:t>
      </w:r>
      <w:r w:rsidR="00961367">
        <w:rPr>
          <w:szCs w:val="20"/>
        </w:rPr>
        <w:t>,</w:t>
      </w:r>
      <w:r>
        <w:rPr>
          <w:szCs w:val="20"/>
        </w:rPr>
        <w:t>”</w:t>
      </w:r>
      <w:r w:rsidR="00F95B20">
        <w:rPr>
          <w:szCs w:val="20"/>
        </w:rPr>
        <w:t xml:space="preserve"> a</w:t>
      </w:r>
      <w:r w:rsidR="00961367">
        <w:rPr>
          <w:szCs w:val="20"/>
        </w:rPr>
        <w:t>dded Mr Leung.</w:t>
      </w:r>
    </w:p>
    <w:p w:rsidR="00D41DE9" w:rsidRDefault="00D41DE9" w:rsidP="00053A46">
      <w:pPr>
        <w:spacing w:line="240" w:lineRule="auto"/>
        <w:rPr>
          <w:rFonts w:cs="Helv"/>
          <w:color w:val="000000"/>
          <w:szCs w:val="20"/>
          <w:lang w:eastAsia="en-GB"/>
        </w:rPr>
      </w:pPr>
    </w:p>
    <w:p w:rsidR="00522183" w:rsidRDefault="00522183" w:rsidP="00053A46">
      <w:pPr>
        <w:spacing w:line="240" w:lineRule="auto"/>
      </w:pPr>
      <w:r w:rsidRPr="004772EC">
        <w:rPr>
          <w:rFonts w:cs="Helv"/>
          <w:color w:val="000000"/>
          <w:szCs w:val="20"/>
          <w:lang w:eastAsia="en-GB"/>
        </w:rPr>
        <w:t>Subscribe to our RSS feeds for updates on our press releases -</w:t>
      </w:r>
      <w:hyperlink r:id="rId8" w:history="1">
        <w:r w:rsidRPr="004772EC">
          <w:rPr>
            <w:rStyle w:val="Hyperlink"/>
            <w:rFonts w:cs="Helv"/>
            <w:szCs w:val="20"/>
            <w:lang w:eastAsia="en-GB"/>
          </w:rPr>
          <w:t>http://www.pwchk.com/home/eng/rss.html</w:t>
        </w:r>
      </w:hyperlink>
    </w:p>
    <w:p w:rsidR="00721C8A" w:rsidRPr="004772EC" w:rsidRDefault="00721C8A" w:rsidP="00053A46">
      <w:pPr>
        <w:spacing w:line="240" w:lineRule="auto"/>
        <w:rPr>
          <w:rFonts w:cs="Helv"/>
          <w:color w:val="000000"/>
          <w:szCs w:val="20"/>
          <w:lang w:eastAsia="en-GB"/>
        </w:rPr>
      </w:pPr>
    </w:p>
    <w:p w:rsidR="00543742" w:rsidRPr="004772EC" w:rsidRDefault="00053A46" w:rsidP="00053A46">
      <w:pPr>
        <w:spacing w:line="240" w:lineRule="auto"/>
        <w:jc w:val="center"/>
        <w:rPr>
          <w:rFonts w:cs="Arial"/>
          <w:color w:val="000000"/>
          <w:lang w:val="en-US"/>
        </w:rPr>
      </w:pPr>
      <w:r>
        <w:rPr>
          <w:rFonts w:cs="Arial"/>
          <w:color w:val="000000"/>
          <w:lang w:val="en-US"/>
        </w:rPr>
        <w:t>#  #  #</w:t>
      </w:r>
    </w:p>
    <w:p w:rsidR="00A530ED" w:rsidRDefault="00A530ED" w:rsidP="00053A46">
      <w:pPr>
        <w:spacing w:line="240" w:lineRule="auto"/>
        <w:rPr>
          <w:b/>
          <w:bCs/>
          <w:color w:val="000000"/>
          <w:szCs w:val="20"/>
        </w:rPr>
      </w:pPr>
    </w:p>
    <w:p w:rsidR="00522183" w:rsidRPr="00A54C38" w:rsidRDefault="00522183" w:rsidP="00053A46">
      <w:pPr>
        <w:spacing w:line="240" w:lineRule="auto"/>
        <w:ind w:right="433"/>
        <w:rPr>
          <w:b/>
          <w:bCs/>
          <w:color w:val="000000"/>
          <w:szCs w:val="20"/>
        </w:rPr>
      </w:pPr>
      <w:r w:rsidRPr="00A54C38">
        <w:rPr>
          <w:b/>
          <w:bCs/>
          <w:color w:val="000000"/>
          <w:szCs w:val="20"/>
        </w:rPr>
        <w:t>Note to editors:</w:t>
      </w:r>
    </w:p>
    <w:p w:rsidR="00522183" w:rsidRPr="00A54C38" w:rsidRDefault="00522183" w:rsidP="00053A46">
      <w:pPr>
        <w:spacing w:line="240" w:lineRule="auto"/>
        <w:ind w:right="433"/>
        <w:rPr>
          <w:color w:val="000000"/>
          <w:szCs w:val="20"/>
        </w:rPr>
      </w:pPr>
    </w:p>
    <w:p w:rsidR="00053A46" w:rsidRPr="00053A46" w:rsidRDefault="00522183" w:rsidP="00053A46">
      <w:pPr>
        <w:pStyle w:val="ListParagraph"/>
        <w:numPr>
          <w:ilvl w:val="0"/>
          <w:numId w:val="9"/>
        </w:numPr>
        <w:autoSpaceDE w:val="0"/>
        <w:autoSpaceDN w:val="0"/>
        <w:adjustRightInd w:val="0"/>
        <w:ind w:right="433" w:firstLineChars="0"/>
        <w:jc w:val="left"/>
        <w:rPr>
          <w:rFonts w:ascii="Georgia" w:hAnsi="Georgia" w:cs="Arial"/>
          <w:b/>
          <w:bCs/>
          <w:sz w:val="20"/>
          <w:szCs w:val="20"/>
          <w:lang w:eastAsia="en-GB"/>
        </w:rPr>
      </w:pPr>
      <w:r w:rsidRPr="00053A46">
        <w:rPr>
          <w:rFonts w:ascii="Georgia" w:hAnsi="Georgia"/>
          <w:b/>
          <w:bCs/>
          <w:sz w:val="20"/>
          <w:szCs w:val="20"/>
          <w:lang w:eastAsia="en-GB"/>
        </w:rPr>
        <w:t>About the report</w:t>
      </w:r>
      <w:r w:rsidR="00053A46" w:rsidRPr="00053A46">
        <w:rPr>
          <w:rFonts w:ascii="Georgia" w:hAnsi="Georgia"/>
          <w:b/>
          <w:bCs/>
          <w:sz w:val="20"/>
          <w:szCs w:val="20"/>
          <w:lang w:eastAsia="en-GB"/>
        </w:rPr>
        <w:br/>
      </w:r>
      <w:r w:rsidR="00053A46" w:rsidRPr="00053A46">
        <w:rPr>
          <w:rFonts w:ascii="Georgia" w:hAnsi="Georgia"/>
          <w:b/>
          <w:bCs/>
          <w:sz w:val="20"/>
          <w:szCs w:val="20"/>
          <w:lang w:eastAsia="en-GB"/>
        </w:rPr>
        <w:br/>
      </w:r>
      <w:r w:rsidRPr="00053A46">
        <w:rPr>
          <w:rFonts w:ascii="Georgia" w:hAnsi="Georgia"/>
          <w:sz w:val="20"/>
          <w:szCs w:val="20"/>
          <w:lang w:eastAsia="en-GB"/>
        </w:rPr>
        <w:t xml:space="preserve">This survey is the joint effort of China Banking Association and PwC China. The project leader is Dr Ba Shusong, Deputy Director, Financial Research Institute, Development Research Center of the State Council of China. The survey respondents are senior management located </w:t>
      </w:r>
      <w:r w:rsidRPr="00053A46">
        <w:rPr>
          <w:rFonts w:ascii="Georgia" w:hAnsi="Georgia"/>
          <w:sz w:val="20"/>
          <w:szCs w:val="20"/>
          <w:lang w:eastAsia="en-GB"/>
        </w:rPr>
        <w:lastRenderedPageBreak/>
        <w:t>at the headquarters and branches of domestic banks in China. The total number of effective questionnaires received is 850. In addition, the survey team also conducted an in-depth interview with 25 senior executives including Directors and Vice Presidents and department heads.</w:t>
      </w:r>
      <w:r w:rsidR="00053A46" w:rsidRPr="00053A46">
        <w:rPr>
          <w:rFonts w:ascii="Georgia" w:hAnsi="Georgia"/>
          <w:sz w:val="20"/>
          <w:szCs w:val="20"/>
          <w:lang w:eastAsia="en-GB"/>
        </w:rPr>
        <w:br/>
      </w:r>
    </w:p>
    <w:p w:rsidR="00053A46" w:rsidRPr="00053A46" w:rsidRDefault="00870F85" w:rsidP="00053A46">
      <w:pPr>
        <w:pStyle w:val="ListParagraph"/>
        <w:numPr>
          <w:ilvl w:val="0"/>
          <w:numId w:val="9"/>
        </w:numPr>
        <w:autoSpaceDE w:val="0"/>
        <w:autoSpaceDN w:val="0"/>
        <w:adjustRightInd w:val="0"/>
        <w:ind w:right="433" w:firstLineChars="0"/>
        <w:jc w:val="left"/>
        <w:rPr>
          <w:rFonts w:ascii="Georgia" w:eastAsia="Times New Roman" w:hAnsi="Georgia" w:cs="Arial"/>
          <w:sz w:val="20"/>
          <w:szCs w:val="20"/>
        </w:rPr>
      </w:pPr>
      <w:r w:rsidRPr="00053A46">
        <w:rPr>
          <w:rFonts w:ascii="Georgia" w:hAnsi="Georgia" w:cs="Arial"/>
          <w:b/>
          <w:bCs/>
          <w:sz w:val="20"/>
          <w:szCs w:val="20"/>
          <w:lang w:eastAsia="en-GB"/>
        </w:rPr>
        <w:t xml:space="preserve"> About China Banking Association</w:t>
      </w:r>
      <w:r w:rsidR="00053A46" w:rsidRPr="00053A46">
        <w:rPr>
          <w:rFonts w:ascii="Georgia" w:hAnsi="Georgia" w:cs="Arial"/>
          <w:b/>
          <w:bCs/>
          <w:sz w:val="20"/>
          <w:szCs w:val="20"/>
          <w:lang w:eastAsia="en-GB"/>
        </w:rPr>
        <w:br/>
      </w:r>
      <w:r w:rsidR="00053A46" w:rsidRPr="00053A46">
        <w:rPr>
          <w:rFonts w:ascii="Georgia" w:hAnsi="Georgia" w:cs="Arial"/>
          <w:b/>
          <w:bCs/>
          <w:sz w:val="20"/>
          <w:szCs w:val="20"/>
          <w:lang w:eastAsia="en-GB"/>
        </w:rPr>
        <w:br/>
      </w:r>
      <w:r w:rsidRPr="00053A46">
        <w:rPr>
          <w:rFonts w:ascii="Georgia" w:hAnsi="Georgia" w:cs="Arial"/>
          <w:sz w:val="20"/>
          <w:szCs w:val="20"/>
          <w:lang w:eastAsia="en-GB"/>
        </w:rPr>
        <w:t>Founded in May 2000, China Banking Association (CBA) is registered at the Ministry of Civil</w:t>
      </w:r>
      <w:r w:rsidR="00053A46" w:rsidRPr="00053A46">
        <w:rPr>
          <w:rFonts w:ascii="Georgia" w:hAnsi="Georgia" w:cs="Arial"/>
          <w:sz w:val="20"/>
          <w:szCs w:val="20"/>
          <w:lang w:eastAsia="en-GB"/>
        </w:rPr>
        <w:t xml:space="preserve"> </w:t>
      </w:r>
      <w:r w:rsidRPr="00053A46">
        <w:rPr>
          <w:rFonts w:ascii="Georgia" w:hAnsi="Georgia" w:cs="Arial"/>
          <w:sz w:val="20"/>
          <w:szCs w:val="20"/>
          <w:lang w:eastAsia="en-GB"/>
        </w:rPr>
        <w:t>Affairs as a national non-profit organisation. On behalf of its 1</w:t>
      </w:r>
      <w:r w:rsidR="00664BD1" w:rsidRPr="00053A46">
        <w:rPr>
          <w:rFonts w:ascii="Georgia" w:hAnsi="Georgia" w:cs="Arial"/>
          <w:sz w:val="20"/>
          <w:szCs w:val="20"/>
          <w:lang w:eastAsia="en-GB"/>
        </w:rPr>
        <w:t>68</w:t>
      </w:r>
      <w:r w:rsidRPr="00053A46">
        <w:rPr>
          <w:rFonts w:ascii="Georgia" w:hAnsi="Georgia" w:cs="Arial"/>
          <w:sz w:val="20"/>
          <w:szCs w:val="20"/>
          <w:lang w:eastAsia="en-GB"/>
        </w:rPr>
        <w:t xml:space="preserve"> members, it brings together various categories of banking institutions to best represent the interests of this rapidly changing industry. Centering its functions on "self-discipline, rights-protection, coordination and service", CBA strives to safeguard the legal interests of the banking sector, maintain market order, improve the overall competence of banking employees, provide high-quality services to its members, and promote the healthy development of the banking sector.</w:t>
      </w:r>
      <w:r w:rsidR="00053A46" w:rsidRPr="00053A46">
        <w:rPr>
          <w:rFonts w:ascii="Georgia" w:hAnsi="Georgia" w:cs="Arial"/>
          <w:sz w:val="20"/>
          <w:szCs w:val="20"/>
          <w:lang w:eastAsia="en-GB"/>
        </w:rPr>
        <w:br/>
      </w:r>
    </w:p>
    <w:p w:rsidR="00053A46" w:rsidRPr="00053A46" w:rsidRDefault="00870F85" w:rsidP="00053A46">
      <w:pPr>
        <w:pStyle w:val="ListParagraph"/>
        <w:numPr>
          <w:ilvl w:val="0"/>
          <w:numId w:val="9"/>
        </w:numPr>
        <w:autoSpaceDE w:val="0"/>
        <w:autoSpaceDN w:val="0"/>
        <w:adjustRightInd w:val="0"/>
        <w:ind w:right="433" w:firstLineChars="0"/>
        <w:jc w:val="left"/>
        <w:rPr>
          <w:rFonts w:ascii="Georgia" w:eastAsia="Times New Roman" w:hAnsi="Georgia" w:cs="Arial"/>
          <w:b/>
          <w:bCs/>
          <w:sz w:val="20"/>
          <w:szCs w:val="20"/>
        </w:rPr>
      </w:pPr>
      <w:r w:rsidRPr="00053A46">
        <w:rPr>
          <w:rFonts w:ascii="Georgia" w:hAnsi="Georgia" w:cs="Georgia"/>
          <w:b/>
          <w:sz w:val="20"/>
          <w:szCs w:val="20"/>
          <w:lang w:eastAsia="en-GB"/>
        </w:rPr>
        <w:t xml:space="preserve"> </w:t>
      </w:r>
      <w:r w:rsidR="005E6689" w:rsidRPr="00053A46">
        <w:rPr>
          <w:rFonts w:ascii="Georgia" w:eastAsia="Times New Roman" w:hAnsi="Georgia" w:cs="Arial"/>
          <w:b/>
          <w:bCs/>
          <w:sz w:val="20"/>
          <w:szCs w:val="20"/>
        </w:rPr>
        <w:t xml:space="preserve">About PwC </w:t>
      </w:r>
      <w:r w:rsidR="00053A46" w:rsidRPr="00053A46">
        <w:rPr>
          <w:rFonts w:ascii="Georgia" w:eastAsia="Times New Roman" w:hAnsi="Georgia" w:cs="Arial"/>
          <w:b/>
          <w:bCs/>
          <w:sz w:val="20"/>
          <w:szCs w:val="20"/>
        </w:rPr>
        <w:t>–</w:t>
      </w:r>
      <w:r w:rsidR="005E6689" w:rsidRPr="00053A46">
        <w:rPr>
          <w:rFonts w:ascii="Georgia" w:eastAsia="Times New Roman" w:hAnsi="Georgia" w:cs="Arial"/>
          <w:b/>
          <w:bCs/>
          <w:sz w:val="20"/>
          <w:szCs w:val="20"/>
        </w:rPr>
        <w:t xml:space="preserve"> Globally</w:t>
      </w:r>
      <w:r w:rsidR="00053A46" w:rsidRPr="00053A46">
        <w:rPr>
          <w:rFonts w:ascii="Georgia" w:eastAsia="Times New Roman" w:hAnsi="Georgia" w:cs="Arial"/>
          <w:b/>
          <w:bCs/>
          <w:sz w:val="20"/>
          <w:szCs w:val="20"/>
        </w:rPr>
        <w:br/>
      </w:r>
      <w:r w:rsidR="00053A46" w:rsidRPr="00053A46">
        <w:rPr>
          <w:rFonts w:ascii="Georgia" w:eastAsia="Times New Roman" w:hAnsi="Georgia" w:cs="Arial"/>
          <w:bCs/>
          <w:sz w:val="20"/>
          <w:szCs w:val="20"/>
        </w:rPr>
        <w:br/>
        <w:t>P</w:t>
      </w:r>
      <w:r w:rsidR="005E6689" w:rsidRPr="00053A46">
        <w:rPr>
          <w:rFonts w:ascii="Georgia" w:eastAsia="Times New Roman" w:hAnsi="Georgia" w:cs="Arial"/>
          <w:sz w:val="20"/>
          <w:szCs w:val="20"/>
        </w:rPr>
        <w:t xml:space="preserve">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9" w:history="1">
        <w:r w:rsidR="005E6689" w:rsidRPr="00053A46">
          <w:rPr>
            <w:rFonts w:ascii="Georgia" w:eastAsia="Times New Roman" w:hAnsi="Georgia" w:cs="Arial"/>
            <w:sz w:val="20"/>
            <w:szCs w:val="20"/>
            <w:u w:val="single"/>
          </w:rPr>
          <w:t>www.pwc.com</w:t>
        </w:r>
      </w:hyperlink>
      <w:r w:rsidR="005E6689" w:rsidRPr="00053A46">
        <w:rPr>
          <w:rFonts w:ascii="Georgia" w:eastAsia="Times New Roman" w:hAnsi="Georgia" w:cs="Arial"/>
          <w:sz w:val="20"/>
          <w:szCs w:val="20"/>
        </w:rPr>
        <w:t>.</w:t>
      </w:r>
      <w:r w:rsidR="00053A46" w:rsidRPr="00053A46">
        <w:rPr>
          <w:rFonts w:ascii="Georgia" w:eastAsia="Times New Roman" w:hAnsi="Georgia" w:cs="Arial"/>
          <w:sz w:val="20"/>
          <w:szCs w:val="20"/>
        </w:rPr>
        <w:br/>
      </w:r>
      <w:r w:rsidR="00053A46" w:rsidRPr="00053A46">
        <w:rPr>
          <w:rFonts w:ascii="Georgia" w:eastAsia="Times New Roman" w:hAnsi="Georgia" w:cs="Arial"/>
          <w:sz w:val="20"/>
          <w:szCs w:val="20"/>
        </w:rPr>
        <w:br/>
      </w:r>
      <w:r w:rsidR="005E6689" w:rsidRPr="00053A46">
        <w:rPr>
          <w:rFonts w:ascii="Georgia" w:eastAsia="Times New Roman" w:hAnsi="Georgia" w:cs="Arial"/>
          <w:sz w:val="20"/>
          <w:szCs w:val="20"/>
        </w:rPr>
        <w:t>PwC refers to the PwC network and/or one or more of its member firms, each of which is a separate legal entity. Please see www.pwc.com/structure for further details.</w:t>
      </w:r>
      <w:r w:rsidR="00053A46" w:rsidRPr="00053A46">
        <w:rPr>
          <w:rFonts w:ascii="Georgia" w:eastAsia="Times New Roman" w:hAnsi="Georgia" w:cs="Arial"/>
          <w:sz w:val="20"/>
          <w:szCs w:val="20"/>
        </w:rPr>
        <w:br/>
      </w:r>
    </w:p>
    <w:p w:rsidR="005E6689" w:rsidRPr="00053A46" w:rsidRDefault="005E6689" w:rsidP="00053A46">
      <w:pPr>
        <w:pStyle w:val="ListParagraph"/>
        <w:numPr>
          <w:ilvl w:val="0"/>
          <w:numId w:val="9"/>
        </w:numPr>
        <w:autoSpaceDE w:val="0"/>
        <w:autoSpaceDN w:val="0"/>
        <w:adjustRightInd w:val="0"/>
        <w:ind w:right="433" w:firstLineChars="0"/>
        <w:jc w:val="left"/>
        <w:rPr>
          <w:rFonts w:ascii="Georgia" w:eastAsia="Times New Roman" w:hAnsi="Georgia" w:cs="Arial"/>
          <w:sz w:val="20"/>
          <w:szCs w:val="20"/>
        </w:rPr>
      </w:pPr>
      <w:r w:rsidRPr="00053A46">
        <w:rPr>
          <w:rFonts w:ascii="Georgia" w:eastAsiaTheme="minorHAnsi" w:hAnsi="Georgia" w:cs="Georgia"/>
          <w:iCs/>
          <w:sz w:val="20"/>
          <w:szCs w:val="20"/>
        </w:rPr>
        <w:t xml:space="preserve"> </w:t>
      </w:r>
      <w:r w:rsidRPr="00053A46">
        <w:rPr>
          <w:rFonts w:ascii="Georgia" w:eastAsiaTheme="minorHAnsi" w:hAnsi="Georgia" w:cs="Georgia"/>
          <w:b/>
          <w:iCs/>
          <w:sz w:val="20"/>
          <w:szCs w:val="20"/>
        </w:rPr>
        <w:t xml:space="preserve">About </w:t>
      </w:r>
      <w:r w:rsidRPr="00053A46">
        <w:rPr>
          <w:rFonts w:ascii="Georgia" w:eastAsia="Times New Roman" w:hAnsi="Georgia" w:cs="Arial"/>
          <w:b/>
          <w:bCs/>
          <w:sz w:val="20"/>
          <w:szCs w:val="20"/>
        </w:rPr>
        <w:t>PwC - Mainland China, Hong Kong and Macau</w:t>
      </w:r>
      <w:r w:rsidR="00053A46" w:rsidRPr="00053A46">
        <w:rPr>
          <w:rFonts w:ascii="Georgia" w:eastAsia="Times New Roman" w:hAnsi="Georgia" w:cs="Arial"/>
          <w:b/>
          <w:bCs/>
          <w:sz w:val="20"/>
          <w:szCs w:val="20"/>
        </w:rPr>
        <w:br/>
      </w:r>
      <w:r w:rsidR="00053A46" w:rsidRPr="00053A46">
        <w:rPr>
          <w:rFonts w:ascii="Georgia" w:eastAsia="Times New Roman" w:hAnsi="Georgia" w:cs="Arial"/>
          <w:b/>
          <w:bCs/>
          <w:sz w:val="20"/>
          <w:szCs w:val="20"/>
        </w:rPr>
        <w:br/>
      </w:r>
      <w:r w:rsidRPr="00053A46">
        <w:rPr>
          <w:rFonts w:ascii="Georgia" w:eastAsia="Times New Roman" w:hAnsi="Georgia" w:cs="Arial"/>
          <w:sz w:val="20"/>
          <w:szCs w:val="20"/>
        </w:rPr>
        <w:t>PwC in Mainland China, Hong Kong and Macau work together on a collaborative basis, subject to local applicable laws. Collectively, we have around 490 partners and a strength of around 13,500 people.</w:t>
      </w:r>
      <w:r w:rsidR="00053A46" w:rsidRPr="00053A46">
        <w:rPr>
          <w:rFonts w:ascii="Georgia" w:eastAsia="Times New Roman" w:hAnsi="Georgia" w:cs="Arial"/>
          <w:sz w:val="20"/>
          <w:szCs w:val="20"/>
        </w:rPr>
        <w:br/>
      </w:r>
      <w:r w:rsidR="00053A46" w:rsidRPr="00053A46">
        <w:rPr>
          <w:rFonts w:ascii="Georgia" w:eastAsia="Times New Roman" w:hAnsi="Georgia" w:cs="Arial"/>
          <w:sz w:val="20"/>
          <w:szCs w:val="20"/>
        </w:rPr>
        <w:br/>
      </w:r>
      <w:r w:rsidRPr="00053A46">
        <w:rPr>
          <w:rFonts w:ascii="Georgia" w:eastAsia="Times New Roman" w:hAnsi="Georgia" w:cs="Arial"/>
          <w:sz w:val="20"/>
          <w:szCs w:val="20"/>
        </w:rPr>
        <w:t>Providing organisations with the advice they need, wherever they may be located, our highly qualified, experienced professionals listen to different points of view to help organisations solve their business issues and identify and maximise the opportunities they seek. Our industry specialisation allows us to help co-create solutions with our clients for their sector of interest.</w:t>
      </w:r>
      <w:r w:rsidR="00053A46" w:rsidRPr="00053A46">
        <w:rPr>
          <w:rFonts w:ascii="Georgia" w:eastAsia="Times New Roman" w:hAnsi="Georgia" w:cs="Arial"/>
          <w:sz w:val="20"/>
          <w:szCs w:val="20"/>
        </w:rPr>
        <w:br/>
      </w:r>
      <w:r w:rsidR="00053A46" w:rsidRPr="00053A46">
        <w:rPr>
          <w:rFonts w:ascii="Georgia" w:eastAsia="Times New Roman" w:hAnsi="Georgia" w:cs="Arial"/>
          <w:sz w:val="20"/>
          <w:szCs w:val="20"/>
        </w:rPr>
        <w:br/>
      </w:r>
      <w:r w:rsidRPr="00053A46">
        <w:rPr>
          <w:rFonts w:ascii="Georgia" w:eastAsia="Times New Roman" w:hAnsi="Georgia" w:cs="Arial"/>
          <w:sz w:val="20"/>
          <w:szCs w:val="20"/>
        </w:rPr>
        <w:t>We are located in these cities: Beijing, Shanghai, Tianjin, Chongqing, Dalian, Xi'an, Qingdao, Nanjing, Suzhou, Hangzhou, Ningbo, Xiamen, Guangzhou, Shenzhen, Hong Kong and Macau.</w:t>
      </w:r>
    </w:p>
    <w:p w:rsidR="007C6884" w:rsidRPr="00053A46" w:rsidRDefault="007C6884" w:rsidP="00053A46">
      <w:pPr>
        <w:spacing w:line="240" w:lineRule="auto"/>
        <w:rPr>
          <w:rFonts w:eastAsiaTheme="minorHAnsi" w:cs="Georgia"/>
          <w:b/>
          <w:iCs/>
          <w:color w:val="000000"/>
          <w:szCs w:val="20"/>
        </w:rPr>
      </w:pPr>
    </w:p>
    <w:p w:rsidR="00635A64" w:rsidRPr="00053A46" w:rsidRDefault="00543742" w:rsidP="00053A46">
      <w:pPr>
        <w:spacing w:line="240" w:lineRule="auto"/>
        <w:rPr>
          <w:rFonts w:cs="Arial"/>
          <w:bCs/>
          <w:szCs w:val="20"/>
        </w:rPr>
      </w:pPr>
      <w:r w:rsidRPr="00053A46">
        <w:rPr>
          <w:rFonts w:cs="Arial"/>
          <w:color w:val="000000"/>
          <w:szCs w:val="20"/>
        </w:rPr>
        <w:t>2013</w:t>
      </w:r>
      <w:r w:rsidR="00522183" w:rsidRPr="00053A46">
        <w:rPr>
          <w:rFonts w:cs="Arial"/>
          <w:color w:val="000000"/>
          <w:szCs w:val="20"/>
        </w:rPr>
        <w:t xml:space="preserve"> </w:t>
      </w:r>
      <w:r w:rsidR="00B52711" w:rsidRPr="00053A46">
        <w:rPr>
          <w:rFonts w:cs="Arial"/>
          <w:color w:val="000000"/>
          <w:szCs w:val="20"/>
        </w:rPr>
        <w:t>PricewaterhouseCoopers. All rights reserved.</w:t>
      </w:r>
    </w:p>
    <w:sectPr w:rsidR="00635A64" w:rsidRPr="00053A46" w:rsidSect="003526A2">
      <w:headerReference w:type="even" r:id="rId10"/>
      <w:headerReference w:type="default" r:id="rId11"/>
      <w:footerReference w:type="even" r:id="rId12"/>
      <w:footerReference w:type="default" r:id="rId13"/>
      <w:headerReference w:type="first" r:id="rId14"/>
      <w:footerReference w:type="first" r:id="rId15"/>
      <w:pgSz w:w="11907" w:h="16839"/>
      <w:pgMar w:top="3137" w:right="850" w:bottom="1417" w:left="198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1A" w:rsidRDefault="00EA141A">
      <w:pPr>
        <w:spacing w:line="240" w:lineRule="auto"/>
      </w:pPr>
      <w:r>
        <w:separator/>
      </w:r>
    </w:p>
  </w:endnote>
  <w:endnote w:type="continuationSeparator" w:id="0">
    <w:p w:rsidR="00EA141A" w:rsidRDefault="00EA14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4D" w:rsidRDefault="00DD32F0">
    <w:pPr>
      <w:pStyle w:val="Footer"/>
    </w:pPr>
    <w:fldSimple w:instr=" PAGE  \* MERGEFORMAT ">
      <w:r w:rsidR="0016454D">
        <w:rPr>
          <w:noProof/>
        </w:rPr>
        <w:t>2</w:t>
      </w:r>
    </w:fldSimple>
    <w:r w:rsidR="0016454D">
      <w:t xml:space="preserve"> of </w:t>
    </w:r>
    <w:fldSimple w:instr=" NUMPAGES  \* MERGEFORMAT ">
      <w:r w:rsidR="00717C3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4D" w:rsidRDefault="00DD32F0">
    <w:pPr>
      <w:pStyle w:val="Footer"/>
    </w:pPr>
    <w:fldSimple w:instr=" PAGE  \* MERGEFORMAT ">
      <w:r w:rsidR="00053A46">
        <w:rPr>
          <w:noProof/>
        </w:rPr>
        <w:t>3</w:t>
      </w:r>
    </w:fldSimple>
    <w:r w:rsidR="0016454D">
      <w:t xml:space="preserve"> of </w:t>
    </w:r>
    <w:fldSimple w:instr=" NUMPAGES  \* MERGEFORMAT ">
      <w:r w:rsidR="00053A46">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4D" w:rsidRDefault="0016454D">
    <w:pPr>
      <w:pStyle w:val="Address"/>
    </w:pPr>
    <w:r>
      <w:t>PricewaterhouseCoopers Ltd. 22/F, Prince’s Building, Central, Hong Kong</w:t>
    </w:r>
  </w:p>
  <w:p w:rsidR="0016454D" w:rsidRDefault="0016454D">
    <w:pPr>
      <w:pStyle w:val="Address"/>
    </w:pPr>
    <w:r>
      <w:t xml:space="preserve">T: +852 2289 8888, F: +852 2810 9888, </w:t>
    </w:r>
    <w:r w:rsidRPr="003526A2">
      <w:t>www.pwchk.com</w:t>
    </w:r>
    <w:r>
      <w:t xml:space="preserve"> </w:t>
    </w:r>
  </w:p>
  <w:p w:rsidR="0016454D" w:rsidRDefault="0016454D">
    <w:pPr>
      <w:pStyle w:val="Addre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1A" w:rsidRDefault="00EA141A">
      <w:pPr>
        <w:spacing w:line="240" w:lineRule="auto"/>
      </w:pPr>
      <w:r>
        <w:separator/>
      </w:r>
    </w:p>
  </w:footnote>
  <w:footnote w:type="continuationSeparator" w:id="0">
    <w:p w:rsidR="00EA141A" w:rsidRDefault="00EA14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4D" w:rsidRDefault="0016454D">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6454D" w:rsidRDefault="00164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4D" w:rsidRDefault="0016454D">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6454D" w:rsidRDefault="0016454D">
    <w:pPr>
      <w:pStyle w:val="Header"/>
    </w:pPr>
    <w:r w:rsidRPr="003526A2">
      <w:rPr>
        <w:noProof/>
        <w:lang w:eastAsia="en-GB"/>
      </w:rPr>
      <w:drawing>
        <wp:anchor distT="0" distB="0" distL="114300" distR="114300" simplePos="0" relativeHeight="251661824" behindDoc="0" locked="0" layoutInCell="1" allowOverlap="1">
          <wp:simplePos x="0" y="0"/>
          <wp:positionH relativeFrom="column">
            <wp:posOffset>3863340</wp:posOffset>
          </wp:positionH>
          <wp:positionV relativeFrom="paragraph">
            <wp:posOffset>421640</wp:posOffset>
          </wp:positionV>
          <wp:extent cx="1925320" cy="404495"/>
          <wp:effectExtent l="19050" t="0" r="0" b="0"/>
          <wp:wrapThrough wrapText="bothSides">
            <wp:wrapPolygon edited="0">
              <wp:start x="-214" y="0"/>
              <wp:lineTo x="-214" y="20345"/>
              <wp:lineTo x="21586" y="20345"/>
              <wp:lineTo x="21586" y="0"/>
              <wp:lineTo x="-214" y="0"/>
            </wp:wrapPolygon>
          </wp:wrapThrough>
          <wp:docPr id="6" name="Picture 1" descr="协会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协会标志"/>
                  <pic:cNvPicPr>
                    <a:picLocks noChangeAspect="1" noChangeArrowheads="1"/>
                  </pic:cNvPicPr>
                </pic:nvPicPr>
                <pic:blipFill>
                  <a:blip r:embed="rId2"/>
                  <a:srcRect/>
                  <a:stretch>
                    <a:fillRect/>
                  </a:stretch>
                </pic:blipFill>
                <pic:spPr bwMode="auto">
                  <a:xfrm>
                    <a:off x="0" y="0"/>
                    <a:ext cx="1925320" cy="40449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4D" w:rsidRDefault="0016454D">
    <w:pPr>
      <w:pStyle w:val="Header"/>
    </w:pPr>
    <w:r>
      <w:rPr>
        <w:noProof/>
        <w:lang w:eastAsia="en-GB"/>
      </w:rPr>
      <w:drawing>
        <wp:anchor distT="0" distB="0" distL="114300" distR="114300" simplePos="0" relativeHeight="251659776" behindDoc="0" locked="0" layoutInCell="1" allowOverlap="1">
          <wp:simplePos x="0" y="0"/>
          <wp:positionH relativeFrom="column">
            <wp:posOffset>3863340</wp:posOffset>
          </wp:positionH>
          <wp:positionV relativeFrom="paragraph">
            <wp:posOffset>508000</wp:posOffset>
          </wp:positionV>
          <wp:extent cx="1923415" cy="404495"/>
          <wp:effectExtent l="19050" t="0" r="635" b="0"/>
          <wp:wrapThrough wrapText="bothSides">
            <wp:wrapPolygon edited="0">
              <wp:start x="-214" y="0"/>
              <wp:lineTo x="-214" y="20345"/>
              <wp:lineTo x="21607" y="20345"/>
              <wp:lineTo x="21607" y="0"/>
              <wp:lineTo x="-214" y="0"/>
            </wp:wrapPolygon>
          </wp:wrapThrough>
          <wp:docPr id="4" name="Picture 1" descr="协会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协会标志"/>
                  <pic:cNvPicPr>
                    <a:picLocks noChangeAspect="1" noChangeArrowheads="1"/>
                  </pic:cNvPicPr>
                </pic:nvPicPr>
                <pic:blipFill>
                  <a:blip r:embed="rId1"/>
                  <a:srcRect/>
                  <a:stretch>
                    <a:fillRect/>
                  </a:stretch>
                </pic:blipFill>
                <pic:spPr bwMode="auto">
                  <a:xfrm>
                    <a:off x="0" y="0"/>
                    <a:ext cx="1923415" cy="4044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410970" cy="126873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800"/>
    <w:multiLevelType w:val="hybridMultilevel"/>
    <w:tmpl w:val="BB7E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926D4"/>
    <w:multiLevelType w:val="hybridMultilevel"/>
    <w:tmpl w:val="3690BF80"/>
    <w:lvl w:ilvl="0" w:tplc="1E7E53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4A6A30"/>
    <w:multiLevelType w:val="hybridMultilevel"/>
    <w:tmpl w:val="2288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B7D1D"/>
    <w:multiLevelType w:val="hybridMultilevel"/>
    <w:tmpl w:val="4978E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32611B"/>
    <w:multiLevelType w:val="hybridMultilevel"/>
    <w:tmpl w:val="6DAE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1959B9"/>
    <w:multiLevelType w:val="hybridMultilevel"/>
    <w:tmpl w:val="F498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06D8B"/>
    <w:multiLevelType w:val="hybridMultilevel"/>
    <w:tmpl w:val="3EF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C7291"/>
    <w:multiLevelType w:val="hybridMultilevel"/>
    <w:tmpl w:val="CA46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4041B"/>
    <w:multiLevelType w:val="hybridMultilevel"/>
    <w:tmpl w:val="41EE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characterSpacingControl w:val="doNotCompress"/>
  <w:hdrShapeDefaults>
    <o:shapedefaults v:ext="edit" spidmax="130050"/>
  </w:hdrShapeDefaults>
  <w:footnotePr>
    <w:footnote w:id="-1"/>
    <w:footnote w:id="0"/>
  </w:footnotePr>
  <w:endnotePr>
    <w:endnote w:id="-1"/>
    <w:endnote w:id="0"/>
  </w:endnotePr>
  <w:compat>
    <w:useFELayout/>
  </w:compat>
  <w:rsids>
    <w:rsidRoot w:val="007B1B83"/>
    <w:rsid w:val="00007616"/>
    <w:rsid w:val="00017E1D"/>
    <w:rsid w:val="000205AD"/>
    <w:rsid w:val="000313DF"/>
    <w:rsid w:val="00053A46"/>
    <w:rsid w:val="00074431"/>
    <w:rsid w:val="000826F9"/>
    <w:rsid w:val="000903C5"/>
    <w:rsid w:val="000A35D8"/>
    <w:rsid w:val="000A47D2"/>
    <w:rsid w:val="000A66CE"/>
    <w:rsid w:val="000B5033"/>
    <w:rsid w:val="000B776E"/>
    <w:rsid w:val="000C1CD3"/>
    <w:rsid w:val="000E385D"/>
    <w:rsid w:val="000F4150"/>
    <w:rsid w:val="000F49AD"/>
    <w:rsid w:val="001314BD"/>
    <w:rsid w:val="001321FA"/>
    <w:rsid w:val="00151D4F"/>
    <w:rsid w:val="00152E69"/>
    <w:rsid w:val="0016454D"/>
    <w:rsid w:val="00171C21"/>
    <w:rsid w:val="001757B8"/>
    <w:rsid w:val="00176C10"/>
    <w:rsid w:val="00182070"/>
    <w:rsid w:val="00183343"/>
    <w:rsid w:val="00196182"/>
    <w:rsid w:val="001A0AB8"/>
    <w:rsid w:val="001A18D9"/>
    <w:rsid w:val="001B6BD9"/>
    <w:rsid w:val="001C31FA"/>
    <w:rsid w:val="001C3A16"/>
    <w:rsid w:val="001C548F"/>
    <w:rsid w:val="001C782E"/>
    <w:rsid w:val="001E5A56"/>
    <w:rsid w:val="00201A98"/>
    <w:rsid w:val="002041C4"/>
    <w:rsid w:val="00220A92"/>
    <w:rsid w:val="00226BFB"/>
    <w:rsid w:val="00231024"/>
    <w:rsid w:val="0026061A"/>
    <w:rsid w:val="00262EEE"/>
    <w:rsid w:val="002915A4"/>
    <w:rsid w:val="002A152D"/>
    <w:rsid w:val="002A45A4"/>
    <w:rsid w:val="002A6EAD"/>
    <w:rsid w:val="002B55C5"/>
    <w:rsid w:val="002C0733"/>
    <w:rsid w:val="002C254E"/>
    <w:rsid w:val="002D331C"/>
    <w:rsid w:val="002E00F5"/>
    <w:rsid w:val="002E20ED"/>
    <w:rsid w:val="002F4A19"/>
    <w:rsid w:val="00302106"/>
    <w:rsid w:val="003036D7"/>
    <w:rsid w:val="00305961"/>
    <w:rsid w:val="00306FE7"/>
    <w:rsid w:val="00340CAA"/>
    <w:rsid w:val="00346C02"/>
    <w:rsid w:val="003526A2"/>
    <w:rsid w:val="00362F89"/>
    <w:rsid w:val="00384BCC"/>
    <w:rsid w:val="00386235"/>
    <w:rsid w:val="0039254C"/>
    <w:rsid w:val="003955EB"/>
    <w:rsid w:val="003B2B92"/>
    <w:rsid w:val="003B68F7"/>
    <w:rsid w:val="003C54FE"/>
    <w:rsid w:val="003D0A22"/>
    <w:rsid w:val="003D2BE1"/>
    <w:rsid w:val="003E3A07"/>
    <w:rsid w:val="004104E3"/>
    <w:rsid w:val="00412F18"/>
    <w:rsid w:val="00417704"/>
    <w:rsid w:val="00417905"/>
    <w:rsid w:val="0044041F"/>
    <w:rsid w:val="00452A12"/>
    <w:rsid w:val="00453B65"/>
    <w:rsid w:val="004706AC"/>
    <w:rsid w:val="00470778"/>
    <w:rsid w:val="004772EC"/>
    <w:rsid w:val="004A4EEE"/>
    <w:rsid w:val="004B0C28"/>
    <w:rsid w:val="004D5E88"/>
    <w:rsid w:val="004D6B04"/>
    <w:rsid w:val="0051613C"/>
    <w:rsid w:val="00522183"/>
    <w:rsid w:val="00525B00"/>
    <w:rsid w:val="00537F43"/>
    <w:rsid w:val="00543742"/>
    <w:rsid w:val="005440FD"/>
    <w:rsid w:val="00550461"/>
    <w:rsid w:val="00570057"/>
    <w:rsid w:val="00592516"/>
    <w:rsid w:val="005A6A4A"/>
    <w:rsid w:val="005B697D"/>
    <w:rsid w:val="005C2B45"/>
    <w:rsid w:val="005D7E70"/>
    <w:rsid w:val="005E6689"/>
    <w:rsid w:val="006009E8"/>
    <w:rsid w:val="00635A64"/>
    <w:rsid w:val="00635A8B"/>
    <w:rsid w:val="00644F2D"/>
    <w:rsid w:val="0065162C"/>
    <w:rsid w:val="00663135"/>
    <w:rsid w:val="00664BD1"/>
    <w:rsid w:val="006653F7"/>
    <w:rsid w:val="0068019D"/>
    <w:rsid w:val="006833D1"/>
    <w:rsid w:val="00695B7B"/>
    <w:rsid w:val="006B0228"/>
    <w:rsid w:val="006B64E1"/>
    <w:rsid w:val="006C127C"/>
    <w:rsid w:val="006C26D0"/>
    <w:rsid w:val="006D66EB"/>
    <w:rsid w:val="006F7CA9"/>
    <w:rsid w:val="00717C33"/>
    <w:rsid w:val="00721C8A"/>
    <w:rsid w:val="00747254"/>
    <w:rsid w:val="00753AD4"/>
    <w:rsid w:val="00756820"/>
    <w:rsid w:val="007600BD"/>
    <w:rsid w:val="00781A46"/>
    <w:rsid w:val="00785E8C"/>
    <w:rsid w:val="00787A7D"/>
    <w:rsid w:val="00790C1D"/>
    <w:rsid w:val="007A3A17"/>
    <w:rsid w:val="007A3E63"/>
    <w:rsid w:val="007B1B83"/>
    <w:rsid w:val="007C1993"/>
    <w:rsid w:val="007C4E7E"/>
    <w:rsid w:val="007C682B"/>
    <w:rsid w:val="007C6884"/>
    <w:rsid w:val="007D1A9E"/>
    <w:rsid w:val="007D1F41"/>
    <w:rsid w:val="007D6A9B"/>
    <w:rsid w:val="007D7E5A"/>
    <w:rsid w:val="007F7ADB"/>
    <w:rsid w:val="00811F92"/>
    <w:rsid w:val="00817D9B"/>
    <w:rsid w:val="00821E56"/>
    <w:rsid w:val="008264D7"/>
    <w:rsid w:val="00826CB2"/>
    <w:rsid w:val="0084198C"/>
    <w:rsid w:val="008558D5"/>
    <w:rsid w:val="00870F85"/>
    <w:rsid w:val="00880A82"/>
    <w:rsid w:val="00891C85"/>
    <w:rsid w:val="00894340"/>
    <w:rsid w:val="008A1E57"/>
    <w:rsid w:val="008B0589"/>
    <w:rsid w:val="008B6A1E"/>
    <w:rsid w:val="008B6C0E"/>
    <w:rsid w:val="008D08E2"/>
    <w:rsid w:val="008E65FB"/>
    <w:rsid w:val="00925E16"/>
    <w:rsid w:val="00940C4A"/>
    <w:rsid w:val="00951808"/>
    <w:rsid w:val="0095386D"/>
    <w:rsid w:val="00961367"/>
    <w:rsid w:val="009667F0"/>
    <w:rsid w:val="00975027"/>
    <w:rsid w:val="00982DDA"/>
    <w:rsid w:val="009831C5"/>
    <w:rsid w:val="0098395F"/>
    <w:rsid w:val="009A0EF4"/>
    <w:rsid w:val="009D50A3"/>
    <w:rsid w:val="009E71C2"/>
    <w:rsid w:val="009E7FCE"/>
    <w:rsid w:val="009F3489"/>
    <w:rsid w:val="00A235FB"/>
    <w:rsid w:val="00A2640B"/>
    <w:rsid w:val="00A33E6F"/>
    <w:rsid w:val="00A34E9A"/>
    <w:rsid w:val="00A530ED"/>
    <w:rsid w:val="00A612AD"/>
    <w:rsid w:val="00A64102"/>
    <w:rsid w:val="00A64122"/>
    <w:rsid w:val="00A83948"/>
    <w:rsid w:val="00A9114C"/>
    <w:rsid w:val="00AA6796"/>
    <w:rsid w:val="00AB00E0"/>
    <w:rsid w:val="00AE0B26"/>
    <w:rsid w:val="00AE58D9"/>
    <w:rsid w:val="00B062ED"/>
    <w:rsid w:val="00B112A7"/>
    <w:rsid w:val="00B17961"/>
    <w:rsid w:val="00B21ECC"/>
    <w:rsid w:val="00B27367"/>
    <w:rsid w:val="00B40D17"/>
    <w:rsid w:val="00B4161A"/>
    <w:rsid w:val="00B52711"/>
    <w:rsid w:val="00B532F3"/>
    <w:rsid w:val="00B64877"/>
    <w:rsid w:val="00B75C6E"/>
    <w:rsid w:val="00B761FD"/>
    <w:rsid w:val="00B8267D"/>
    <w:rsid w:val="00B90B12"/>
    <w:rsid w:val="00B9641B"/>
    <w:rsid w:val="00BB30DF"/>
    <w:rsid w:val="00BB7ABF"/>
    <w:rsid w:val="00BC1CDC"/>
    <w:rsid w:val="00BC32BD"/>
    <w:rsid w:val="00BE772F"/>
    <w:rsid w:val="00BF1FEF"/>
    <w:rsid w:val="00C00B8B"/>
    <w:rsid w:val="00C03C63"/>
    <w:rsid w:val="00C82349"/>
    <w:rsid w:val="00C8247C"/>
    <w:rsid w:val="00CD1A9F"/>
    <w:rsid w:val="00CD4504"/>
    <w:rsid w:val="00CD6630"/>
    <w:rsid w:val="00CE59CA"/>
    <w:rsid w:val="00CF6020"/>
    <w:rsid w:val="00CF73AD"/>
    <w:rsid w:val="00D16B22"/>
    <w:rsid w:val="00D41DE9"/>
    <w:rsid w:val="00D420DB"/>
    <w:rsid w:val="00D51333"/>
    <w:rsid w:val="00D56FE7"/>
    <w:rsid w:val="00D61F42"/>
    <w:rsid w:val="00D731D9"/>
    <w:rsid w:val="00D7505B"/>
    <w:rsid w:val="00D76705"/>
    <w:rsid w:val="00D95DDC"/>
    <w:rsid w:val="00DA06EA"/>
    <w:rsid w:val="00DB520A"/>
    <w:rsid w:val="00DB5A30"/>
    <w:rsid w:val="00DB631F"/>
    <w:rsid w:val="00DC3CB5"/>
    <w:rsid w:val="00DD32F0"/>
    <w:rsid w:val="00DE191B"/>
    <w:rsid w:val="00DE3283"/>
    <w:rsid w:val="00DE5914"/>
    <w:rsid w:val="00DE6F19"/>
    <w:rsid w:val="00E0671D"/>
    <w:rsid w:val="00E07ACC"/>
    <w:rsid w:val="00E20492"/>
    <w:rsid w:val="00E25686"/>
    <w:rsid w:val="00E32195"/>
    <w:rsid w:val="00E33815"/>
    <w:rsid w:val="00E36C5F"/>
    <w:rsid w:val="00E43956"/>
    <w:rsid w:val="00E64894"/>
    <w:rsid w:val="00E9107B"/>
    <w:rsid w:val="00E922AA"/>
    <w:rsid w:val="00EA141A"/>
    <w:rsid w:val="00EA14AB"/>
    <w:rsid w:val="00EF3A0A"/>
    <w:rsid w:val="00F07640"/>
    <w:rsid w:val="00F11235"/>
    <w:rsid w:val="00F15279"/>
    <w:rsid w:val="00F562E7"/>
    <w:rsid w:val="00F6231F"/>
    <w:rsid w:val="00F754B6"/>
    <w:rsid w:val="00F91940"/>
    <w:rsid w:val="00F95B20"/>
    <w:rsid w:val="00F95DA8"/>
    <w:rsid w:val="00F97C20"/>
    <w:rsid w:val="00FB0E76"/>
    <w:rsid w:val="00FB3A2E"/>
    <w:rsid w:val="00FB6894"/>
    <w:rsid w:val="00FB7730"/>
    <w:rsid w:val="00FC7D0B"/>
    <w:rsid w:val="00FE0077"/>
    <w:rsid w:val="00FE70EB"/>
    <w:rsid w:val="00FF3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83"/>
    <w:pPr>
      <w:spacing w:line="240" w:lineRule="atLeast"/>
    </w:pPr>
    <w:rPr>
      <w:rFonts w:ascii="Georgia" w:hAnsi="Georgia"/>
      <w:szCs w:val="22"/>
      <w:lang w:eastAsia="en-US"/>
    </w:rPr>
  </w:style>
  <w:style w:type="paragraph" w:styleId="Heading1">
    <w:name w:val="heading 1"/>
    <w:basedOn w:val="Normal"/>
    <w:next w:val="Normal"/>
    <w:link w:val="Heading1Char"/>
    <w:qFormat/>
    <w:rsid w:val="007B1B83"/>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B8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B1B83"/>
  </w:style>
  <w:style w:type="paragraph" w:styleId="Footer">
    <w:name w:val="footer"/>
    <w:basedOn w:val="Normal"/>
    <w:link w:val="FooterChar"/>
    <w:uiPriority w:val="99"/>
    <w:semiHidden/>
    <w:unhideWhenUsed/>
    <w:rsid w:val="007B1B8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B1B83"/>
  </w:style>
  <w:style w:type="paragraph" w:styleId="BodyText">
    <w:name w:val="Body Text"/>
    <w:basedOn w:val="Normal"/>
    <w:link w:val="BodyTextChar"/>
    <w:uiPriority w:val="99"/>
    <w:semiHidden/>
    <w:unhideWhenUsed/>
    <w:rsid w:val="007B1B83"/>
    <w:pPr>
      <w:spacing w:after="240"/>
    </w:pPr>
  </w:style>
  <w:style w:type="character" w:customStyle="1" w:styleId="BodyTextChar">
    <w:name w:val="Body Text Char"/>
    <w:basedOn w:val="DefaultParagraphFont"/>
    <w:link w:val="BodyText"/>
    <w:uiPriority w:val="99"/>
    <w:semiHidden/>
    <w:rsid w:val="007B1B83"/>
    <w:rPr>
      <w:rFonts w:ascii="Georgia" w:hAnsi="Georgia"/>
      <w:sz w:val="20"/>
    </w:rPr>
  </w:style>
  <w:style w:type="paragraph" w:styleId="Title">
    <w:name w:val="Title"/>
    <w:basedOn w:val="Normal"/>
    <w:next w:val="Normal"/>
    <w:link w:val="TitleChar"/>
    <w:uiPriority w:val="10"/>
    <w:qFormat/>
    <w:rsid w:val="007B1B8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7B1B83"/>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7B1B83"/>
    <w:pPr>
      <w:spacing w:line="200" w:lineRule="atLeast"/>
    </w:pPr>
    <w:rPr>
      <w:i/>
      <w:sz w:val="18"/>
    </w:rPr>
  </w:style>
  <w:style w:type="character" w:customStyle="1" w:styleId="AddressChar">
    <w:name w:val="Address Char"/>
    <w:basedOn w:val="DefaultParagraphFont"/>
    <w:link w:val="Address"/>
    <w:rsid w:val="007B1B83"/>
    <w:rPr>
      <w:rFonts w:ascii="Georgia" w:hAnsi="Georgia"/>
      <w:i/>
      <w:sz w:val="18"/>
    </w:rPr>
  </w:style>
  <w:style w:type="paragraph" w:customStyle="1" w:styleId="Disclaimer">
    <w:name w:val="Disclaimer"/>
    <w:basedOn w:val="Normal"/>
    <w:link w:val="DisclaimerChar"/>
    <w:rsid w:val="007B1B83"/>
    <w:pPr>
      <w:spacing w:line="140" w:lineRule="atLeast"/>
    </w:pPr>
    <w:rPr>
      <w:rFonts w:ascii="Arial" w:hAnsi="Arial" w:cs="Arial"/>
      <w:sz w:val="12"/>
    </w:rPr>
  </w:style>
  <w:style w:type="character" w:customStyle="1" w:styleId="DisclaimerChar">
    <w:name w:val="Disclaimer Char"/>
    <w:basedOn w:val="DefaultParagraphFont"/>
    <w:link w:val="Disclaimer"/>
    <w:rsid w:val="007B1B83"/>
    <w:rPr>
      <w:rFonts w:ascii="Arial" w:hAnsi="Arial" w:cs="Arial"/>
      <w:sz w:val="12"/>
    </w:rPr>
  </w:style>
  <w:style w:type="character" w:customStyle="1" w:styleId="Heading1Char">
    <w:name w:val="Heading 1 Char"/>
    <w:basedOn w:val="DefaultParagraphFont"/>
    <w:link w:val="Heading1"/>
    <w:rsid w:val="007B1B8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A33E6F"/>
    <w:rPr>
      <w:color w:val="0000FF" w:themeColor="hyperlink"/>
      <w:u w:val="single"/>
    </w:rPr>
  </w:style>
  <w:style w:type="paragraph" w:styleId="ListParagraph">
    <w:name w:val="List Paragraph"/>
    <w:basedOn w:val="Normal"/>
    <w:qFormat/>
    <w:rsid w:val="00B27367"/>
    <w:pPr>
      <w:widowControl w:val="0"/>
      <w:spacing w:line="240" w:lineRule="auto"/>
      <w:ind w:firstLineChars="200" w:firstLine="420"/>
      <w:jc w:val="both"/>
    </w:pPr>
    <w:rPr>
      <w:rFonts w:ascii="Calibri" w:eastAsia="SimSun" w:hAnsi="Calibri"/>
      <w:kern w:val="2"/>
      <w:sz w:val="21"/>
      <w:lang w:val="en-US" w:eastAsia="zh-CN"/>
    </w:rPr>
  </w:style>
  <w:style w:type="paragraph" w:styleId="BalloonText">
    <w:name w:val="Balloon Text"/>
    <w:basedOn w:val="Normal"/>
    <w:link w:val="BalloonTextChar"/>
    <w:uiPriority w:val="99"/>
    <w:semiHidden/>
    <w:unhideWhenUsed/>
    <w:rsid w:val="00152E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69"/>
    <w:rPr>
      <w:rFonts w:ascii="Tahoma" w:hAnsi="Tahoma" w:cs="Tahoma"/>
      <w:sz w:val="16"/>
      <w:szCs w:val="16"/>
      <w:lang w:eastAsia="en-US"/>
    </w:rPr>
  </w:style>
  <w:style w:type="character" w:styleId="CommentReference">
    <w:name w:val="annotation reference"/>
    <w:basedOn w:val="DefaultParagraphFont"/>
    <w:uiPriority w:val="99"/>
    <w:semiHidden/>
    <w:unhideWhenUsed/>
    <w:rsid w:val="00306FE7"/>
    <w:rPr>
      <w:sz w:val="16"/>
      <w:szCs w:val="16"/>
    </w:rPr>
  </w:style>
  <w:style w:type="paragraph" w:styleId="CommentText">
    <w:name w:val="annotation text"/>
    <w:basedOn w:val="Normal"/>
    <w:link w:val="CommentTextChar"/>
    <w:uiPriority w:val="99"/>
    <w:semiHidden/>
    <w:unhideWhenUsed/>
    <w:rsid w:val="00306FE7"/>
    <w:pPr>
      <w:widowControl w:val="0"/>
      <w:spacing w:line="240" w:lineRule="auto"/>
    </w:pPr>
    <w:rPr>
      <w:rFonts w:ascii="Arial" w:eastAsia="Arial" w:hAnsi="Arial" w:cs="Arial"/>
      <w:kern w:val="2"/>
      <w:szCs w:val="20"/>
      <w:lang w:val="en-US" w:eastAsia="zh-CN"/>
    </w:rPr>
  </w:style>
  <w:style w:type="character" w:customStyle="1" w:styleId="CommentTextChar">
    <w:name w:val="Comment Text Char"/>
    <w:basedOn w:val="DefaultParagraphFont"/>
    <w:link w:val="CommentText"/>
    <w:uiPriority w:val="99"/>
    <w:semiHidden/>
    <w:rsid w:val="00306FE7"/>
    <w:rPr>
      <w:rFonts w:ascii="Arial" w:eastAsia="Arial" w:hAnsi="Arial" w:cs="Arial"/>
      <w:kern w:val="2"/>
      <w:lang w:val="en-US" w:eastAsia="zh-CN"/>
    </w:rPr>
  </w:style>
</w:styles>
</file>

<file path=word/webSettings.xml><?xml version="1.0" encoding="utf-8"?>
<w:webSettings xmlns:r="http://schemas.openxmlformats.org/officeDocument/2006/relationships" xmlns:w="http://schemas.openxmlformats.org/wordprocessingml/2006/main">
  <w:divs>
    <w:div w:id="280116782">
      <w:bodyDiv w:val="1"/>
      <w:marLeft w:val="0"/>
      <w:marRight w:val="0"/>
      <w:marTop w:val="0"/>
      <w:marBottom w:val="0"/>
      <w:divBdr>
        <w:top w:val="none" w:sz="0" w:space="0" w:color="auto"/>
        <w:left w:val="none" w:sz="0" w:space="0" w:color="auto"/>
        <w:bottom w:val="none" w:sz="0" w:space="0" w:color="auto"/>
        <w:right w:val="none" w:sz="0" w:space="0" w:color="auto"/>
      </w:divBdr>
    </w:div>
    <w:div w:id="4805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hk.com/home/eng/rs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arl.fan@hk.pw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svanpelt001</cp:lastModifiedBy>
  <cp:revision>2</cp:revision>
  <cp:lastPrinted>2013-01-05T23:32:00Z</cp:lastPrinted>
  <dcterms:created xsi:type="dcterms:W3CDTF">2013-01-08T15:20:00Z</dcterms:created>
  <dcterms:modified xsi:type="dcterms:W3CDTF">2013-01-08T15:20:00Z</dcterms:modified>
</cp:coreProperties>
</file>