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6480"/>
      </w:tblGrid>
      <w:tr w:rsidR="00D81336" w:rsidTr="00426543">
        <w:tc>
          <w:tcPr>
            <w:tcW w:w="2268" w:type="dxa"/>
          </w:tcPr>
          <w:p w:rsidR="00D81336" w:rsidRDefault="00A77FF6">
            <w:pPr>
              <w:rPr>
                <w:i/>
              </w:rPr>
            </w:pPr>
            <w:r>
              <w:rPr>
                <w:i/>
              </w:rPr>
              <w:t>Date</w:t>
            </w:r>
          </w:p>
        </w:tc>
        <w:tc>
          <w:tcPr>
            <w:tcW w:w="6480" w:type="dxa"/>
          </w:tcPr>
          <w:p w:rsidR="00D81336" w:rsidRPr="00426543" w:rsidRDefault="00426543">
            <w:pPr>
              <w:rPr>
                <w:b/>
              </w:rPr>
            </w:pPr>
            <w:r w:rsidRPr="00426543">
              <w:rPr>
                <w:b/>
              </w:rPr>
              <w:t xml:space="preserve">Embargoed until 0900 hrs GMT </w:t>
            </w:r>
            <w:r w:rsidR="00286231" w:rsidRPr="00426543">
              <w:rPr>
                <w:b/>
              </w:rPr>
              <w:t>3 December</w:t>
            </w:r>
            <w:r w:rsidR="00E54B44" w:rsidRPr="00426543">
              <w:rPr>
                <w:b/>
              </w:rPr>
              <w:t xml:space="preserve"> 2012</w:t>
            </w:r>
          </w:p>
          <w:p w:rsidR="00D81336" w:rsidRDefault="00D81336"/>
        </w:tc>
      </w:tr>
      <w:tr w:rsidR="00D81336" w:rsidTr="00426543">
        <w:tc>
          <w:tcPr>
            <w:tcW w:w="2268" w:type="dxa"/>
          </w:tcPr>
          <w:p w:rsidR="00D81336" w:rsidRDefault="00A77FF6">
            <w:pPr>
              <w:rPr>
                <w:i/>
              </w:rPr>
            </w:pPr>
            <w:r>
              <w:rPr>
                <w:i/>
              </w:rPr>
              <w:t>Contact</w:t>
            </w:r>
          </w:p>
        </w:tc>
        <w:tc>
          <w:tcPr>
            <w:tcW w:w="6480" w:type="dxa"/>
          </w:tcPr>
          <w:p w:rsidR="00D81336" w:rsidRDefault="00E54B44">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E54B44">
              <w:rPr>
                <w:rFonts w:cs="Arial"/>
                <w:color w:val="000000"/>
                <w:lang w:val="fr-CH"/>
              </w:rPr>
              <w:t>+1 646-471-4039</w:t>
            </w:r>
            <w:r w:rsidR="00A87306">
              <w:rPr>
                <w:rFonts w:cs="Arial"/>
                <w:color w:val="000000"/>
                <w:lang w:val="fr-CH"/>
              </w:rPr>
              <w:t xml:space="preserve"> or +1 917-213-1121</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hyperlink r:id="rId7" w:history="1">
              <w:r w:rsidR="00890C19" w:rsidRPr="0024196F">
                <w:rPr>
                  <w:rStyle w:val="Hyperlink"/>
                  <w:rFonts w:cs="Arial"/>
                  <w:lang w:val="it-IT"/>
                </w:rPr>
                <w:t>alayna.francis@us.pwc.com</w:t>
              </w:r>
            </w:hyperlink>
          </w:p>
          <w:p w:rsidR="00890C19" w:rsidRDefault="00890C19" w:rsidP="001E7D34">
            <w:pPr>
              <w:tabs>
                <w:tab w:val="left" w:pos="1440"/>
              </w:tabs>
              <w:ind w:left="1440" w:hanging="1440"/>
              <w:rPr>
                <w:rFonts w:cs="Arial"/>
                <w:color w:val="000000"/>
                <w:lang w:val="it-IT"/>
              </w:rPr>
            </w:pPr>
          </w:p>
        </w:tc>
      </w:tr>
      <w:tr w:rsidR="00D81336" w:rsidTr="00426543">
        <w:tc>
          <w:tcPr>
            <w:tcW w:w="2268" w:type="dxa"/>
          </w:tcPr>
          <w:p w:rsidR="00D81336" w:rsidRDefault="00D81336">
            <w:pPr>
              <w:rPr>
                <w:i/>
                <w:lang w:val="it-IT"/>
              </w:rPr>
            </w:pPr>
          </w:p>
          <w:p w:rsidR="00D81336" w:rsidRDefault="00A77FF6">
            <w:pPr>
              <w:rPr>
                <w:i/>
              </w:rPr>
            </w:pPr>
            <w:r>
              <w:rPr>
                <w:i/>
              </w:rPr>
              <w:t xml:space="preserve">Pages </w:t>
            </w:r>
          </w:p>
        </w:tc>
        <w:tc>
          <w:tcPr>
            <w:tcW w:w="6480" w:type="dxa"/>
          </w:tcPr>
          <w:p w:rsidR="00D81336" w:rsidRDefault="00D81336"/>
          <w:p w:rsidR="00D81336" w:rsidRDefault="00E54B44" w:rsidP="00E54B44">
            <w:r>
              <w:t>2</w:t>
            </w:r>
          </w:p>
        </w:tc>
      </w:tr>
    </w:tbl>
    <w:p w:rsidR="00D81336" w:rsidRPr="00426543" w:rsidRDefault="00D81336">
      <w:pPr>
        <w:pStyle w:val="Title"/>
        <w:rPr>
          <w:i w:val="0"/>
          <w:sz w:val="16"/>
          <w:szCs w:val="16"/>
        </w:rPr>
      </w:pPr>
    </w:p>
    <w:p w:rsidR="00E54B44" w:rsidRPr="00E54B44" w:rsidRDefault="00E54B44" w:rsidP="00D07F16">
      <w:pPr>
        <w:pStyle w:val="BodySingle"/>
        <w:jc w:val="center"/>
        <w:rPr>
          <w:b/>
          <w:sz w:val="28"/>
          <w:szCs w:val="28"/>
        </w:rPr>
      </w:pPr>
      <w:r w:rsidRPr="00E54B44">
        <w:rPr>
          <w:b/>
          <w:sz w:val="28"/>
          <w:szCs w:val="28"/>
        </w:rPr>
        <w:t xml:space="preserve">Shift to Service-Based Structure Disrupts </w:t>
      </w:r>
      <w:r w:rsidR="00727465">
        <w:rPr>
          <w:b/>
          <w:sz w:val="28"/>
          <w:szCs w:val="28"/>
        </w:rPr>
        <w:t>Software</w:t>
      </w:r>
      <w:r w:rsidR="00727465" w:rsidRPr="00E54B44">
        <w:rPr>
          <w:b/>
          <w:sz w:val="28"/>
          <w:szCs w:val="28"/>
        </w:rPr>
        <w:t xml:space="preserve"> </w:t>
      </w:r>
      <w:r w:rsidRPr="00E54B44">
        <w:rPr>
          <w:b/>
          <w:sz w:val="28"/>
          <w:szCs w:val="28"/>
        </w:rPr>
        <w:t>Industry</w:t>
      </w:r>
      <w:r w:rsidR="00727465">
        <w:rPr>
          <w:b/>
          <w:sz w:val="28"/>
          <w:szCs w:val="28"/>
        </w:rPr>
        <w:t>,</w:t>
      </w:r>
    </w:p>
    <w:p w:rsidR="00E54B44" w:rsidRDefault="00727465" w:rsidP="00D07F16">
      <w:pPr>
        <w:jc w:val="center"/>
        <w:rPr>
          <w:sz w:val="24"/>
          <w:szCs w:val="24"/>
        </w:rPr>
      </w:pPr>
      <w:r w:rsidRPr="00E54B44">
        <w:rPr>
          <w:b/>
          <w:sz w:val="28"/>
          <w:szCs w:val="28"/>
        </w:rPr>
        <w:t>PwC Series Explores Sales Model Upheaval</w:t>
      </w:r>
    </w:p>
    <w:p w:rsidR="00727465" w:rsidRPr="00426543" w:rsidRDefault="00727465" w:rsidP="00426543">
      <w:pPr>
        <w:pStyle w:val="BodySingle"/>
      </w:pPr>
    </w:p>
    <w:p w:rsidR="00301CAF" w:rsidRDefault="00E54B44" w:rsidP="00301CAF">
      <w:pPr>
        <w:pStyle w:val="BodySingle"/>
        <w:jc w:val="center"/>
        <w:rPr>
          <w:i/>
        </w:rPr>
      </w:pPr>
      <w:r>
        <w:rPr>
          <w:i/>
        </w:rPr>
        <w:t>Reports</w:t>
      </w:r>
      <w:r w:rsidR="00301CAF">
        <w:rPr>
          <w:i/>
        </w:rPr>
        <w:t xml:space="preserve"> </w:t>
      </w:r>
      <w:r w:rsidRPr="003D4EBC">
        <w:rPr>
          <w:i/>
        </w:rPr>
        <w:t>Evaluate Factors Affecting</w:t>
      </w:r>
      <w:r w:rsidR="00301CAF">
        <w:rPr>
          <w:i/>
        </w:rPr>
        <w:t xml:space="preserve"> the</w:t>
      </w:r>
      <w:r w:rsidRPr="003D4EBC">
        <w:rPr>
          <w:i/>
        </w:rPr>
        <w:t xml:space="preserve"> </w:t>
      </w:r>
      <w:r w:rsidR="00301CAF" w:rsidRPr="003D4EBC">
        <w:rPr>
          <w:i/>
        </w:rPr>
        <w:t>Pricing, V</w:t>
      </w:r>
      <w:r w:rsidR="00301CAF">
        <w:rPr>
          <w:i/>
        </w:rPr>
        <w:t xml:space="preserve">aluing and Delivery of Software and </w:t>
      </w:r>
    </w:p>
    <w:p w:rsidR="00E54B44" w:rsidRPr="003D4EBC" w:rsidRDefault="00301CAF" w:rsidP="00301CAF">
      <w:pPr>
        <w:pStyle w:val="BodySingle"/>
        <w:jc w:val="center"/>
        <w:rPr>
          <w:i/>
        </w:rPr>
      </w:pPr>
      <w:r>
        <w:rPr>
          <w:i/>
        </w:rPr>
        <w:t xml:space="preserve">Offer </w:t>
      </w:r>
      <w:r w:rsidR="00C93E52">
        <w:rPr>
          <w:i/>
        </w:rPr>
        <w:t>Strategies and Tactics to Combat the Challenges Providers Face in the Changing Landscape</w:t>
      </w:r>
    </w:p>
    <w:p w:rsidR="00E54B44" w:rsidRDefault="00E54B44" w:rsidP="00E54B44">
      <w:pPr>
        <w:pStyle w:val="BodySingle"/>
      </w:pPr>
    </w:p>
    <w:p w:rsidR="00E54B44" w:rsidRPr="00E54B44" w:rsidRDefault="00E54B44" w:rsidP="00E54B44">
      <w:pPr>
        <w:pStyle w:val="BodySingle"/>
      </w:pPr>
      <w:r w:rsidRPr="00426543">
        <w:rPr>
          <w:b/>
        </w:rPr>
        <w:t xml:space="preserve">SAN JOSE, CA </w:t>
      </w:r>
      <w:r w:rsidR="00426543" w:rsidRPr="00426543">
        <w:rPr>
          <w:b/>
        </w:rPr>
        <w:t>3 DEC</w:t>
      </w:r>
      <w:r w:rsidRPr="00426543">
        <w:rPr>
          <w:b/>
        </w:rPr>
        <w:t xml:space="preserve"> 2012</w:t>
      </w:r>
      <w:r w:rsidRPr="00E54B44">
        <w:t xml:space="preserve"> – PwC has released the first of a series of reports evaluating the significant shift in the enterprise software sales model from license to services, citing the trend as one of the most momentous  upheavals in the technology industry since the unbundling of software and hardware over four decades ago.  The reports outline PwC’s four</w:t>
      </w:r>
      <w:r w:rsidR="00727465">
        <w:t>-</w:t>
      </w:r>
      <w:r w:rsidRPr="00E54B44">
        <w:t xml:space="preserve">point pricing framework of pricing strategy, price formulation, transaction </w:t>
      </w:r>
      <w:r w:rsidR="00762C20" w:rsidRPr="00E54B44">
        <w:t>management and</w:t>
      </w:r>
      <w:r w:rsidRPr="00E54B44">
        <w:t xml:space="preserve"> managing performance, which span a company's internal processes, organisation, technology, data and analytics.</w:t>
      </w:r>
    </w:p>
    <w:p w:rsidR="00E54B44" w:rsidRPr="00E54B44" w:rsidRDefault="00E54B44" w:rsidP="00E54B44">
      <w:pPr>
        <w:pStyle w:val="BodySingle"/>
      </w:pPr>
    </w:p>
    <w:p w:rsidR="00E54B44" w:rsidRPr="00E54B44" w:rsidRDefault="00E54B44" w:rsidP="00E54B44">
      <w:pPr>
        <w:pStyle w:val="BodySingle"/>
      </w:pPr>
      <w:r w:rsidRPr="00E54B44">
        <w:t xml:space="preserve">“We are witnessing a formative movement from a singular, traditional pricing model to a market with five pricing models. The cumulative effect on the software industry should not be underestimated, said Mark McCaffrey, PwC's Global Software Leader. “Many companies are currently engaging two or more radically different types of business models, incurring the costs and complexities of both traditional and emerging models. Those seeking pricing excellence need to anticipate what customers are willing to pay and align internal functional areas to ensure products meet customer </w:t>
      </w:r>
      <w:r w:rsidR="0047373E">
        <w:t xml:space="preserve">consumption </w:t>
      </w:r>
      <w:r w:rsidRPr="00E54B44">
        <w:t>needs at the right price.”</w:t>
      </w:r>
    </w:p>
    <w:p w:rsidR="00E54B44" w:rsidRPr="00E54B44" w:rsidRDefault="00E54B44" w:rsidP="00E54B44">
      <w:pPr>
        <w:pStyle w:val="BodySingle"/>
      </w:pPr>
    </w:p>
    <w:p w:rsidR="00E54B44" w:rsidRPr="00E54B44" w:rsidRDefault="00E54B44" w:rsidP="00E54B44">
      <w:pPr>
        <w:pStyle w:val="BodySingle"/>
      </w:pPr>
      <w:r w:rsidRPr="00E54B44">
        <w:t xml:space="preserve">The first paper in the series is an introductory overview of the changing ways that software has been, and should be valued, priced and delivered. Over the next several months, PwC’s subsequent reports will explore the issues with concentration on how these changes have and will continue to disrupt the software industry.  The reports will also outline recommended strategies and tactics to address challenges inherent to the changing landscape, showcasing industry leaders whose adoption of these tactics have already proven successful. </w:t>
      </w:r>
    </w:p>
    <w:p w:rsidR="00E54B44" w:rsidRPr="00E54B44" w:rsidRDefault="00E54B44" w:rsidP="00E54B44">
      <w:pPr>
        <w:pStyle w:val="BodySingle"/>
      </w:pPr>
    </w:p>
    <w:p w:rsidR="004E22CE" w:rsidRDefault="004E22CE" w:rsidP="00E54B44">
      <w:pPr>
        <w:pStyle w:val="BodySingle"/>
      </w:pPr>
      <w:r>
        <w:t>The reports explore PwC’s four part pricing management framework including:</w:t>
      </w:r>
    </w:p>
    <w:p w:rsidR="00426543" w:rsidRDefault="00426543" w:rsidP="00E54B44">
      <w:pPr>
        <w:pStyle w:val="BodySingle"/>
      </w:pPr>
    </w:p>
    <w:p w:rsidR="004E22CE" w:rsidRDefault="004E22CE" w:rsidP="004E22CE">
      <w:pPr>
        <w:pStyle w:val="BodySingle"/>
        <w:numPr>
          <w:ilvl w:val="0"/>
          <w:numId w:val="17"/>
        </w:numPr>
      </w:pPr>
      <w:r>
        <w:t>Pricing strategy: including overall pricing goals, strategy and analysis;</w:t>
      </w:r>
    </w:p>
    <w:p w:rsidR="004E22CE" w:rsidRDefault="004E22CE" w:rsidP="004E22CE">
      <w:pPr>
        <w:pStyle w:val="BodySingle"/>
        <w:numPr>
          <w:ilvl w:val="0"/>
          <w:numId w:val="17"/>
        </w:numPr>
      </w:pPr>
      <w:r>
        <w:t>Price formulation: overall/segmented pricing and policies, pricing data and rules;</w:t>
      </w:r>
    </w:p>
    <w:p w:rsidR="004E22CE" w:rsidRDefault="004E22CE" w:rsidP="004E22CE">
      <w:pPr>
        <w:pStyle w:val="BodySingle"/>
        <w:numPr>
          <w:ilvl w:val="0"/>
          <w:numId w:val="17"/>
        </w:numPr>
      </w:pPr>
      <w:r>
        <w:t xml:space="preserve">Transaction management: </w:t>
      </w:r>
      <w:r w:rsidR="008214EA">
        <w:t>requests and opportunities, prioritisation and allocat</w:t>
      </w:r>
      <w:r w:rsidR="0047373E">
        <w:t>io</w:t>
      </w:r>
      <w:r w:rsidR="008214EA">
        <w:t>n, quoting and deal management, policy enforcement;</w:t>
      </w:r>
    </w:p>
    <w:p w:rsidR="008214EA" w:rsidRPr="00E54B44" w:rsidRDefault="008214EA" w:rsidP="004E22CE">
      <w:pPr>
        <w:pStyle w:val="BodySingle"/>
        <w:numPr>
          <w:ilvl w:val="0"/>
          <w:numId w:val="17"/>
        </w:numPr>
      </w:pPr>
      <w:r>
        <w:t>Performance management: Sales force and partner enablement, pricing performance and management and compliance.</w:t>
      </w:r>
    </w:p>
    <w:p w:rsidR="007F3256" w:rsidRDefault="007F3256" w:rsidP="00E54B44">
      <w:pPr>
        <w:pStyle w:val="BodySingle"/>
      </w:pPr>
    </w:p>
    <w:p w:rsidR="007F3256" w:rsidRDefault="007F3256" w:rsidP="007F3256">
      <w:pPr>
        <w:pStyle w:val="BodySingle"/>
      </w:pPr>
      <w:r w:rsidRPr="00E54B44">
        <w:lastRenderedPageBreak/>
        <w:t xml:space="preserve">“The software industry is seeing extraordinary movement in fundamental aspects of its business operations as a result of new pricing and delivery models and other industry trends currently influencing customer’s expectation of </w:t>
      </w:r>
      <w:r w:rsidR="00E97A18" w:rsidRPr="00E54B44">
        <w:t>value,</w:t>
      </w:r>
      <w:r w:rsidR="00E97A18">
        <w:t>"</w:t>
      </w:r>
      <w:r w:rsidR="00CB0E3F">
        <w:t xml:space="preserve"> </w:t>
      </w:r>
      <w:r w:rsidR="00E97A18" w:rsidRPr="00E54B44">
        <w:t>McCaffrey</w:t>
      </w:r>
      <w:r w:rsidR="00E97A18">
        <w:t xml:space="preserve"> said.</w:t>
      </w:r>
      <w:r w:rsidR="00E162BE" w:rsidRPr="00E54B44">
        <w:t xml:space="preserve"> </w:t>
      </w:r>
      <w:r w:rsidRPr="00E54B44">
        <w:t>“PwC’s research and price management framework not only identify these trends, but also what tactics software companies can use to combat the disruptions and offer examples of companies that have already adopted winning solutions.”</w:t>
      </w:r>
    </w:p>
    <w:p w:rsidR="007F3256" w:rsidRPr="00E54B44" w:rsidRDefault="007F3256" w:rsidP="00E54B44">
      <w:pPr>
        <w:pStyle w:val="BodySingle"/>
      </w:pPr>
    </w:p>
    <w:p w:rsidR="00E54B44" w:rsidRPr="00D07F16" w:rsidRDefault="00E54B44" w:rsidP="00E54B44">
      <w:pPr>
        <w:pStyle w:val="BodySingle"/>
      </w:pPr>
      <w:r w:rsidRPr="00E54B44">
        <w:t xml:space="preserve">For additional analysis and commentary on PwC’s </w:t>
      </w:r>
      <w:r w:rsidRPr="00D07F16">
        <w:t xml:space="preserve">Software Pricing Series, please visit: </w:t>
      </w:r>
    </w:p>
    <w:tbl>
      <w:tblPr>
        <w:tblW w:w="0" w:type="auto"/>
        <w:tblCellSpacing w:w="15" w:type="dxa"/>
        <w:tblCellMar>
          <w:top w:w="15" w:type="dxa"/>
          <w:left w:w="15" w:type="dxa"/>
          <w:bottom w:w="15" w:type="dxa"/>
          <w:right w:w="15" w:type="dxa"/>
        </w:tblCellMar>
        <w:tblLook w:val="04A0"/>
      </w:tblPr>
      <w:tblGrid>
        <w:gridCol w:w="2889"/>
      </w:tblGrid>
      <w:tr w:rsidR="00D07F16" w:rsidRPr="00CB0E3F" w:rsidTr="00D07F16">
        <w:trPr>
          <w:tblCellSpacing w:w="15" w:type="dxa"/>
        </w:trPr>
        <w:tc>
          <w:tcPr>
            <w:tcW w:w="0" w:type="auto"/>
            <w:hideMark/>
          </w:tcPr>
          <w:p w:rsidR="00D07F16" w:rsidRPr="00CB0E3F" w:rsidRDefault="000441E9">
            <w:pPr>
              <w:rPr>
                <w:rFonts w:cs="Segoe UI"/>
                <w:szCs w:val="20"/>
              </w:rPr>
            </w:pPr>
            <w:hyperlink r:id="rId8" w:history="1">
              <w:r w:rsidR="00D07F16" w:rsidRPr="00CB0E3F">
                <w:rPr>
                  <w:rStyle w:val="Hyperlink"/>
                  <w:bCs/>
                  <w:szCs w:val="20"/>
                </w:rPr>
                <w:t>www.pwc.com/softwarepricing</w:t>
              </w:r>
            </w:hyperlink>
            <w:r w:rsidR="00D07F16" w:rsidRPr="00CB0E3F">
              <w:rPr>
                <w:szCs w:val="20"/>
              </w:rPr>
              <w:t> </w:t>
            </w:r>
          </w:p>
        </w:tc>
      </w:tr>
    </w:tbl>
    <w:p w:rsidR="00E54B44" w:rsidRPr="00E54B44" w:rsidRDefault="00D07F16" w:rsidP="001E7D34">
      <w:pPr>
        <w:rPr>
          <w:szCs w:val="20"/>
        </w:rPr>
      </w:pPr>
      <w:r>
        <w:t xml:space="preserve"> </w:t>
      </w:r>
    </w:p>
    <w:p w:rsidR="00D81336" w:rsidRDefault="00A77FF6" w:rsidP="00E54B44">
      <w:r w:rsidRPr="00F17ADF">
        <w:rPr>
          <w:bCs/>
          <w:szCs w:val="20"/>
          <w:lang w:val="en-US"/>
        </w:rPr>
        <w:t>P</w:t>
      </w:r>
      <w:r w:rsidRPr="00F17ADF">
        <w:rPr>
          <w:szCs w:val="20"/>
        </w:rPr>
        <w:t xml:space="preserve">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9" w:history="1">
        <w:r w:rsidRPr="00F17ADF">
          <w:rPr>
            <w:rStyle w:val="Hyperlink"/>
            <w:color w:val="auto"/>
            <w:szCs w:val="20"/>
          </w:rPr>
          <w:t>www.pwc.com</w:t>
        </w:r>
      </w:hyperlink>
      <w:r w:rsidRPr="00F17ADF">
        <w:rPr>
          <w:szCs w:val="20"/>
        </w:rPr>
        <w:t>.</w:t>
      </w:r>
      <w:r w:rsidR="00F17ADF">
        <w:rPr>
          <w:szCs w:val="20"/>
        </w:rPr>
        <w:br/>
      </w:r>
      <w:r w:rsidR="00F17ADF">
        <w:rPr>
          <w:szCs w:val="20"/>
        </w:rPr>
        <w:br/>
      </w:r>
      <w:r>
        <w:t>PwC refers to the PwC network and/or one or more of its member firms, each of which is a separate legal entity. Please see www.pwc.com/structure for further details.</w:t>
      </w:r>
    </w:p>
    <w:p w:rsidR="00EB06A0" w:rsidRDefault="00EB06A0" w:rsidP="00E54B44"/>
    <w:p w:rsidR="00EB06A0" w:rsidRPr="00EB06A0" w:rsidRDefault="00EB06A0" w:rsidP="00EB06A0">
      <w:pPr>
        <w:rPr>
          <w:rFonts w:cs="Arial"/>
          <w:color w:val="000000"/>
          <w:lang w:val="en-US"/>
        </w:rPr>
      </w:pPr>
      <w:r w:rsidRPr="00EB06A0">
        <w:rPr>
          <w:rFonts w:cs="Arial"/>
          <w:color w:val="000000"/>
          <w:lang w:val="en-US"/>
        </w:rPr>
        <w:t xml:space="preserve">‘PwC’ is the brand under which member firms of PricewaterhouseCoopers International </w:t>
      </w:r>
    </w:p>
    <w:p w:rsidR="00EB06A0" w:rsidRPr="00EB06A0" w:rsidRDefault="00EB06A0" w:rsidP="00EB06A0">
      <w:pPr>
        <w:rPr>
          <w:rFonts w:cs="Arial"/>
          <w:color w:val="000000"/>
          <w:lang w:val="en-US"/>
        </w:rPr>
      </w:pPr>
      <w:r w:rsidRPr="00EB06A0">
        <w:rPr>
          <w:rFonts w:cs="Arial"/>
          <w:color w:val="000000"/>
          <w:lang w:val="en-US"/>
        </w:rPr>
        <w:t xml:space="preserve">Limited (PwCIL) operate and provide services. Together, these firms form the PwC network. </w:t>
      </w:r>
    </w:p>
    <w:p w:rsidR="00EB06A0" w:rsidRPr="00EB06A0" w:rsidRDefault="00EB06A0" w:rsidP="00EB06A0">
      <w:pPr>
        <w:rPr>
          <w:rFonts w:cs="Arial"/>
          <w:color w:val="000000"/>
          <w:lang w:val="en-US"/>
        </w:rPr>
      </w:pPr>
      <w:r w:rsidRPr="00EB06A0">
        <w:rPr>
          <w:rFonts w:cs="Arial"/>
          <w:color w:val="000000"/>
          <w:lang w:val="en-US"/>
        </w:rPr>
        <w:t xml:space="preserve">Each firm in the network is a separate legal entity and does not act as agent of PwCIL or any </w:t>
      </w:r>
    </w:p>
    <w:p w:rsidR="00EB06A0" w:rsidRPr="00EB06A0" w:rsidRDefault="00EB06A0" w:rsidP="00EB06A0">
      <w:pPr>
        <w:rPr>
          <w:rFonts w:cs="Arial"/>
          <w:color w:val="000000"/>
          <w:lang w:val="en-US"/>
        </w:rPr>
      </w:pPr>
      <w:r w:rsidRPr="00EB06A0">
        <w:rPr>
          <w:rFonts w:cs="Arial"/>
          <w:color w:val="000000"/>
          <w:lang w:val="en-US"/>
        </w:rPr>
        <w:t xml:space="preserve">other member firm. PwCIL does not provide any services to clients. PwCIL is not responsible </w:t>
      </w:r>
    </w:p>
    <w:p w:rsidR="00EB06A0" w:rsidRPr="00EB06A0" w:rsidRDefault="00EB06A0" w:rsidP="00EB06A0">
      <w:pPr>
        <w:rPr>
          <w:rFonts w:cs="Arial"/>
          <w:color w:val="000000"/>
          <w:lang w:val="en-US"/>
        </w:rPr>
      </w:pPr>
      <w:r w:rsidRPr="00EB06A0">
        <w:rPr>
          <w:rFonts w:cs="Arial"/>
          <w:color w:val="000000"/>
          <w:lang w:val="en-US"/>
        </w:rPr>
        <w:t xml:space="preserve">or liable for the acts or omissions of any of its member firms nor can it control the exercise of </w:t>
      </w:r>
    </w:p>
    <w:p w:rsidR="00EB06A0" w:rsidRPr="00F17ADF" w:rsidRDefault="00EB06A0" w:rsidP="00EB06A0">
      <w:pPr>
        <w:rPr>
          <w:rFonts w:cs="Arial"/>
          <w:color w:val="000000"/>
          <w:lang w:val="en-US"/>
        </w:rPr>
      </w:pPr>
      <w:r w:rsidRPr="00EB06A0">
        <w:rPr>
          <w:rFonts w:cs="Arial"/>
          <w:color w:val="000000"/>
          <w:lang w:val="en-US"/>
        </w:rPr>
        <w:t>their professional judgment or bind them in any way.</w:t>
      </w:r>
    </w:p>
    <w:p w:rsidR="00D81336" w:rsidRDefault="00D81336"/>
    <w:p w:rsidR="00D81336" w:rsidRDefault="00A77FF6" w:rsidP="00E54B44">
      <w:pPr>
        <w:rPr>
          <w:rFonts w:cs="Arial"/>
        </w:rPr>
      </w:pPr>
      <w:r>
        <w:rPr>
          <w:rFonts w:eastAsia="Times New Roman" w:cstheme="minorHAnsi"/>
          <w:sz w:val="17"/>
          <w:szCs w:val="17"/>
          <w:lang w:val="en-US" w:eastAsia="de-CH"/>
        </w:rPr>
        <w:t xml:space="preserve">© </w:t>
      </w:r>
      <w:r w:rsidR="00F17ADF">
        <w:rPr>
          <w:rFonts w:cs="Arial"/>
        </w:rPr>
        <w:t xml:space="preserve">2012 PricewaterhouseCoopers. </w:t>
      </w:r>
      <w:r>
        <w:rPr>
          <w:rFonts w:cs="Arial"/>
        </w:rPr>
        <w:t>All rights reserved.</w:t>
      </w:r>
    </w:p>
    <w:p w:rsidR="00D81336" w:rsidRDefault="00D81336">
      <w:pPr>
        <w:rPr>
          <w:rFonts w:cs="Arial"/>
          <w:bCs/>
          <w:szCs w:val="24"/>
        </w:rPr>
      </w:pPr>
    </w:p>
    <w:sectPr w:rsidR="00D81336"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D5" w:rsidRDefault="00551AD5">
      <w:pPr>
        <w:spacing w:line="240" w:lineRule="auto"/>
      </w:pPr>
      <w:r>
        <w:separator/>
      </w:r>
    </w:p>
  </w:endnote>
  <w:endnote w:type="continuationSeparator" w:id="0">
    <w:p w:rsidR="00551AD5" w:rsidRDefault="00551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0441E9">
    <w:pPr>
      <w:pStyle w:val="Footer"/>
    </w:pPr>
    <w:fldSimple w:instr=" PAGE  \* MERGEFORMAT ">
      <w:r w:rsidR="00890C19">
        <w:rPr>
          <w:noProof/>
        </w:rPr>
        <w:t>2</w:t>
      </w:r>
    </w:fldSimple>
    <w:r w:rsidR="00A77FF6">
      <w:t xml:space="preserve"> of </w:t>
    </w:r>
    <w:fldSimple w:instr=" NUMPAGES  \* MERGEFORMAT ">
      <w:r w:rsidR="00890C1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0441E9">
    <w:pPr>
      <w:pStyle w:val="Footer"/>
    </w:pPr>
    <w:fldSimple w:instr=" PAGE  \* MERGEFORMAT ">
      <w:r w:rsidR="00E54B44">
        <w:rPr>
          <w:noProof/>
        </w:rPr>
        <w:t>3</w:t>
      </w:r>
    </w:fldSimple>
    <w:r w:rsidR="00A77FF6">
      <w:t xml:space="preserve"> of </w:t>
    </w:r>
    <w:fldSimple w:instr=" NUMPAGES  \* MERGEFORMAT ">
      <w:r w:rsidR="00E54B4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D5" w:rsidRDefault="00551AD5">
      <w:pPr>
        <w:spacing w:line="240" w:lineRule="auto"/>
      </w:pPr>
      <w:r>
        <w:separator/>
      </w:r>
    </w:p>
  </w:footnote>
  <w:footnote w:type="continuationSeparator" w:id="0">
    <w:p w:rsidR="00551AD5" w:rsidRDefault="00551A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9463A9C"/>
    <w:multiLevelType w:val="hybridMultilevel"/>
    <w:tmpl w:val="80F0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48065A19"/>
    <w:multiLevelType w:val="hybridMultilevel"/>
    <w:tmpl w:val="7FFE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5">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5"/>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ttachedTemplate r:id="rId1"/>
  <w:defaultTabStop w:val="720"/>
  <w:hyphenationZone w:val="425"/>
  <w:evenAndOddHeaders/>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81336"/>
    <w:rsid w:val="000145D7"/>
    <w:rsid w:val="000441E9"/>
    <w:rsid w:val="001E7D34"/>
    <w:rsid w:val="001F60D6"/>
    <w:rsid w:val="0022609B"/>
    <w:rsid w:val="00286231"/>
    <w:rsid w:val="003017F6"/>
    <w:rsid w:val="00301CAF"/>
    <w:rsid w:val="003A594D"/>
    <w:rsid w:val="003C32C2"/>
    <w:rsid w:val="003F78D4"/>
    <w:rsid w:val="00426543"/>
    <w:rsid w:val="0047373E"/>
    <w:rsid w:val="004B3DE4"/>
    <w:rsid w:val="004E22CE"/>
    <w:rsid w:val="004E3C29"/>
    <w:rsid w:val="00551AD5"/>
    <w:rsid w:val="005F633C"/>
    <w:rsid w:val="006E0CF4"/>
    <w:rsid w:val="00727465"/>
    <w:rsid w:val="0072786B"/>
    <w:rsid w:val="00762C20"/>
    <w:rsid w:val="00764CC5"/>
    <w:rsid w:val="007B39AE"/>
    <w:rsid w:val="007F3256"/>
    <w:rsid w:val="008214EA"/>
    <w:rsid w:val="00890C19"/>
    <w:rsid w:val="008D545F"/>
    <w:rsid w:val="00A55903"/>
    <w:rsid w:val="00A77FF6"/>
    <w:rsid w:val="00A87306"/>
    <w:rsid w:val="00AD441E"/>
    <w:rsid w:val="00AF3500"/>
    <w:rsid w:val="00B11ECE"/>
    <w:rsid w:val="00C05443"/>
    <w:rsid w:val="00C43F4A"/>
    <w:rsid w:val="00C50637"/>
    <w:rsid w:val="00C93E52"/>
    <w:rsid w:val="00CB0E3F"/>
    <w:rsid w:val="00CB299A"/>
    <w:rsid w:val="00D07F16"/>
    <w:rsid w:val="00D81336"/>
    <w:rsid w:val="00DA612B"/>
    <w:rsid w:val="00DF77D0"/>
    <w:rsid w:val="00E037BC"/>
    <w:rsid w:val="00E162BE"/>
    <w:rsid w:val="00E54B44"/>
    <w:rsid w:val="00E97A18"/>
    <w:rsid w:val="00EB06A0"/>
    <w:rsid w:val="00ED68CE"/>
    <w:rsid w:val="00F17ADF"/>
    <w:rsid w:val="00FA39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customStyle="1" w:styleId="BodySingle">
    <w:name w:val="Body Single"/>
    <w:basedOn w:val="BodyText"/>
    <w:link w:val="BodySingleChar"/>
    <w:uiPriority w:val="1"/>
    <w:qFormat/>
    <w:rsid w:val="00E54B44"/>
    <w:pPr>
      <w:spacing w:after="0"/>
    </w:pPr>
    <w:rPr>
      <w:rFonts w:eastAsiaTheme="minorHAnsi" w:cstheme="minorBidi"/>
      <w:szCs w:val="20"/>
    </w:rPr>
  </w:style>
  <w:style w:type="character" w:customStyle="1" w:styleId="BodySingleChar">
    <w:name w:val="Body Single Char"/>
    <w:basedOn w:val="BodyTextChar"/>
    <w:link w:val="BodySingle"/>
    <w:uiPriority w:val="1"/>
    <w:rsid w:val="00E54B44"/>
    <w:rPr>
      <w:rFonts w:eastAsiaTheme="minorHAnsi" w:cstheme="minorBidi"/>
      <w:szCs w:val="20"/>
      <w:lang w:val="en-GB" w:eastAsia="en-US"/>
    </w:rPr>
  </w:style>
  <w:style w:type="character" w:styleId="CommentReference">
    <w:name w:val="annotation reference"/>
    <w:basedOn w:val="DefaultParagraphFont"/>
    <w:uiPriority w:val="99"/>
    <w:semiHidden/>
    <w:unhideWhenUsed/>
    <w:rsid w:val="00E54B44"/>
    <w:rPr>
      <w:sz w:val="16"/>
      <w:szCs w:val="16"/>
    </w:rPr>
  </w:style>
  <w:style w:type="paragraph" w:styleId="CommentText">
    <w:name w:val="annotation text"/>
    <w:basedOn w:val="Normal"/>
    <w:link w:val="CommentTextChar"/>
    <w:uiPriority w:val="99"/>
    <w:semiHidden/>
    <w:unhideWhenUsed/>
    <w:rsid w:val="00E54B44"/>
    <w:pPr>
      <w:spacing w:after="240" w:line="240" w:lineRule="auto"/>
    </w:pPr>
    <w:rPr>
      <w:rFonts w:eastAsiaTheme="minorHAnsi" w:cstheme="minorBidi"/>
      <w:szCs w:val="20"/>
    </w:rPr>
  </w:style>
  <w:style w:type="character" w:customStyle="1" w:styleId="CommentTextChar">
    <w:name w:val="Comment Text Char"/>
    <w:basedOn w:val="DefaultParagraphFont"/>
    <w:link w:val="CommentText"/>
    <w:uiPriority w:val="99"/>
    <w:semiHidden/>
    <w:rsid w:val="00E54B44"/>
    <w:rPr>
      <w:rFonts w:ascii="Georgia" w:eastAsiaTheme="minorHAnsi" w:hAnsi="Georgia"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47373E"/>
    <w:pPr>
      <w:spacing w:after="0"/>
    </w:pPr>
    <w:rPr>
      <w:rFonts w:eastAsia="Calibri" w:cs="Times New Roman"/>
      <w:b/>
      <w:bCs/>
    </w:rPr>
  </w:style>
  <w:style w:type="character" w:customStyle="1" w:styleId="CommentSubjectChar">
    <w:name w:val="Comment Subject Char"/>
    <w:basedOn w:val="CommentTextChar"/>
    <w:link w:val="CommentSubject"/>
    <w:uiPriority w:val="99"/>
    <w:semiHidden/>
    <w:rsid w:val="0047373E"/>
    <w:rPr>
      <w:b/>
      <w:bCs/>
    </w:rPr>
  </w:style>
</w:styles>
</file>

<file path=word/webSettings.xml><?xml version="1.0" encoding="utf-8"?>
<w:webSettings xmlns:r="http://schemas.openxmlformats.org/officeDocument/2006/relationships" xmlns:w="http://schemas.openxmlformats.org/wordprocessingml/2006/main">
  <w:divs>
    <w:div w:id="1826042531">
      <w:bodyDiv w:val="1"/>
      <w:marLeft w:val="0"/>
      <w:marRight w:val="0"/>
      <w:marTop w:val="0"/>
      <w:marBottom w:val="0"/>
      <w:divBdr>
        <w:top w:val="none" w:sz="0" w:space="0" w:color="auto"/>
        <w:left w:val="none" w:sz="0" w:space="0" w:color="auto"/>
        <w:bottom w:val="none" w:sz="0" w:space="0" w:color="auto"/>
        <w:right w:val="none" w:sz="0" w:space="0" w:color="auto"/>
      </w:divBdr>
    </w:div>
    <w:div w:id="1919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c.com/softwarepric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ayna.francis@us.pwc.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wc.com/g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11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svanpelt001</cp:lastModifiedBy>
  <cp:revision>3</cp:revision>
  <cp:lastPrinted>2012-10-30T14:35:00Z</cp:lastPrinted>
  <dcterms:created xsi:type="dcterms:W3CDTF">2012-11-29T17:05:00Z</dcterms:created>
  <dcterms:modified xsi:type="dcterms:W3CDTF">2012-11-29T17:14:00Z</dcterms:modified>
</cp:coreProperties>
</file>