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352" w:rsidRDefault="00E32086" w:rsidP="00644E60">
      <w:pPr>
        <w:pStyle w:val="Title"/>
        <w:spacing w:after="0"/>
        <w:contextualSpacing w:val="0"/>
        <w:outlineLvl w:val="0"/>
        <w:rPr>
          <w:rFonts w:ascii="Georgia" w:hAnsi="Georgia"/>
        </w:rPr>
      </w:pPr>
      <w:r>
        <w:rPr>
          <w:rFonts w:ascii="Georgia" w:hAnsi="Georgia"/>
        </w:rPr>
        <w:t>News release</w:t>
      </w:r>
    </w:p>
    <w:p w:rsidR="000B6352" w:rsidRDefault="000B6352" w:rsidP="00644E60">
      <w:pPr>
        <w:spacing w:line="240" w:lineRule="auto"/>
      </w:pPr>
    </w:p>
    <w:tbl>
      <w:tblPr>
        <w:tblW w:w="9198" w:type="dxa"/>
        <w:tblLayout w:type="fixed"/>
        <w:tblLook w:val="0000"/>
      </w:tblPr>
      <w:tblGrid>
        <w:gridCol w:w="2178"/>
        <w:gridCol w:w="7020"/>
      </w:tblGrid>
      <w:tr w:rsidR="000B6352" w:rsidTr="00644E60">
        <w:tc>
          <w:tcPr>
            <w:tcW w:w="2178" w:type="dxa"/>
          </w:tcPr>
          <w:p w:rsidR="000B6352" w:rsidRDefault="00E32086" w:rsidP="00644E60">
            <w:pPr>
              <w:spacing w:line="240" w:lineRule="auto"/>
              <w:rPr>
                <w:i/>
              </w:rPr>
            </w:pPr>
            <w:r>
              <w:rPr>
                <w:i/>
              </w:rPr>
              <w:t>Date</w:t>
            </w:r>
          </w:p>
        </w:tc>
        <w:tc>
          <w:tcPr>
            <w:tcW w:w="7020" w:type="dxa"/>
          </w:tcPr>
          <w:p w:rsidR="000B6352" w:rsidRDefault="00644E60" w:rsidP="00644E60">
            <w:pPr>
              <w:spacing w:line="240" w:lineRule="auto"/>
              <w:ind w:right="72"/>
              <w:rPr>
                <w:lang w:eastAsia="ja-JP"/>
              </w:rPr>
            </w:pPr>
            <w:r>
              <w:t>20</w:t>
            </w:r>
            <w:r w:rsidR="00E32086">
              <w:t xml:space="preserve"> November, 2012 </w:t>
            </w:r>
          </w:p>
        </w:tc>
      </w:tr>
      <w:tr w:rsidR="000B6352" w:rsidTr="00137433">
        <w:tc>
          <w:tcPr>
            <w:tcW w:w="2178" w:type="dxa"/>
          </w:tcPr>
          <w:p w:rsidR="000B6352" w:rsidRDefault="000B6352" w:rsidP="00644E60">
            <w:pPr>
              <w:spacing w:line="240" w:lineRule="auto"/>
              <w:rPr>
                <w:i/>
              </w:rPr>
            </w:pPr>
          </w:p>
          <w:p w:rsidR="000B6352" w:rsidRDefault="00E32086" w:rsidP="00644E60">
            <w:pPr>
              <w:spacing w:line="240" w:lineRule="auto"/>
              <w:rPr>
                <w:i/>
              </w:rPr>
            </w:pPr>
            <w:r>
              <w:rPr>
                <w:i/>
              </w:rPr>
              <w:t>Contact</w:t>
            </w:r>
          </w:p>
        </w:tc>
        <w:tc>
          <w:tcPr>
            <w:tcW w:w="7020" w:type="dxa"/>
          </w:tcPr>
          <w:p w:rsidR="000B6352" w:rsidRDefault="000B6352" w:rsidP="00644E60">
            <w:pPr>
              <w:tabs>
                <w:tab w:val="left" w:pos="1440"/>
              </w:tabs>
              <w:spacing w:line="240" w:lineRule="auto"/>
              <w:rPr>
                <w:rFonts w:cs="Arial"/>
                <w:b/>
                <w:bCs/>
                <w:lang w:val="it-IT"/>
              </w:rPr>
            </w:pPr>
          </w:p>
          <w:p w:rsidR="00644E60" w:rsidRDefault="00644E60" w:rsidP="00644E60">
            <w:pPr>
              <w:pStyle w:val="BodySingle"/>
              <w:spacing w:line="240" w:lineRule="auto"/>
              <w:rPr>
                <w:rFonts w:ascii="Georgia" w:hAnsi="Georgia"/>
                <w:b/>
                <w:sz w:val="20"/>
                <w:szCs w:val="20"/>
              </w:rPr>
            </w:pPr>
            <w:r w:rsidRPr="00036432">
              <w:rPr>
                <w:rFonts w:ascii="Georgia" w:hAnsi="Georgia"/>
                <w:b/>
                <w:sz w:val="20"/>
                <w:szCs w:val="20"/>
              </w:rPr>
              <w:t>Maggie O'Donovan-Bolton</w:t>
            </w:r>
          </w:p>
          <w:p w:rsidR="00644E60" w:rsidRDefault="00644E60" w:rsidP="00644E60">
            <w:pPr>
              <w:pStyle w:val="BodySingle"/>
              <w:spacing w:line="240" w:lineRule="auto"/>
              <w:rPr>
                <w:rFonts w:ascii="Georgia" w:hAnsi="Georgia"/>
                <w:b/>
                <w:sz w:val="20"/>
                <w:szCs w:val="20"/>
              </w:rPr>
            </w:pPr>
            <w:r>
              <w:rPr>
                <w:rFonts w:ascii="Georgia" w:hAnsi="Georgia"/>
                <w:b/>
                <w:sz w:val="20"/>
                <w:szCs w:val="20"/>
              </w:rPr>
              <w:t>PwC US</w:t>
            </w:r>
          </w:p>
          <w:p w:rsidR="00644E60" w:rsidRPr="00462D7A" w:rsidRDefault="00644E60" w:rsidP="00644E60">
            <w:pPr>
              <w:pStyle w:val="BodySingle"/>
              <w:spacing w:line="240" w:lineRule="auto"/>
              <w:rPr>
                <w:color w:val="0070C0"/>
              </w:rPr>
            </w:pPr>
            <w:r>
              <w:rPr>
                <w:rFonts w:ascii="Georgia" w:hAnsi="Georgia"/>
              </w:rPr>
              <w:t xml:space="preserve">E mail: </w:t>
            </w:r>
            <w:hyperlink r:id="rId8" w:history="1">
              <w:r w:rsidRPr="00462D7A">
                <w:rPr>
                  <w:rStyle w:val="Hyperlink"/>
                  <w:rFonts w:ascii="Georgia" w:hAnsi="Georgia"/>
                  <w:b/>
                  <w:color w:val="0070C0"/>
                  <w:sz w:val="20"/>
                  <w:szCs w:val="20"/>
                </w:rPr>
                <w:t>maggie.o.bolton@us.pwc.com</w:t>
              </w:r>
            </w:hyperlink>
          </w:p>
          <w:p w:rsidR="00644E60" w:rsidRPr="00644E60" w:rsidRDefault="00644E60" w:rsidP="00644E60">
            <w:pPr>
              <w:pStyle w:val="BodySingle"/>
              <w:spacing w:line="240" w:lineRule="auto"/>
              <w:rPr>
                <w:rFonts w:ascii="Georgia" w:hAnsi="Georgia"/>
                <w:sz w:val="20"/>
                <w:szCs w:val="20"/>
              </w:rPr>
            </w:pPr>
            <w:r w:rsidRPr="00644E60">
              <w:rPr>
                <w:rFonts w:ascii="Georgia" w:hAnsi="Georgia"/>
                <w:sz w:val="20"/>
                <w:szCs w:val="20"/>
              </w:rPr>
              <w:t>Tel: 914-921-4181</w:t>
            </w:r>
          </w:p>
          <w:p w:rsidR="000B6352" w:rsidRDefault="000B6352" w:rsidP="00644E60">
            <w:pPr>
              <w:tabs>
                <w:tab w:val="left" w:pos="1440"/>
              </w:tabs>
              <w:spacing w:line="240" w:lineRule="auto"/>
              <w:rPr>
                <w:rFonts w:cs="Arial"/>
                <w:lang w:val="it-IT" w:eastAsia="ja-JP"/>
              </w:rPr>
            </w:pPr>
          </w:p>
        </w:tc>
      </w:tr>
      <w:tr w:rsidR="000B6352" w:rsidTr="00137433">
        <w:tc>
          <w:tcPr>
            <w:tcW w:w="2178" w:type="dxa"/>
            <w:tcBorders>
              <w:bottom w:val="single" w:sz="4" w:space="0" w:color="F79646" w:themeColor="accent6"/>
            </w:tcBorders>
          </w:tcPr>
          <w:p w:rsidR="000B6352" w:rsidRDefault="00E32086" w:rsidP="00644E60">
            <w:pPr>
              <w:spacing w:line="240" w:lineRule="auto"/>
              <w:rPr>
                <w:i/>
              </w:rPr>
            </w:pPr>
            <w:r>
              <w:rPr>
                <w:i/>
              </w:rPr>
              <w:t>Pages</w:t>
            </w:r>
          </w:p>
        </w:tc>
        <w:tc>
          <w:tcPr>
            <w:tcW w:w="7020" w:type="dxa"/>
            <w:tcBorders>
              <w:bottom w:val="single" w:sz="4" w:space="0" w:color="F79646" w:themeColor="accent6"/>
            </w:tcBorders>
          </w:tcPr>
          <w:p w:rsidR="000B6352" w:rsidRDefault="009D476D" w:rsidP="00644E60">
            <w:pPr>
              <w:spacing w:line="240" w:lineRule="auto"/>
            </w:pPr>
            <w:r>
              <w:t>2</w:t>
            </w:r>
          </w:p>
          <w:p w:rsidR="000B6352" w:rsidRDefault="000B6352" w:rsidP="00644E60">
            <w:pPr>
              <w:spacing w:line="240" w:lineRule="auto"/>
            </w:pPr>
          </w:p>
        </w:tc>
      </w:tr>
    </w:tbl>
    <w:p w:rsidR="000B6352" w:rsidRDefault="000B6352" w:rsidP="00644E60">
      <w:pPr>
        <w:spacing w:line="240" w:lineRule="auto"/>
      </w:pPr>
    </w:p>
    <w:p w:rsidR="00137433" w:rsidRDefault="00137433" w:rsidP="00644E60">
      <w:pPr>
        <w:spacing w:line="240" w:lineRule="auto"/>
      </w:pPr>
    </w:p>
    <w:p w:rsidR="00137433" w:rsidRDefault="00137433" w:rsidP="00644E60">
      <w:pPr>
        <w:spacing w:line="240" w:lineRule="auto"/>
      </w:pPr>
    </w:p>
    <w:p w:rsidR="00644E60" w:rsidRDefault="00644E60" w:rsidP="00644E60">
      <w:pPr>
        <w:pStyle w:val="Heading1"/>
        <w:keepNext w:val="0"/>
        <w:spacing w:before="0" w:after="0"/>
        <w:jc w:val="center"/>
        <w:rPr>
          <w:rFonts w:ascii="Georgia" w:hAnsi="Georgia"/>
          <w:b w:val="0"/>
          <w:sz w:val="28"/>
        </w:rPr>
      </w:pPr>
      <w:r>
        <w:rPr>
          <w:rFonts w:ascii="Georgia" w:hAnsi="Georgia"/>
          <w:sz w:val="28"/>
        </w:rPr>
        <w:t xml:space="preserve">Employee Mobility Programs Becoming More Accessible </w:t>
      </w:r>
      <w:r>
        <w:rPr>
          <w:rFonts w:ascii="Georgia" w:hAnsi="Georgia"/>
          <w:sz w:val="28"/>
        </w:rPr>
        <w:br/>
        <w:t xml:space="preserve">and Attractive to Meet Global Talent Needs </w:t>
      </w:r>
      <w:r>
        <w:rPr>
          <w:rFonts w:ascii="Georgia" w:hAnsi="Georgia"/>
          <w:sz w:val="28"/>
        </w:rPr>
        <w:br/>
      </w:r>
    </w:p>
    <w:p w:rsidR="00644E60" w:rsidRPr="003608F1" w:rsidRDefault="00644E60" w:rsidP="00644E60">
      <w:pPr>
        <w:pStyle w:val="BodyText"/>
        <w:spacing w:after="0" w:line="240" w:lineRule="auto"/>
        <w:jc w:val="center"/>
        <w:rPr>
          <w:b/>
          <w:i/>
        </w:rPr>
      </w:pPr>
      <w:r w:rsidRPr="003608F1">
        <w:rPr>
          <w:b/>
          <w:i/>
        </w:rPr>
        <w:t xml:space="preserve">PwC’s Annual Survey of Global Mobility Policies demonstrates </w:t>
      </w:r>
      <w:r>
        <w:rPr>
          <w:b/>
          <w:i/>
        </w:rPr>
        <w:br/>
      </w:r>
      <w:r w:rsidRPr="003608F1">
        <w:rPr>
          <w:b/>
          <w:i/>
        </w:rPr>
        <w:t>shifts in employee assignment programs</w:t>
      </w:r>
    </w:p>
    <w:p w:rsidR="00644E60" w:rsidRDefault="00644E60" w:rsidP="00644E60">
      <w:pPr>
        <w:spacing w:line="240" w:lineRule="auto"/>
        <w:rPr>
          <w:b/>
          <w:szCs w:val="20"/>
        </w:rPr>
      </w:pPr>
    </w:p>
    <w:p w:rsidR="00644E60" w:rsidRDefault="00644E60" w:rsidP="00644E60">
      <w:pPr>
        <w:spacing w:line="240" w:lineRule="exact"/>
        <w:rPr>
          <w:szCs w:val="20"/>
        </w:rPr>
      </w:pPr>
      <w:r>
        <w:rPr>
          <w:b/>
          <w:szCs w:val="20"/>
        </w:rPr>
        <w:t>NEW YORK, November 20</w:t>
      </w:r>
      <w:r w:rsidRPr="00EF075F">
        <w:rPr>
          <w:b/>
          <w:szCs w:val="20"/>
        </w:rPr>
        <w:t>, 2012</w:t>
      </w:r>
      <w:r w:rsidRPr="002E63D7">
        <w:rPr>
          <w:szCs w:val="20"/>
        </w:rPr>
        <w:t xml:space="preserve"> </w:t>
      </w:r>
      <w:r>
        <w:rPr>
          <w:szCs w:val="20"/>
        </w:rPr>
        <w:t>–</w:t>
      </w:r>
      <w:r w:rsidRPr="002E63D7">
        <w:rPr>
          <w:szCs w:val="20"/>
        </w:rPr>
        <w:t xml:space="preserve"> </w:t>
      </w:r>
      <w:r>
        <w:rPr>
          <w:szCs w:val="20"/>
        </w:rPr>
        <w:t>Global companies are taking steps to make their employee mobility programs more accessible and attractive, according</w:t>
      </w:r>
      <w:bookmarkStart w:id="0" w:name="_GoBack"/>
      <w:bookmarkEnd w:id="0"/>
      <w:r>
        <w:rPr>
          <w:szCs w:val="20"/>
        </w:rPr>
        <w:t xml:space="preserve"> to PwC’s 2012 Survey of Global Mobility Policies. Companies are adopting new non-traditional workforce mobility programs, such as frequent business travel; they are also relying on commuter and short-term assignments in place of longer-term assignments. These new programs are also broader in reach, affecting more than 10 percent of employees, compared to traditional short- and long-term programs that impact only 1 percent. </w:t>
      </w:r>
    </w:p>
    <w:p w:rsidR="00644E60" w:rsidRDefault="00644E60" w:rsidP="00644E60">
      <w:pPr>
        <w:spacing w:line="240" w:lineRule="exact"/>
        <w:rPr>
          <w:szCs w:val="20"/>
        </w:rPr>
      </w:pPr>
    </w:p>
    <w:p w:rsidR="00644E60" w:rsidRDefault="00644E60" w:rsidP="00644E60">
      <w:pPr>
        <w:spacing w:line="240" w:lineRule="exact"/>
        <w:rPr>
          <w:szCs w:val="20"/>
        </w:rPr>
      </w:pPr>
      <w:r>
        <w:rPr>
          <w:szCs w:val="20"/>
        </w:rPr>
        <w:t xml:space="preserve">The survey, </w:t>
      </w:r>
      <w:r w:rsidRPr="000E1E21">
        <w:rPr>
          <w:szCs w:val="20"/>
        </w:rPr>
        <w:t>which provides a perspective on the ways corporate mobility programs have evolved over the decade 200</w:t>
      </w:r>
      <w:r>
        <w:rPr>
          <w:szCs w:val="20"/>
        </w:rPr>
        <w:t>2</w:t>
      </w:r>
      <w:r w:rsidRPr="000E1E21">
        <w:rPr>
          <w:szCs w:val="20"/>
        </w:rPr>
        <w:t>-</w:t>
      </w:r>
      <w:r>
        <w:rPr>
          <w:szCs w:val="20"/>
        </w:rPr>
        <w:t>2012</w:t>
      </w:r>
      <w:r w:rsidRPr="000E1E21">
        <w:rPr>
          <w:szCs w:val="20"/>
        </w:rPr>
        <w:t>, reflect</w:t>
      </w:r>
      <w:r>
        <w:rPr>
          <w:szCs w:val="20"/>
        </w:rPr>
        <w:t>s</w:t>
      </w:r>
      <w:r w:rsidRPr="000E1E21">
        <w:rPr>
          <w:szCs w:val="20"/>
        </w:rPr>
        <w:t xml:space="preserve"> how businesses are responding to major changes in workplace demographics, technology and a globalizing economy. </w:t>
      </w:r>
      <w:r>
        <w:rPr>
          <w:szCs w:val="20"/>
        </w:rPr>
        <w:t>For example, companies are increasingly committed to reviewing and updating their employee mobility programs; half (50 percent) of participants reported that they are focused on refining their policies, while 48 percent want to simplify administration. Ten years ago the top two areas of focus were cost reduction and regional policy development.</w:t>
      </w:r>
    </w:p>
    <w:p w:rsidR="00644E60" w:rsidRDefault="00644E60" w:rsidP="00644E60">
      <w:pPr>
        <w:spacing w:line="240" w:lineRule="exact"/>
        <w:rPr>
          <w:szCs w:val="20"/>
        </w:rPr>
      </w:pPr>
    </w:p>
    <w:p w:rsidR="00644E60" w:rsidRDefault="00644E60" w:rsidP="00644E60">
      <w:pPr>
        <w:spacing w:line="240" w:lineRule="exact"/>
        <w:rPr>
          <w:szCs w:val="20"/>
        </w:rPr>
      </w:pPr>
      <w:r>
        <w:rPr>
          <w:szCs w:val="20"/>
        </w:rPr>
        <w:t xml:space="preserve">“In today’s highly competitive global marketplace, the structure and appropriateness of global mobility policies can significantly impact your organization’s workforce,” said Eileen Mullaney, principal and U.S. </w:t>
      </w:r>
      <w:r w:rsidRPr="00F5532D">
        <w:rPr>
          <w:szCs w:val="20"/>
        </w:rPr>
        <w:t>Globa</w:t>
      </w:r>
      <w:r>
        <w:rPr>
          <w:szCs w:val="20"/>
        </w:rPr>
        <w:t xml:space="preserve">l Mobility Consulting leader the International </w:t>
      </w:r>
      <w:r w:rsidRPr="005F00D8">
        <w:rPr>
          <w:szCs w:val="20"/>
        </w:rPr>
        <w:t xml:space="preserve">Assignment </w:t>
      </w:r>
      <w:r>
        <w:rPr>
          <w:szCs w:val="20"/>
        </w:rPr>
        <w:t>S</w:t>
      </w:r>
      <w:r w:rsidRPr="005F00D8">
        <w:rPr>
          <w:szCs w:val="20"/>
        </w:rPr>
        <w:t>ervices (IAS) practice</w:t>
      </w:r>
      <w:r>
        <w:rPr>
          <w:szCs w:val="20"/>
        </w:rPr>
        <w:t xml:space="preserve"> of PwC US</w:t>
      </w:r>
      <w:r w:rsidRPr="005F00D8">
        <w:rPr>
          <w:szCs w:val="20"/>
        </w:rPr>
        <w:t>. “These days it is all about choice. Mobility packages should offer multiple options so</w:t>
      </w:r>
      <w:r>
        <w:rPr>
          <w:szCs w:val="20"/>
        </w:rPr>
        <w:t xml:space="preserve"> business leaders as well as the employees can choose what works best for their specific situations or interests.”</w:t>
      </w:r>
    </w:p>
    <w:p w:rsidR="00644E60" w:rsidRDefault="00644E60" w:rsidP="00644E60">
      <w:pPr>
        <w:spacing w:line="240" w:lineRule="exact"/>
        <w:rPr>
          <w:szCs w:val="20"/>
        </w:rPr>
      </w:pPr>
    </w:p>
    <w:p w:rsidR="00644E60" w:rsidRDefault="00644E60" w:rsidP="00644E60">
      <w:pPr>
        <w:spacing w:line="240" w:lineRule="exact"/>
        <w:rPr>
          <w:szCs w:val="20"/>
        </w:rPr>
      </w:pPr>
      <w:r w:rsidRPr="00200AED">
        <w:rPr>
          <w:szCs w:val="20"/>
        </w:rPr>
        <w:t xml:space="preserve">Additional </w:t>
      </w:r>
      <w:r>
        <w:rPr>
          <w:szCs w:val="20"/>
        </w:rPr>
        <w:t>s</w:t>
      </w:r>
      <w:r w:rsidRPr="00200AED">
        <w:rPr>
          <w:szCs w:val="20"/>
        </w:rPr>
        <w:t>urvey findings</w:t>
      </w:r>
      <w:r>
        <w:rPr>
          <w:szCs w:val="20"/>
        </w:rPr>
        <w:t xml:space="preserve"> </w:t>
      </w:r>
      <w:r w:rsidRPr="00200AED">
        <w:rPr>
          <w:szCs w:val="20"/>
        </w:rPr>
        <w:t>demonstrate the changing nature of mobility programs</w:t>
      </w:r>
      <w:r>
        <w:rPr>
          <w:szCs w:val="20"/>
        </w:rPr>
        <w:t>. In 2012,</w:t>
      </w:r>
    </w:p>
    <w:p w:rsidR="00644E60" w:rsidRPr="00200AED" w:rsidRDefault="00644E60" w:rsidP="00644E60">
      <w:pPr>
        <w:spacing w:line="240" w:lineRule="exact"/>
        <w:rPr>
          <w:szCs w:val="20"/>
        </w:rPr>
      </w:pPr>
    </w:p>
    <w:p w:rsidR="00644E60" w:rsidRPr="00200AED" w:rsidRDefault="00644E60" w:rsidP="00644E60">
      <w:pPr>
        <w:pStyle w:val="ListParagraph"/>
        <w:numPr>
          <w:ilvl w:val="0"/>
          <w:numId w:val="23"/>
        </w:numPr>
        <w:spacing w:line="240" w:lineRule="exact"/>
        <w:contextualSpacing w:val="0"/>
        <w:rPr>
          <w:szCs w:val="20"/>
        </w:rPr>
      </w:pPr>
      <w:r>
        <w:rPr>
          <w:szCs w:val="20"/>
        </w:rPr>
        <w:t>Forty-six percent</w:t>
      </w:r>
      <w:r w:rsidRPr="00200AED">
        <w:rPr>
          <w:szCs w:val="20"/>
        </w:rPr>
        <w:t xml:space="preserve"> offered permanent transfer</w:t>
      </w:r>
      <w:r>
        <w:rPr>
          <w:szCs w:val="20"/>
        </w:rPr>
        <w:t xml:space="preserve"> policies</w:t>
      </w:r>
      <w:r w:rsidRPr="00200AED">
        <w:rPr>
          <w:szCs w:val="20"/>
        </w:rPr>
        <w:t>, compared with 29</w:t>
      </w:r>
      <w:r>
        <w:rPr>
          <w:szCs w:val="20"/>
        </w:rPr>
        <w:t xml:space="preserve"> percent</w:t>
      </w:r>
      <w:r w:rsidRPr="00200AED">
        <w:rPr>
          <w:szCs w:val="20"/>
        </w:rPr>
        <w:t xml:space="preserve"> in 2002</w:t>
      </w:r>
    </w:p>
    <w:p w:rsidR="00644E60" w:rsidRDefault="00644E60" w:rsidP="00644E60">
      <w:pPr>
        <w:pStyle w:val="ListParagraph"/>
        <w:numPr>
          <w:ilvl w:val="0"/>
          <w:numId w:val="23"/>
        </w:numPr>
        <w:spacing w:line="240" w:lineRule="exact"/>
        <w:contextualSpacing w:val="0"/>
        <w:rPr>
          <w:szCs w:val="20"/>
        </w:rPr>
      </w:pPr>
      <w:r>
        <w:rPr>
          <w:szCs w:val="20"/>
        </w:rPr>
        <w:t>Thirty-seven percent had localization policies, compared with 20 percent in 2002</w:t>
      </w:r>
    </w:p>
    <w:p w:rsidR="00644E60" w:rsidRDefault="00644E60" w:rsidP="00644E60">
      <w:pPr>
        <w:pStyle w:val="ListParagraph"/>
        <w:numPr>
          <w:ilvl w:val="0"/>
          <w:numId w:val="23"/>
        </w:numPr>
        <w:spacing w:line="240" w:lineRule="exact"/>
        <w:contextualSpacing w:val="0"/>
        <w:rPr>
          <w:szCs w:val="20"/>
        </w:rPr>
      </w:pPr>
      <w:r>
        <w:rPr>
          <w:szCs w:val="20"/>
        </w:rPr>
        <w:t>Twenty-six percent offered graduate training policies, compared with 14 percent in 2002</w:t>
      </w:r>
    </w:p>
    <w:p w:rsidR="00644E60" w:rsidRDefault="00644E60" w:rsidP="00644E60">
      <w:pPr>
        <w:pStyle w:val="ListParagraph"/>
        <w:numPr>
          <w:ilvl w:val="0"/>
          <w:numId w:val="23"/>
        </w:numPr>
        <w:spacing w:line="240" w:lineRule="exact"/>
        <w:contextualSpacing w:val="0"/>
        <w:rPr>
          <w:szCs w:val="20"/>
        </w:rPr>
      </w:pPr>
      <w:r>
        <w:rPr>
          <w:szCs w:val="20"/>
        </w:rPr>
        <w:t>Twenty-one percent offered commuter policies, compared with 8 percent in 2002</w:t>
      </w:r>
    </w:p>
    <w:p w:rsidR="00644E60" w:rsidRPr="0051660A" w:rsidRDefault="00644E60" w:rsidP="00644E60">
      <w:pPr>
        <w:pStyle w:val="ListParagraph"/>
        <w:numPr>
          <w:ilvl w:val="0"/>
          <w:numId w:val="23"/>
        </w:numPr>
        <w:spacing w:line="240" w:lineRule="exact"/>
        <w:contextualSpacing w:val="0"/>
        <w:rPr>
          <w:szCs w:val="20"/>
        </w:rPr>
      </w:pPr>
      <w:r>
        <w:rPr>
          <w:szCs w:val="20"/>
        </w:rPr>
        <w:t>Seventy-one percent had extended business travel policies, compared with 30 percent in 2002</w:t>
      </w:r>
    </w:p>
    <w:p w:rsidR="00644E60" w:rsidRDefault="00644E60" w:rsidP="00644E60">
      <w:pPr>
        <w:spacing w:line="240" w:lineRule="exact"/>
        <w:rPr>
          <w:szCs w:val="20"/>
        </w:rPr>
      </w:pPr>
    </w:p>
    <w:p w:rsidR="00644E60" w:rsidRDefault="00644E60">
      <w:pPr>
        <w:spacing w:line="240" w:lineRule="auto"/>
        <w:rPr>
          <w:szCs w:val="20"/>
        </w:rPr>
      </w:pPr>
      <w:r>
        <w:rPr>
          <w:szCs w:val="20"/>
        </w:rPr>
        <w:br w:type="page"/>
      </w:r>
    </w:p>
    <w:p w:rsidR="00644E60" w:rsidRDefault="00644E60" w:rsidP="00644E60">
      <w:pPr>
        <w:spacing w:line="240" w:lineRule="exact"/>
        <w:rPr>
          <w:szCs w:val="20"/>
        </w:rPr>
      </w:pPr>
      <w:r>
        <w:rPr>
          <w:szCs w:val="20"/>
        </w:rPr>
        <w:lastRenderedPageBreak/>
        <w:t xml:space="preserve">The changes in mobility programs reflect the need to match evolving economic and workforce demands. Increasing business globalization and activity in emerging markets, younger employees seeking international work opportunities early and often in their careers, as well as a focus on developing future leaders with global mobility experience are leading companies to take a more strategic approach to mobility that better aligns the programs with business growth objectives and longer-term talent and career development plans. </w:t>
      </w:r>
    </w:p>
    <w:p w:rsidR="00644E60" w:rsidRDefault="00644E60" w:rsidP="00644E60">
      <w:pPr>
        <w:spacing w:line="240" w:lineRule="exact"/>
        <w:rPr>
          <w:szCs w:val="20"/>
        </w:rPr>
      </w:pPr>
    </w:p>
    <w:p w:rsidR="00644E60" w:rsidRDefault="00644E60" w:rsidP="00644E60">
      <w:pPr>
        <w:pStyle w:val="BodyText"/>
        <w:spacing w:after="0" w:line="240" w:lineRule="exact"/>
        <w:rPr>
          <w:szCs w:val="20"/>
        </w:rPr>
      </w:pPr>
      <w:r w:rsidRPr="00200AED">
        <w:rPr>
          <w:szCs w:val="20"/>
        </w:rPr>
        <w:t xml:space="preserve">According to the </w:t>
      </w:r>
      <w:r>
        <w:rPr>
          <w:szCs w:val="20"/>
        </w:rPr>
        <w:t>s</w:t>
      </w:r>
      <w:r w:rsidRPr="00200AED">
        <w:rPr>
          <w:szCs w:val="20"/>
        </w:rPr>
        <w:t>urvey, the demographics of mobility program participants have broadened</w:t>
      </w:r>
      <w:r>
        <w:rPr>
          <w:szCs w:val="20"/>
        </w:rPr>
        <w:t xml:space="preserve"> to become</w:t>
      </w:r>
      <w:r w:rsidRPr="00200AED">
        <w:rPr>
          <w:szCs w:val="20"/>
        </w:rPr>
        <w:t xml:space="preserve"> less focused on employees </w:t>
      </w:r>
      <w:r>
        <w:rPr>
          <w:szCs w:val="20"/>
        </w:rPr>
        <w:t>who come from</w:t>
      </w:r>
      <w:r w:rsidRPr="00166C1F">
        <w:rPr>
          <w:szCs w:val="20"/>
        </w:rPr>
        <w:t xml:space="preserve"> headquarter</w:t>
      </w:r>
      <w:r>
        <w:rPr>
          <w:szCs w:val="20"/>
        </w:rPr>
        <w:t>s locations or who are at the</w:t>
      </w:r>
      <w:r w:rsidRPr="00161634">
        <w:rPr>
          <w:szCs w:val="20"/>
        </w:rPr>
        <w:t xml:space="preserve"> executive</w:t>
      </w:r>
      <w:r>
        <w:rPr>
          <w:szCs w:val="20"/>
        </w:rPr>
        <w:t xml:space="preserve"> </w:t>
      </w:r>
      <w:r w:rsidRPr="00161634">
        <w:rPr>
          <w:szCs w:val="20"/>
        </w:rPr>
        <w:t>level</w:t>
      </w:r>
      <w:r>
        <w:rPr>
          <w:szCs w:val="20"/>
        </w:rPr>
        <w:t>;  for example, l</w:t>
      </w:r>
      <w:r w:rsidRPr="00200AED">
        <w:rPr>
          <w:szCs w:val="20"/>
        </w:rPr>
        <w:t>ess than 50</w:t>
      </w:r>
      <w:r>
        <w:rPr>
          <w:szCs w:val="20"/>
        </w:rPr>
        <w:t xml:space="preserve"> percent</w:t>
      </w:r>
      <w:r w:rsidRPr="00200AED">
        <w:rPr>
          <w:szCs w:val="20"/>
        </w:rPr>
        <w:t xml:space="preserve"> of participants came </w:t>
      </w:r>
      <w:r>
        <w:rPr>
          <w:szCs w:val="20"/>
        </w:rPr>
        <w:t xml:space="preserve">from </w:t>
      </w:r>
      <w:r w:rsidRPr="00200AED">
        <w:rPr>
          <w:szCs w:val="20"/>
        </w:rPr>
        <w:t xml:space="preserve">headquarters in </w:t>
      </w:r>
      <w:r>
        <w:rPr>
          <w:szCs w:val="20"/>
        </w:rPr>
        <w:t>2012</w:t>
      </w:r>
      <w:r w:rsidRPr="00200AED">
        <w:rPr>
          <w:szCs w:val="20"/>
        </w:rPr>
        <w:t>, compared to 8</w:t>
      </w:r>
      <w:r>
        <w:rPr>
          <w:szCs w:val="20"/>
        </w:rPr>
        <w:t>0 percent</w:t>
      </w:r>
      <w:r w:rsidRPr="00200AED">
        <w:rPr>
          <w:szCs w:val="20"/>
        </w:rPr>
        <w:t xml:space="preserve"> in</w:t>
      </w:r>
      <w:r>
        <w:rPr>
          <w:szCs w:val="20"/>
        </w:rPr>
        <w:t xml:space="preserve"> 2002.</w:t>
      </w:r>
      <w:r w:rsidRPr="00200AED">
        <w:rPr>
          <w:szCs w:val="20"/>
        </w:rPr>
        <w:t xml:space="preserve"> </w:t>
      </w:r>
      <w:r>
        <w:rPr>
          <w:szCs w:val="20"/>
        </w:rPr>
        <w:t>There has also been a marked decline in executive-level assignments (more than 60 percent since 1992) in favor of developmental assignments and technical and subject matter expert roles.</w:t>
      </w:r>
    </w:p>
    <w:p w:rsidR="00644E60" w:rsidRDefault="00644E60" w:rsidP="00644E60">
      <w:pPr>
        <w:pStyle w:val="BodyText"/>
        <w:spacing w:after="0" w:line="240" w:lineRule="exact"/>
      </w:pPr>
    </w:p>
    <w:p w:rsidR="00644E60" w:rsidRPr="00A37239" w:rsidRDefault="00644E60" w:rsidP="00644E60">
      <w:pPr>
        <w:autoSpaceDE w:val="0"/>
        <w:autoSpaceDN w:val="0"/>
        <w:adjustRightInd w:val="0"/>
        <w:spacing w:line="240" w:lineRule="exact"/>
        <w:rPr>
          <w:rFonts w:cs="Arial"/>
          <w:b/>
          <w:bCs/>
          <w:color w:val="404041"/>
          <w:szCs w:val="20"/>
          <w:lang w:val="en-US"/>
        </w:rPr>
      </w:pPr>
      <w:r w:rsidRPr="00A37239">
        <w:rPr>
          <w:rFonts w:cs="Arial"/>
          <w:b/>
          <w:bCs/>
          <w:color w:val="404041"/>
          <w:szCs w:val="20"/>
          <w:lang w:val="en-US"/>
        </w:rPr>
        <w:t>About the S</w:t>
      </w:r>
      <w:r>
        <w:rPr>
          <w:rFonts w:cs="Arial"/>
          <w:b/>
          <w:bCs/>
          <w:color w:val="404041"/>
          <w:szCs w:val="20"/>
          <w:lang w:val="en-US"/>
        </w:rPr>
        <w:t>urvey</w:t>
      </w:r>
    </w:p>
    <w:p w:rsidR="00644E60" w:rsidRDefault="00644E60" w:rsidP="00644E60">
      <w:pPr>
        <w:pStyle w:val="ListParagraph"/>
        <w:spacing w:line="240" w:lineRule="exact"/>
        <w:ind w:left="0"/>
        <w:contextualSpacing w:val="0"/>
        <w:rPr>
          <w:szCs w:val="20"/>
        </w:rPr>
      </w:pPr>
      <w:r>
        <w:rPr>
          <w:szCs w:val="20"/>
        </w:rPr>
        <w:t xml:space="preserve">PwC's </w:t>
      </w:r>
      <w:r>
        <w:rPr>
          <w:i/>
          <w:iCs/>
          <w:szCs w:val="20"/>
        </w:rPr>
        <w:t>Survey of Global Mobility Policies</w:t>
      </w:r>
      <w:r>
        <w:rPr>
          <w:szCs w:val="20"/>
        </w:rPr>
        <w:t xml:space="preserve"> has transformed to become a comprehensive mobility benchmark that incorporates historical data and is inclusive of all mobility types. </w:t>
      </w:r>
      <w:r w:rsidRPr="00E20BD9">
        <w:rPr>
          <w:szCs w:val="20"/>
        </w:rPr>
        <w:t xml:space="preserve">Since 1992, PwC has regularly invited companies </w:t>
      </w:r>
      <w:r>
        <w:rPr>
          <w:szCs w:val="20"/>
        </w:rPr>
        <w:t xml:space="preserve">from all industries and sizes, </w:t>
      </w:r>
      <w:r w:rsidRPr="00E20BD9">
        <w:rPr>
          <w:szCs w:val="20"/>
        </w:rPr>
        <w:t>with varying levels of global mobility program</w:t>
      </w:r>
      <w:r>
        <w:rPr>
          <w:szCs w:val="20"/>
        </w:rPr>
        <w:t xml:space="preserve"> maturity, to take part in the survey. </w:t>
      </w:r>
      <w:r w:rsidRPr="00E20BD9">
        <w:rPr>
          <w:szCs w:val="20"/>
        </w:rPr>
        <w:t xml:space="preserve"> Almost 1,0</w:t>
      </w:r>
      <w:r>
        <w:rPr>
          <w:szCs w:val="20"/>
        </w:rPr>
        <w:t>00 companies have participated in</w:t>
      </w:r>
      <w:r w:rsidRPr="00E20BD9">
        <w:rPr>
          <w:szCs w:val="20"/>
        </w:rPr>
        <w:t xml:space="preserve"> the </w:t>
      </w:r>
      <w:r>
        <w:rPr>
          <w:szCs w:val="20"/>
        </w:rPr>
        <w:t>s</w:t>
      </w:r>
      <w:r w:rsidRPr="00E20BD9">
        <w:rPr>
          <w:szCs w:val="20"/>
        </w:rPr>
        <w:t>urvey over the years, representing m</w:t>
      </w:r>
      <w:r>
        <w:rPr>
          <w:szCs w:val="20"/>
        </w:rPr>
        <w:t xml:space="preserve">ore than 50 industries. </w:t>
      </w:r>
      <w:r w:rsidRPr="00E20BD9">
        <w:rPr>
          <w:szCs w:val="20"/>
        </w:rPr>
        <w:t xml:space="preserve">Participating companies range in size from </w:t>
      </w:r>
      <w:r w:rsidDel="007C533A">
        <w:rPr>
          <w:szCs w:val="20"/>
        </w:rPr>
        <w:t xml:space="preserve">500 employees to more than </w:t>
      </w:r>
      <w:r w:rsidRPr="00E20BD9" w:rsidDel="007C533A">
        <w:rPr>
          <w:szCs w:val="20"/>
        </w:rPr>
        <w:t xml:space="preserve">250,000 globally and from </w:t>
      </w:r>
      <w:r w:rsidDel="007C533A">
        <w:rPr>
          <w:szCs w:val="20"/>
        </w:rPr>
        <w:t>one</w:t>
      </w:r>
      <w:r w:rsidRPr="00E20BD9" w:rsidDel="007C533A">
        <w:rPr>
          <w:szCs w:val="20"/>
        </w:rPr>
        <w:t xml:space="preserve"> to thousands of assignees.</w:t>
      </w:r>
      <w:r w:rsidRPr="005647C3">
        <w:rPr>
          <w:szCs w:val="20"/>
        </w:rPr>
        <w:t xml:space="preserve"> </w:t>
      </w:r>
      <w:r>
        <w:rPr>
          <w:szCs w:val="20"/>
        </w:rPr>
        <w:t xml:space="preserve">Please visit </w:t>
      </w:r>
      <w:hyperlink r:id="rId9" w:history="1">
        <w:r w:rsidRPr="005647C3">
          <w:rPr>
            <w:rStyle w:val="Hyperlink"/>
            <w:szCs w:val="20"/>
          </w:rPr>
          <w:t>here</w:t>
        </w:r>
      </w:hyperlink>
      <w:r>
        <w:rPr>
          <w:szCs w:val="20"/>
        </w:rPr>
        <w:t xml:space="preserve"> for full survey report.</w:t>
      </w:r>
    </w:p>
    <w:p w:rsidR="00644E60" w:rsidRPr="00200AED" w:rsidRDefault="00644E60" w:rsidP="00644E60">
      <w:pPr>
        <w:pStyle w:val="ListParagraph"/>
        <w:spacing w:line="240" w:lineRule="exact"/>
        <w:ind w:left="0"/>
        <w:contextualSpacing w:val="0"/>
        <w:rPr>
          <w:szCs w:val="20"/>
        </w:rPr>
      </w:pPr>
    </w:p>
    <w:p w:rsidR="00644E60" w:rsidRPr="00A32DAD" w:rsidRDefault="00644E60" w:rsidP="00644E60">
      <w:pPr>
        <w:autoSpaceDE w:val="0"/>
        <w:autoSpaceDN w:val="0"/>
        <w:adjustRightInd w:val="0"/>
        <w:spacing w:line="240" w:lineRule="exact"/>
        <w:rPr>
          <w:rFonts w:cs="Arial"/>
          <w:b/>
          <w:bCs/>
          <w:color w:val="404041"/>
          <w:szCs w:val="20"/>
          <w:lang w:val="en-US"/>
        </w:rPr>
      </w:pPr>
      <w:r w:rsidRPr="00A32DAD">
        <w:rPr>
          <w:rFonts w:cs="Arial"/>
          <w:b/>
          <w:bCs/>
          <w:color w:val="404041"/>
          <w:szCs w:val="20"/>
          <w:lang w:val="en-US"/>
        </w:rPr>
        <w:t>About the PwC Network</w:t>
      </w:r>
    </w:p>
    <w:p w:rsidR="00644E60" w:rsidRDefault="00644E60" w:rsidP="00644E60">
      <w:pPr>
        <w:autoSpaceDE w:val="0"/>
        <w:autoSpaceDN w:val="0"/>
        <w:adjustRightInd w:val="0"/>
        <w:spacing w:line="240" w:lineRule="exact"/>
        <w:rPr>
          <w:rFonts w:cs="Arial"/>
          <w:szCs w:val="20"/>
          <w:lang w:val="en-US"/>
        </w:rPr>
      </w:pPr>
      <w:r w:rsidRPr="00A32DAD">
        <w:rPr>
          <w:rFonts w:cs="Arial"/>
          <w:szCs w:val="20"/>
          <w:lang w:val="en-US"/>
        </w:rPr>
        <w:t xml:space="preserve">PwC firms help organizations and individuals create the value they’re looking for. We’re a network of firms in 158 countries with more than 180,000 people who are committed to delivering quality in assurance, tax and advisory services. Tell us what matters to you and find out more by visiting us at </w:t>
      </w:r>
      <w:hyperlink r:id="rId10" w:history="1">
        <w:r w:rsidRPr="00462D7A">
          <w:rPr>
            <w:rFonts w:cs="Arial"/>
            <w:color w:val="0070C0"/>
            <w:szCs w:val="20"/>
            <w:lang w:val="en-US"/>
          </w:rPr>
          <w:t>www.pwc.com</w:t>
        </w:r>
      </w:hyperlink>
      <w:r w:rsidRPr="00A32DAD">
        <w:rPr>
          <w:rFonts w:cs="Arial"/>
          <w:szCs w:val="20"/>
          <w:lang w:val="en-US"/>
        </w:rPr>
        <w:t>.</w:t>
      </w:r>
    </w:p>
    <w:p w:rsidR="00644E60" w:rsidRPr="00A32DAD" w:rsidRDefault="00644E60" w:rsidP="00644E60">
      <w:pPr>
        <w:autoSpaceDE w:val="0"/>
        <w:autoSpaceDN w:val="0"/>
        <w:adjustRightInd w:val="0"/>
        <w:spacing w:line="240" w:lineRule="exact"/>
        <w:rPr>
          <w:rFonts w:cs="Arial"/>
          <w:szCs w:val="20"/>
          <w:lang w:val="en-US"/>
        </w:rPr>
      </w:pPr>
    </w:p>
    <w:p w:rsidR="00644E60" w:rsidRDefault="00644E60" w:rsidP="00644E60">
      <w:pPr>
        <w:autoSpaceDE w:val="0"/>
        <w:autoSpaceDN w:val="0"/>
        <w:adjustRightInd w:val="0"/>
        <w:spacing w:line="240" w:lineRule="exact"/>
        <w:rPr>
          <w:rFonts w:cs="Arial"/>
          <w:szCs w:val="20"/>
          <w:lang w:val="en-US"/>
        </w:rPr>
      </w:pPr>
      <w:r w:rsidRPr="00A32DAD">
        <w:rPr>
          <w:rFonts w:cs="Arial"/>
          <w:szCs w:val="20"/>
          <w:lang w:val="en-US"/>
        </w:rPr>
        <w:t xml:space="preserve">Learn more about PwC by following us online: </w:t>
      </w:r>
      <w:hyperlink r:id="rId11" w:history="1">
        <w:r w:rsidRPr="00A32DAD">
          <w:rPr>
            <w:rFonts w:cs="Arial"/>
            <w:lang w:val="en-US"/>
          </w:rPr>
          <w:t>@PwCLLP</w:t>
        </w:r>
      </w:hyperlink>
      <w:r w:rsidRPr="00A32DAD">
        <w:rPr>
          <w:rFonts w:cs="Arial"/>
          <w:szCs w:val="20"/>
          <w:lang w:val="en-US"/>
        </w:rPr>
        <w:t xml:space="preserve">, </w:t>
      </w:r>
      <w:hyperlink r:id="rId12" w:history="1">
        <w:r w:rsidRPr="00A32DAD">
          <w:rPr>
            <w:rFonts w:cs="Arial"/>
            <w:lang w:val="en-US"/>
          </w:rPr>
          <w:t>YouTube</w:t>
        </w:r>
      </w:hyperlink>
      <w:r w:rsidRPr="00A32DAD">
        <w:rPr>
          <w:rFonts w:cs="Arial"/>
          <w:szCs w:val="20"/>
          <w:lang w:val="en-US"/>
        </w:rPr>
        <w:t xml:space="preserve">, </w:t>
      </w:r>
      <w:hyperlink r:id="rId13" w:history="1">
        <w:r w:rsidRPr="00A32DAD">
          <w:rPr>
            <w:rFonts w:cs="Arial"/>
            <w:lang w:val="en-US"/>
          </w:rPr>
          <w:t>LinkedIn</w:t>
        </w:r>
      </w:hyperlink>
      <w:r w:rsidRPr="00A32DAD">
        <w:rPr>
          <w:rFonts w:cs="Arial"/>
          <w:szCs w:val="20"/>
          <w:lang w:val="en-US"/>
        </w:rPr>
        <w:t xml:space="preserve">, </w:t>
      </w:r>
      <w:hyperlink r:id="rId14" w:history="1">
        <w:r w:rsidRPr="00A32DAD">
          <w:rPr>
            <w:rFonts w:cs="Arial"/>
            <w:lang w:val="en-US"/>
          </w:rPr>
          <w:t>Facebook</w:t>
        </w:r>
      </w:hyperlink>
      <w:r w:rsidRPr="00A32DAD">
        <w:rPr>
          <w:rFonts w:cs="Arial"/>
          <w:szCs w:val="20"/>
          <w:lang w:val="en-US"/>
        </w:rPr>
        <w:t xml:space="preserve"> </w:t>
      </w:r>
      <w:r>
        <w:rPr>
          <w:rFonts w:cs="Arial"/>
          <w:szCs w:val="20"/>
          <w:lang w:val="en-US"/>
        </w:rPr>
        <w:br/>
      </w:r>
      <w:r w:rsidRPr="00A32DAD">
        <w:rPr>
          <w:rFonts w:cs="Arial"/>
          <w:szCs w:val="20"/>
          <w:lang w:val="en-US"/>
        </w:rPr>
        <w:t xml:space="preserve">and </w:t>
      </w:r>
      <w:hyperlink r:id="rId15" w:history="1">
        <w:r w:rsidRPr="00A32DAD">
          <w:rPr>
            <w:rFonts w:cs="Arial"/>
            <w:lang w:val="en-US"/>
          </w:rPr>
          <w:t>Google +</w:t>
        </w:r>
      </w:hyperlink>
      <w:r w:rsidRPr="00A32DAD">
        <w:rPr>
          <w:rFonts w:cs="Arial"/>
          <w:szCs w:val="20"/>
          <w:lang w:val="en-US"/>
        </w:rPr>
        <w:t>.</w:t>
      </w:r>
    </w:p>
    <w:p w:rsidR="00644E60" w:rsidRPr="00A32DAD" w:rsidRDefault="00644E60" w:rsidP="00644E60">
      <w:pPr>
        <w:autoSpaceDE w:val="0"/>
        <w:autoSpaceDN w:val="0"/>
        <w:adjustRightInd w:val="0"/>
        <w:spacing w:line="240" w:lineRule="exact"/>
        <w:rPr>
          <w:rFonts w:cs="Arial"/>
          <w:szCs w:val="20"/>
          <w:lang w:val="en-US"/>
        </w:rPr>
      </w:pPr>
    </w:p>
    <w:p w:rsidR="00644E60" w:rsidRDefault="00644E60" w:rsidP="00644E60">
      <w:pPr>
        <w:spacing w:line="240" w:lineRule="exact"/>
        <w:rPr>
          <w:rFonts w:cs="Arial"/>
          <w:szCs w:val="20"/>
          <w:lang w:val="en-US"/>
        </w:rPr>
      </w:pPr>
      <w:r w:rsidRPr="00A32DAD">
        <w:rPr>
          <w:rFonts w:cs="Arial"/>
          <w:szCs w:val="20"/>
          <w:lang w:val="en-US"/>
        </w:rPr>
        <w:t xml:space="preserve">© 2012 PricewaterhouseCoopers LLP, a Delaware limited liability partnership. All rights reserved. PwC refers to the US member firm, and may sometimes refer to the PwC network. Each member firm is a separate legal entity. Please see </w:t>
      </w:r>
      <w:hyperlink r:id="rId16" w:history="1">
        <w:r w:rsidRPr="00462D7A">
          <w:rPr>
            <w:rFonts w:cs="Arial"/>
            <w:color w:val="0070C0"/>
            <w:szCs w:val="20"/>
            <w:lang w:val="en-US"/>
          </w:rPr>
          <w:t>www.pwc.com/structure</w:t>
        </w:r>
      </w:hyperlink>
      <w:r w:rsidRPr="00A32DAD">
        <w:rPr>
          <w:rFonts w:cs="Arial"/>
          <w:szCs w:val="20"/>
          <w:lang w:val="en-US"/>
        </w:rPr>
        <w:t xml:space="preserve"> for further details.</w:t>
      </w:r>
    </w:p>
    <w:p w:rsidR="00644E60" w:rsidRDefault="00644E60" w:rsidP="00644E60">
      <w:pPr>
        <w:spacing w:line="240" w:lineRule="auto"/>
        <w:rPr>
          <w:rFonts w:cs="Arial"/>
          <w:szCs w:val="20"/>
          <w:lang w:val="en-US"/>
        </w:rPr>
      </w:pPr>
    </w:p>
    <w:p w:rsidR="00644E60" w:rsidRPr="00A32DAD" w:rsidRDefault="00644E60" w:rsidP="00644E60">
      <w:pPr>
        <w:spacing w:line="240" w:lineRule="auto"/>
        <w:rPr>
          <w:rFonts w:cs="Arial"/>
          <w:szCs w:val="20"/>
          <w:lang w:val="en-US"/>
        </w:rPr>
      </w:pPr>
    </w:p>
    <w:p w:rsidR="00644E60" w:rsidRPr="00EF095B" w:rsidRDefault="00644E60" w:rsidP="00644E60">
      <w:pPr>
        <w:pStyle w:val="BodyText"/>
        <w:spacing w:after="0" w:line="240" w:lineRule="auto"/>
        <w:jc w:val="center"/>
        <w:rPr>
          <w:szCs w:val="20"/>
        </w:rPr>
      </w:pPr>
      <w:r>
        <w:rPr>
          <w:szCs w:val="20"/>
        </w:rPr>
        <w:t>#  #  #</w:t>
      </w:r>
    </w:p>
    <w:p w:rsidR="00644E60" w:rsidRPr="002E63D7" w:rsidRDefault="00644E60" w:rsidP="00644E60">
      <w:pPr>
        <w:pStyle w:val="BodyText"/>
        <w:spacing w:after="0" w:line="240" w:lineRule="auto"/>
        <w:rPr>
          <w:szCs w:val="20"/>
        </w:rPr>
      </w:pPr>
    </w:p>
    <w:sectPr w:rsidR="00644E60" w:rsidRPr="002E63D7" w:rsidSect="00644E60">
      <w:headerReference w:type="even" r:id="rId17"/>
      <w:headerReference w:type="default" r:id="rId18"/>
      <w:footerReference w:type="even" r:id="rId19"/>
      <w:footerReference w:type="default" r:id="rId20"/>
      <w:headerReference w:type="first" r:id="rId21"/>
      <w:pgSz w:w="11907" w:h="16839"/>
      <w:pgMar w:top="3067" w:right="1440" w:bottom="907" w:left="1440" w:header="562"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445" w:rsidRDefault="00C47445">
      <w:pPr>
        <w:spacing w:line="240" w:lineRule="auto"/>
      </w:pPr>
      <w:r>
        <w:separator/>
      </w:r>
    </w:p>
  </w:endnote>
  <w:endnote w:type="continuationSeparator" w:id="0">
    <w:p w:rsidR="00C47445" w:rsidRDefault="00C474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352" w:rsidRDefault="00C02037">
    <w:pPr>
      <w:pStyle w:val="Footer"/>
    </w:pPr>
    <w:fldSimple w:instr=" PAGE  \* MERGEFORMAT ">
      <w:r w:rsidR="009D476D">
        <w:rPr>
          <w:noProof/>
        </w:rPr>
        <w:t>2</w:t>
      </w:r>
    </w:fldSimple>
    <w:r w:rsidR="00E32086">
      <w:t xml:space="preserve"> of </w:t>
    </w:r>
    <w:fldSimple w:instr=" NUMPAGES  \* MERGEFORMAT ">
      <w:r w:rsidR="009D476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352" w:rsidRDefault="00C02037">
    <w:pPr>
      <w:pStyle w:val="Footer"/>
    </w:pPr>
    <w:fldSimple w:instr=" PAGE  \* MERGEFORMAT ">
      <w:r w:rsidR="00E32086">
        <w:rPr>
          <w:noProof/>
        </w:rPr>
        <w:t>3</w:t>
      </w:r>
    </w:fldSimple>
    <w:r w:rsidR="00E32086">
      <w:t xml:space="preserve"> of </w:t>
    </w:r>
    <w:fldSimple w:instr=" NUMPAGES  \* MERGEFORMAT ">
      <w:r w:rsidR="009D476D">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445" w:rsidRDefault="00C47445">
      <w:pPr>
        <w:spacing w:line="240" w:lineRule="auto"/>
      </w:pPr>
      <w:r>
        <w:separator/>
      </w:r>
    </w:p>
  </w:footnote>
  <w:footnote w:type="continuationSeparator" w:id="0">
    <w:p w:rsidR="00C47445" w:rsidRDefault="00C474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352" w:rsidRDefault="00E32086">
    <w:pPr>
      <w:pStyle w:val="Header"/>
    </w:pPr>
    <w:r>
      <w:rPr>
        <w:noProof/>
        <w:lang w:eastAsia="en-GB"/>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352" w:rsidRDefault="00E32086">
    <w:pPr>
      <w:pStyle w:val="Header"/>
    </w:pPr>
    <w:r>
      <w:rPr>
        <w:noProof/>
        <w:lang w:eastAsia="en-GB"/>
      </w:rPr>
      <w:drawing>
        <wp:anchor distT="0" distB="0" distL="114300" distR="114300" simplePos="0" relativeHeight="251657728" behindDoc="0" locked="1" layoutInCell="1" allowOverlap="1">
          <wp:simplePos x="0" y="0"/>
          <wp:positionH relativeFrom="page">
            <wp:posOffset>428625</wp:posOffset>
          </wp:positionH>
          <wp:positionV relativeFrom="page">
            <wp:posOffset>419100</wp:posOffset>
          </wp:positionV>
          <wp:extent cx="1409700" cy="1266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09700" cy="1266825"/>
                  </a:xfrm>
                  <a:prstGeom prst="rect">
                    <a:avLst/>
                  </a:prstGeom>
                  <a:noFill/>
                </pic:spPr>
              </pic:pic>
            </a:graphicData>
          </a:graphic>
        </wp:anchor>
      </w:drawing>
    </w:r>
  </w:p>
  <w:p w:rsidR="000B6352" w:rsidRDefault="000B6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352" w:rsidRDefault="00E32086">
    <w:pPr>
      <w:pStyle w:val="Header"/>
    </w:pPr>
    <w:r>
      <w:rPr>
        <w:noProof/>
        <w:lang w:eastAsia="en-GB"/>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08721BC3"/>
    <w:multiLevelType w:val="hybridMultilevel"/>
    <w:tmpl w:val="65E80D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0AE11D6F"/>
    <w:multiLevelType w:val="hybridMultilevel"/>
    <w:tmpl w:val="D99CE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E07A55"/>
    <w:multiLevelType w:val="hybridMultilevel"/>
    <w:tmpl w:val="A0E61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5">
    <w:nsid w:val="37614E13"/>
    <w:multiLevelType w:val="hybridMultilevel"/>
    <w:tmpl w:val="C43C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8A0441"/>
    <w:multiLevelType w:val="hybridMultilevel"/>
    <w:tmpl w:val="B2AE5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72A66DD"/>
    <w:multiLevelType w:val="hybridMultilevel"/>
    <w:tmpl w:val="F194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42D11"/>
    <w:multiLevelType w:val="hybridMultilevel"/>
    <w:tmpl w:val="1E8C2DF4"/>
    <w:lvl w:ilvl="0" w:tplc="0807000F">
      <w:start w:val="1"/>
      <w:numFmt w:val="decimal"/>
      <w:lvlText w:val="%1."/>
      <w:lvlJc w:val="left"/>
      <w:pPr>
        <w:ind w:left="1050" w:hanging="360"/>
      </w:pPr>
    </w:lvl>
    <w:lvl w:ilvl="1" w:tplc="08070019" w:tentative="1">
      <w:start w:val="1"/>
      <w:numFmt w:val="lowerLetter"/>
      <w:lvlText w:val="%2."/>
      <w:lvlJc w:val="left"/>
      <w:pPr>
        <w:ind w:left="1770" w:hanging="360"/>
      </w:pPr>
    </w:lvl>
    <w:lvl w:ilvl="2" w:tplc="0807001B" w:tentative="1">
      <w:start w:val="1"/>
      <w:numFmt w:val="lowerRoman"/>
      <w:lvlText w:val="%3."/>
      <w:lvlJc w:val="right"/>
      <w:pPr>
        <w:ind w:left="2490" w:hanging="180"/>
      </w:pPr>
    </w:lvl>
    <w:lvl w:ilvl="3" w:tplc="0807000F" w:tentative="1">
      <w:start w:val="1"/>
      <w:numFmt w:val="decimal"/>
      <w:lvlText w:val="%4."/>
      <w:lvlJc w:val="left"/>
      <w:pPr>
        <w:ind w:left="3210" w:hanging="360"/>
      </w:pPr>
    </w:lvl>
    <w:lvl w:ilvl="4" w:tplc="08070019" w:tentative="1">
      <w:start w:val="1"/>
      <w:numFmt w:val="lowerLetter"/>
      <w:lvlText w:val="%5."/>
      <w:lvlJc w:val="left"/>
      <w:pPr>
        <w:ind w:left="3930" w:hanging="360"/>
      </w:pPr>
    </w:lvl>
    <w:lvl w:ilvl="5" w:tplc="0807001B" w:tentative="1">
      <w:start w:val="1"/>
      <w:numFmt w:val="lowerRoman"/>
      <w:lvlText w:val="%6."/>
      <w:lvlJc w:val="right"/>
      <w:pPr>
        <w:ind w:left="4650" w:hanging="180"/>
      </w:pPr>
    </w:lvl>
    <w:lvl w:ilvl="6" w:tplc="0807000F" w:tentative="1">
      <w:start w:val="1"/>
      <w:numFmt w:val="decimal"/>
      <w:lvlText w:val="%7."/>
      <w:lvlJc w:val="left"/>
      <w:pPr>
        <w:ind w:left="5370" w:hanging="360"/>
      </w:pPr>
    </w:lvl>
    <w:lvl w:ilvl="7" w:tplc="08070019" w:tentative="1">
      <w:start w:val="1"/>
      <w:numFmt w:val="lowerLetter"/>
      <w:lvlText w:val="%8."/>
      <w:lvlJc w:val="left"/>
      <w:pPr>
        <w:ind w:left="6090" w:hanging="360"/>
      </w:pPr>
    </w:lvl>
    <w:lvl w:ilvl="8" w:tplc="0807001B" w:tentative="1">
      <w:start w:val="1"/>
      <w:numFmt w:val="lowerRoman"/>
      <w:lvlText w:val="%9."/>
      <w:lvlJc w:val="right"/>
      <w:pPr>
        <w:ind w:left="6810" w:hanging="180"/>
      </w:pPr>
    </w:lvl>
  </w:abstractNum>
  <w:abstractNum w:abstractNumId="19">
    <w:nsid w:val="5B714479"/>
    <w:multiLevelType w:val="hybridMultilevel"/>
    <w:tmpl w:val="25F6C006"/>
    <w:lvl w:ilvl="0" w:tplc="0409000F">
      <w:start w:val="1"/>
      <w:numFmt w:val="decimal"/>
      <w:lvlText w:val="%1."/>
      <w:lvlJc w:val="left"/>
      <w:pPr>
        <w:tabs>
          <w:tab w:val="num" w:pos="502"/>
        </w:tabs>
        <w:ind w:left="502" w:hanging="360"/>
      </w:pPr>
      <w:rPr>
        <w:rFonts w:hint="default"/>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0">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7D6E3224"/>
    <w:multiLevelType w:val="hybridMultilevel"/>
    <w:tmpl w:val="7A581C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7E914FF1"/>
    <w:multiLevelType w:val="hybridMultilevel"/>
    <w:tmpl w:val="2B8A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9"/>
  </w:num>
  <w:num w:numId="14">
    <w:abstractNumId w:val="21"/>
  </w:num>
  <w:num w:numId="15">
    <w:abstractNumId w:val="22"/>
  </w:num>
  <w:num w:numId="16">
    <w:abstractNumId w:val="16"/>
  </w:num>
  <w:num w:numId="17">
    <w:abstractNumId w:val="12"/>
  </w:num>
  <w:num w:numId="18">
    <w:abstractNumId w:val="10"/>
  </w:num>
  <w:num w:numId="19">
    <w:abstractNumId w:val="18"/>
  </w:num>
  <w:num w:numId="20">
    <w:abstractNumId w:val="13"/>
  </w:num>
  <w:num w:numId="21">
    <w:abstractNumId w:val="15"/>
  </w:num>
  <w:num w:numId="22">
    <w:abstractNumId w:val="1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hyphenationZone w:val="425"/>
  <w:evenAndOddHeaders/>
  <w:drawingGridHorizontalSpacing w:val="110"/>
  <w:displayHorizontalDrawingGridEvery w:val="2"/>
  <w:characterSpacingControl w:val="doNotCompress"/>
  <w:hdrShapeDefaults>
    <o:shapedefaults v:ext="edit" spidmax="72706">
      <v:textbox inset="5.85pt,.7pt,5.85pt,.7pt"/>
    </o:shapedefaults>
  </w:hdrShapeDefaults>
  <w:footnotePr>
    <w:footnote w:id="-1"/>
    <w:footnote w:id="0"/>
  </w:footnotePr>
  <w:endnotePr>
    <w:endnote w:id="-1"/>
    <w:endnote w:id="0"/>
  </w:endnotePr>
  <w:compat>
    <w:useFELayout/>
  </w:compat>
  <w:rsids>
    <w:rsidRoot w:val="000B6352"/>
    <w:rsid w:val="00035E38"/>
    <w:rsid w:val="000B3E2C"/>
    <w:rsid w:val="000B4F2A"/>
    <w:rsid w:val="000B6352"/>
    <w:rsid w:val="00137433"/>
    <w:rsid w:val="00236201"/>
    <w:rsid w:val="003A6754"/>
    <w:rsid w:val="00576018"/>
    <w:rsid w:val="00644E60"/>
    <w:rsid w:val="009D476D"/>
    <w:rsid w:val="00A104EC"/>
    <w:rsid w:val="00C02037"/>
    <w:rsid w:val="00C47445"/>
    <w:rsid w:val="00C70854"/>
    <w:rsid w:val="00D6772C"/>
    <w:rsid w:val="00E32086"/>
    <w:rsid w:val="00F071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52"/>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0B6352"/>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6352"/>
    <w:rPr>
      <w:rFonts w:ascii="Cambria" w:hAnsi="Cambria" w:cs="Times New Roman"/>
      <w:b/>
      <w:bCs/>
      <w:kern w:val="32"/>
      <w:sz w:val="32"/>
      <w:szCs w:val="32"/>
    </w:rPr>
  </w:style>
  <w:style w:type="paragraph" w:styleId="Header">
    <w:name w:val="header"/>
    <w:basedOn w:val="Normal"/>
    <w:link w:val="HeaderChar"/>
    <w:uiPriority w:val="99"/>
    <w:semiHidden/>
    <w:rsid w:val="000B6352"/>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0B6352"/>
    <w:rPr>
      <w:rFonts w:cs="Times New Roman"/>
    </w:rPr>
  </w:style>
  <w:style w:type="paragraph" w:styleId="Footer">
    <w:name w:val="footer"/>
    <w:basedOn w:val="Normal"/>
    <w:link w:val="FooterChar"/>
    <w:uiPriority w:val="99"/>
    <w:semiHidden/>
    <w:rsid w:val="000B6352"/>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0B6352"/>
    <w:rPr>
      <w:rFonts w:cs="Times New Roman"/>
    </w:rPr>
  </w:style>
  <w:style w:type="paragraph" w:styleId="BodyText">
    <w:name w:val="Body Text"/>
    <w:basedOn w:val="Normal"/>
    <w:link w:val="BodyTextChar"/>
    <w:uiPriority w:val="99"/>
    <w:semiHidden/>
    <w:rsid w:val="000B6352"/>
    <w:pPr>
      <w:spacing w:after="240"/>
    </w:pPr>
  </w:style>
  <w:style w:type="character" w:customStyle="1" w:styleId="BodyTextChar">
    <w:name w:val="Body Text Char"/>
    <w:basedOn w:val="DefaultParagraphFont"/>
    <w:link w:val="BodyText"/>
    <w:uiPriority w:val="99"/>
    <w:semiHidden/>
    <w:locked/>
    <w:rsid w:val="000B6352"/>
    <w:rPr>
      <w:rFonts w:ascii="Georgia" w:hAnsi="Georgia" w:cs="Times New Roman"/>
      <w:sz w:val="20"/>
    </w:rPr>
  </w:style>
  <w:style w:type="paragraph" w:styleId="Title">
    <w:name w:val="Title"/>
    <w:basedOn w:val="Normal"/>
    <w:next w:val="Normal"/>
    <w:link w:val="TitleChar"/>
    <w:uiPriority w:val="99"/>
    <w:qFormat/>
    <w:rsid w:val="000B6352"/>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0B6352"/>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0B6352"/>
    <w:pPr>
      <w:spacing w:line="200" w:lineRule="atLeast"/>
    </w:pPr>
    <w:rPr>
      <w:i/>
      <w:sz w:val="18"/>
    </w:rPr>
  </w:style>
  <w:style w:type="character" w:customStyle="1" w:styleId="AddressChar">
    <w:name w:val="Address Char"/>
    <w:basedOn w:val="DefaultParagraphFont"/>
    <w:link w:val="Address"/>
    <w:uiPriority w:val="99"/>
    <w:locked/>
    <w:rsid w:val="000B6352"/>
    <w:rPr>
      <w:rFonts w:ascii="Georgia" w:hAnsi="Georgia" w:cs="Times New Roman"/>
      <w:i/>
      <w:sz w:val="18"/>
    </w:rPr>
  </w:style>
  <w:style w:type="paragraph" w:customStyle="1" w:styleId="Disclaimer">
    <w:name w:val="Disclaimer"/>
    <w:basedOn w:val="Normal"/>
    <w:link w:val="DisclaimerChar"/>
    <w:uiPriority w:val="99"/>
    <w:rsid w:val="000B6352"/>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0B6352"/>
    <w:rPr>
      <w:rFonts w:ascii="Arial" w:hAnsi="Arial" w:cs="Arial"/>
      <w:sz w:val="12"/>
    </w:rPr>
  </w:style>
  <w:style w:type="paragraph" w:styleId="ListParagraph">
    <w:name w:val="List Paragraph"/>
    <w:basedOn w:val="Normal"/>
    <w:uiPriority w:val="99"/>
    <w:qFormat/>
    <w:rsid w:val="000B6352"/>
    <w:pPr>
      <w:ind w:left="720"/>
      <w:contextualSpacing/>
    </w:pPr>
  </w:style>
  <w:style w:type="character" w:styleId="Hyperlink">
    <w:name w:val="Hyperlink"/>
    <w:basedOn w:val="DefaultParagraphFont"/>
    <w:uiPriority w:val="99"/>
    <w:unhideWhenUsed/>
    <w:rsid w:val="000B6352"/>
    <w:rPr>
      <w:color w:val="0000FF" w:themeColor="hyperlink"/>
      <w:u w:val="single"/>
    </w:rPr>
  </w:style>
  <w:style w:type="paragraph" w:styleId="NormalWeb">
    <w:name w:val="Normal (Web)"/>
    <w:basedOn w:val="Normal"/>
    <w:uiPriority w:val="99"/>
    <w:rsid w:val="000B6352"/>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0B63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52"/>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0B6352"/>
    <w:rPr>
      <w:sz w:val="18"/>
      <w:szCs w:val="18"/>
    </w:rPr>
  </w:style>
  <w:style w:type="paragraph" w:styleId="CommentText">
    <w:name w:val="annotation text"/>
    <w:basedOn w:val="Normal"/>
    <w:link w:val="CommentTextChar"/>
    <w:uiPriority w:val="99"/>
    <w:semiHidden/>
    <w:unhideWhenUsed/>
    <w:rsid w:val="000B6352"/>
  </w:style>
  <w:style w:type="character" w:customStyle="1" w:styleId="CommentTextChar">
    <w:name w:val="Comment Text Char"/>
    <w:basedOn w:val="DefaultParagraphFont"/>
    <w:link w:val="CommentText"/>
    <w:uiPriority w:val="99"/>
    <w:semiHidden/>
    <w:rsid w:val="000B6352"/>
    <w:rPr>
      <w:rFonts w:ascii="Georgia" w:hAnsi="Georgia"/>
      <w:sz w:val="20"/>
      <w:lang w:val="en-GB" w:eastAsia="en-US"/>
    </w:rPr>
  </w:style>
  <w:style w:type="paragraph" w:styleId="CommentSubject">
    <w:name w:val="annotation subject"/>
    <w:basedOn w:val="CommentText"/>
    <w:next w:val="CommentText"/>
    <w:link w:val="CommentSubjectChar"/>
    <w:uiPriority w:val="99"/>
    <w:semiHidden/>
    <w:unhideWhenUsed/>
    <w:rsid w:val="000B6352"/>
    <w:rPr>
      <w:b/>
      <w:bCs/>
    </w:rPr>
  </w:style>
  <w:style w:type="character" w:customStyle="1" w:styleId="CommentSubjectChar">
    <w:name w:val="Comment Subject Char"/>
    <w:basedOn w:val="CommentTextChar"/>
    <w:link w:val="CommentSubject"/>
    <w:uiPriority w:val="99"/>
    <w:semiHidden/>
    <w:rsid w:val="000B6352"/>
    <w:rPr>
      <w:rFonts w:ascii="Georgia" w:hAnsi="Georgia"/>
      <w:b/>
      <w:bCs/>
      <w:sz w:val="20"/>
      <w:lang w:val="en-GB" w:eastAsia="en-US"/>
    </w:rPr>
  </w:style>
  <w:style w:type="paragraph" w:styleId="Revision">
    <w:name w:val="Revision"/>
    <w:hidden/>
    <w:uiPriority w:val="99"/>
    <w:semiHidden/>
    <w:rsid w:val="000B6352"/>
    <w:rPr>
      <w:rFonts w:ascii="Georgia" w:hAnsi="Georgia"/>
      <w:sz w:val="20"/>
      <w:lang w:val="en-GB" w:eastAsia="en-US"/>
    </w:rPr>
  </w:style>
  <w:style w:type="paragraph" w:styleId="DocumentMap">
    <w:name w:val="Document Map"/>
    <w:basedOn w:val="Normal"/>
    <w:link w:val="DocumentMapChar"/>
    <w:uiPriority w:val="99"/>
    <w:semiHidden/>
    <w:unhideWhenUsed/>
    <w:rsid w:val="000B635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6352"/>
    <w:rPr>
      <w:rFonts w:ascii="Tahoma" w:hAnsi="Tahoma" w:cs="Tahoma"/>
      <w:sz w:val="16"/>
      <w:szCs w:val="16"/>
      <w:lang w:val="en-GB" w:eastAsia="en-US"/>
    </w:rPr>
  </w:style>
  <w:style w:type="paragraph" w:styleId="NoSpacing">
    <w:name w:val="No Spacing"/>
    <w:uiPriority w:val="1"/>
    <w:qFormat/>
    <w:rsid w:val="000B6352"/>
    <w:rPr>
      <w:rFonts w:ascii="Georgia" w:hAnsi="Georgia"/>
      <w:sz w:val="20"/>
      <w:lang w:val="en-GB" w:eastAsia="en-US"/>
    </w:rPr>
  </w:style>
  <w:style w:type="paragraph" w:customStyle="1" w:styleId="BodySingle">
    <w:name w:val="Body Single"/>
    <w:basedOn w:val="BodyText"/>
    <w:link w:val="BodySingleChar"/>
    <w:uiPriority w:val="99"/>
    <w:rsid w:val="00644E60"/>
    <w:pPr>
      <w:spacing w:after="0"/>
    </w:pPr>
    <w:rPr>
      <w:rFonts w:ascii="Arial" w:eastAsia="Times New Roman" w:hAnsi="Arial"/>
      <w:color w:val="000000"/>
      <w:sz w:val="21"/>
      <w:szCs w:val="21"/>
    </w:rPr>
  </w:style>
  <w:style w:type="character" w:customStyle="1" w:styleId="BodySingleChar">
    <w:name w:val="Body Single Char"/>
    <w:basedOn w:val="BodyTextChar"/>
    <w:link w:val="BodySingle"/>
    <w:uiPriority w:val="99"/>
    <w:locked/>
    <w:rsid w:val="00644E60"/>
    <w:rPr>
      <w:rFonts w:ascii="Arial" w:eastAsia="Times New Roman" w:hAnsi="Arial"/>
      <w:color w:val="000000"/>
      <w:sz w:val="21"/>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7E"/>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91387E"/>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387E"/>
    <w:rPr>
      <w:rFonts w:ascii="Cambria" w:hAnsi="Cambria" w:cs="Times New Roman"/>
      <w:b/>
      <w:bCs/>
      <w:kern w:val="32"/>
      <w:sz w:val="32"/>
      <w:szCs w:val="32"/>
    </w:rPr>
  </w:style>
  <w:style w:type="paragraph" w:styleId="Header">
    <w:name w:val="header"/>
    <w:basedOn w:val="Normal"/>
    <w:link w:val="HeaderChar"/>
    <w:uiPriority w:val="99"/>
    <w:semiHidden/>
    <w:rsid w:val="0091387E"/>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91387E"/>
    <w:rPr>
      <w:rFonts w:cs="Times New Roman"/>
    </w:rPr>
  </w:style>
  <w:style w:type="paragraph" w:styleId="Footer">
    <w:name w:val="footer"/>
    <w:basedOn w:val="Normal"/>
    <w:link w:val="FooterChar"/>
    <w:uiPriority w:val="99"/>
    <w:semiHidden/>
    <w:rsid w:val="0091387E"/>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91387E"/>
    <w:rPr>
      <w:rFonts w:cs="Times New Roman"/>
    </w:rPr>
  </w:style>
  <w:style w:type="paragraph" w:styleId="BodyText">
    <w:name w:val="Body Text"/>
    <w:basedOn w:val="Normal"/>
    <w:link w:val="BodyTextChar"/>
    <w:uiPriority w:val="99"/>
    <w:semiHidden/>
    <w:rsid w:val="0091387E"/>
    <w:pPr>
      <w:spacing w:after="240"/>
    </w:pPr>
  </w:style>
  <w:style w:type="character" w:customStyle="1" w:styleId="BodyTextChar">
    <w:name w:val="Body Text Char"/>
    <w:basedOn w:val="DefaultParagraphFont"/>
    <w:link w:val="BodyText"/>
    <w:uiPriority w:val="99"/>
    <w:semiHidden/>
    <w:locked/>
    <w:rsid w:val="0091387E"/>
    <w:rPr>
      <w:rFonts w:ascii="Georgia" w:hAnsi="Georgia" w:cs="Times New Roman"/>
      <w:sz w:val="20"/>
    </w:rPr>
  </w:style>
  <w:style w:type="paragraph" w:styleId="Title">
    <w:name w:val="Title"/>
    <w:basedOn w:val="Normal"/>
    <w:next w:val="Normal"/>
    <w:link w:val="TitleChar"/>
    <w:uiPriority w:val="99"/>
    <w:qFormat/>
    <w:rsid w:val="0091387E"/>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91387E"/>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91387E"/>
    <w:pPr>
      <w:spacing w:line="200" w:lineRule="atLeast"/>
    </w:pPr>
    <w:rPr>
      <w:i/>
      <w:sz w:val="18"/>
    </w:rPr>
  </w:style>
  <w:style w:type="character" w:customStyle="1" w:styleId="AddressChar">
    <w:name w:val="Address Char"/>
    <w:basedOn w:val="DefaultParagraphFont"/>
    <w:link w:val="Address"/>
    <w:uiPriority w:val="99"/>
    <w:locked/>
    <w:rsid w:val="0091387E"/>
    <w:rPr>
      <w:rFonts w:ascii="Georgia" w:hAnsi="Georgia" w:cs="Times New Roman"/>
      <w:i/>
      <w:sz w:val="18"/>
    </w:rPr>
  </w:style>
  <w:style w:type="paragraph" w:customStyle="1" w:styleId="Disclaimer">
    <w:name w:val="Disclaimer"/>
    <w:basedOn w:val="Normal"/>
    <w:link w:val="DisclaimerChar"/>
    <w:uiPriority w:val="99"/>
    <w:rsid w:val="0091387E"/>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91387E"/>
    <w:rPr>
      <w:rFonts w:ascii="Arial" w:hAnsi="Arial" w:cs="Arial"/>
      <w:sz w:val="12"/>
    </w:rPr>
  </w:style>
  <w:style w:type="paragraph" w:styleId="ListParagraph">
    <w:name w:val="List Paragraph"/>
    <w:basedOn w:val="Normal"/>
    <w:uiPriority w:val="34"/>
    <w:qFormat/>
    <w:rsid w:val="0091387E"/>
    <w:pPr>
      <w:ind w:left="720"/>
      <w:contextualSpacing/>
    </w:pPr>
  </w:style>
  <w:style w:type="character" w:styleId="Hyperlink">
    <w:name w:val="Hyperlink"/>
    <w:basedOn w:val="DefaultParagraphFont"/>
    <w:uiPriority w:val="99"/>
    <w:unhideWhenUsed/>
    <w:rsid w:val="0091387E"/>
    <w:rPr>
      <w:color w:val="0000FF" w:themeColor="hyperlink"/>
      <w:u w:val="single"/>
    </w:rPr>
  </w:style>
  <w:style w:type="paragraph" w:styleId="NormalWeb">
    <w:name w:val="Normal (Web)"/>
    <w:basedOn w:val="Normal"/>
    <w:rsid w:val="0091387E"/>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9138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7E"/>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905238"/>
    <w:rPr>
      <w:sz w:val="18"/>
      <w:szCs w:val="18"/>
    </w:rPr>
  </w:style>
  <w:style w:type="paragraph" w:styleId="CommentText">
    <w:name w:val="annotation text"/>
    <w:basedOn w:val="Normal"/>
    <w:link w:val="CommentTextChar"/>
    <w:uiPriority w:val="99"/>
    <w:semiHidden/>
    <w:unhideWhenUsed/>
    <w:rsid w:val="00905238"/>
  </w:style>
  <w:style w:type="character" w:customStyle="1" w:styleId="CommentTextChar">
    <w:name w:val="Comment Text Char"/>
    <w:basedOn w:val="DefaultParagraphFont"/>
    <w:link w:val="CommentText"/>
    <w:uiPriority w:val="99"/>
    <w:semiHidden/>
    <w:rsid w:val="00905238"/>
    <w:rPr>
      <w:rFonts w:ascii="Georgia" w:hAnsi="Georgia"/>
      <w:sz w:val="20"/>
      <w:lang w:val="en-GB" w:eastAsia="en-US"/>
    </w:rPr>
  </w:style>
  <w:style w:type="paragraph" w:styleId="CommentSubject">
    <w:name w:val="annotation subject"/>
    <w:basedOn w:val="CommentText"/>
    <w:next w:val="CommentText"/>
    <w:link w:val="CommentSubjectChar"/>
    <w:uiPriority w:val="99"/>
    <w:semiHidden/>
    <w:unhideWhenUsed/>
    <w:rsid w:val="00905238"/>
    <w:rPr>
      <w:b/>
      <w:bCs/>
    </w:rPr>
  </w:style>
  <w:style w:type="character" w:customStyle="1" w:styleId="CommentSubjectChar">
    <w:name w:val="Comment Subject Char"/>
    <w:basedOn w:val="CommentTextChar"/>
    <w:link w:val="CommentSubject"/>
    <w:uiPriority w:val="99"/>
    <w:semiHidden/>
    <w:rsid w:val="00905238"/>
    <w:rPr>
      <w:rFonts w:ascii="Georgia" w:hAnsi="Georgia"/>
      <w:b/>
      <w:bCs/>
      <w:sz w:val="20"/>
      <w:lang w:val="en-GB" w:eastAsia="en-US"/>
    </w:rPr>
  </w:style>
</w:styles>
</file>

<file path=word/webSettings.xml><?xml version="1.0" encoding="utf-8"?>
<w:webSettings xmlns:r="http://schemas.openxmlformats.org/officeDocument/2006/relationships" xmlns:w="http://schemas.openxmlformats.org/wordprocessingml/2006/main">
  <w:divs>
    <w:div w:id="1205602146">
      <w:bodyDiv w:val="1"/>
      <w:marLeft w:val="0"/>
      <w:marRight w:val="0"/>
      <w:marTop w:val="0"/>
      <w:marBottom w:val="0"/>
      <w:divBdr>
        <w:top w:val="none" w:sz="0" w:space="0" w:color="auto"/>
        <w:left w:val="none" w:sz="0" w:space="0" w:color="auto"/>
        <w:bottom w:val="none" w:sz="0" w:space="0" w:color="auto"/>
        <w:right w:val="none" w:sz="0" w:space="0" w:color="auto"/>
      </w:divBdr>
      <w:divsChild>
        <w:div w:id="869798264">
          <w:marLeft w:val="0"/>
          <w:marRight w:val="0"/>
          <w:marTop w:val="0"/>
          <w:marBottom w:val="0"/>
          <w:divBdr>
            <w:top w:val="none" w:sz="0" w:space="0" w:color="auto"/>
            <w:left w:val="none" w:sz="0" w:space="0" w:color="auto"/>
            <w:bottom w:val="none" w:sz="0" w:space="0" w:color="auto"/>
            <w:right w:val="none" w:sz="0" w:space="0" w:color="auto"/>
          </w:divBdr>
          <w:divsChild>
            <w:div w:id="485559505">
              <w:marLeft w:val="0"/>
              <w:marRight w:val="0"/>
              <w:marTop w:val="0"/>
              <w:marBottom w:val="0"/>
              <w:divBdr>
                <w:top w:val="none" w:sz="0" w:space="0" w:color="auto"/>
                <w:left w:val="none" w:sz="0" w:space="0" w:color="auto"/>
                <w:bottom w:val="none" w:sz="0" w:space="0" w:color="auto"/>
                <w:right w:val="none" w:sz="0" w:space="0" w:color="auto"/>
              </w:divBdr>
              <w:divsChild>
                <w:div w:id="291178757">
                  <w:marLeft w:val="0"/>
                  <w:marRight w:val="0"/>
                  <w:marTop w:val="0"/>
                  <w:marBottom w:val="0"/>
                  <w:divBdr>
                    <w:top w:val="none" w:sz="0" w:space="0" w:color="auto"/>
                    <w:left w:val="none" w:sz="0" w:space="0" w:color="auto"/>
                    <w:bottom w:val="none" w:sz="0" w:space="0" w:color="auto"/>
                    <w:right w:val="none" w:sz="0" w:space="0" w:color="auto"/>
                  </w:divBdr>
                  <w:divsChild>
                    <w:div w:id="576205377">
                      <w:marLeft w:val="0"/>
                      <w:marRight w:val="0"/>
                      <w:marTop w:val="0"/>
                      <w:marBottom w:val="0"/>
                      <w:divBdr>
                        <w:top w:val="none" w:sz="0" w:space="0" w:color="auto"/>
                        <w:left w:val="none" w:sz="0" w:space="0" w:color="auto"/>
                        <w:bottom w:val="none" w:sz="0" w:space="0" w:color="auto"/>
                        <w:right w:val="none" w:sz="0" w:space="0" w:color="auto"/>
                      </w:divBdr>
                      <w:divsChild>
                        <w:div w:id="11280899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gie.o.bolton@us.pwc.com" TargetMode="External"/><Relationship Id="rId13" Type="http://schemas.openxmlformats.org/officeDocument/2006/relationships/hyperlink" Target="http://www.linkedin.com/company/pw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youtube.com/Pw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wc.com/structu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wC_LLP"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plus.google.com/u/0/100980668534684158363/posts" TargetMode="External"/><Relationship Id="rId23" Type="http://schemas.openxmlformats.org/officeDocument/2006/relationships/theme" Target="theme/theme1.xml"/><Relationship Id="rId10" Type="http://schemas.openxmlformats.org/officeDocument/2006/relationships/hyperlink" Target="http://www.pwc.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wc.com/us/en/hr-management/publications/global-mobility-policies-survey-summary.jhtml%20for%20additional%20survey%20information." TargetMode="External"/><Relationship Id="rId14" Type="http://schemas.openxmlformats.org/officeDocument/2006/relationships/hyperlink" Target="https://www.facebook.com/pwcfanpag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33EE9-D3C6-440E-8BA8-01F777C5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25</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svanpelt001</cp:lastModifiedBy>
  <cp:revision>5</cp:revision>
  <cp:lastPrinted>2012-11-28T16:11:00Z</cp:lastPrinted>
  <dcterms:created xsi:type="dcterms:W3CDTF">2012-11-28T20:10:00Z</dcterms:created>
  <dcterms:modified xsi:type="dcterms:W3CDTF">2012-11-28T20:34:00Z</dcterms:modified>
</cp:coreProperties>
</file>