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55" w:rsidRDefault="00416E55">
      <w:pPr>
        <w:tabs>
          <w:tab w:val="center" w:pos="4536"/>
        </w:tabs>
        <w:rPr>
          <w:i/>
        </w:rPr>
      </w:pPr>
      <w:r>
        <w:rPr>
          <w:i/>
          <w:noProof/>
          <w:lang w:eastAsia="en-GB"/>
        </w:rPr>
        <w:pict>
          <v:shape id="_x0000_s1026" style="position:absolute;margin-left:87.85pt;margin-top:771.05pt;width:465pt;height:11.35pt;z-index:251657216;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r w:rsidR="00044CA2">
        <w:rPr>
          <w:i/>
        </w:rPr>
        <w:tab/>
      </w:r>
    </w:p>
    <w:p w:rsidR="00416E55" w:rsidRDefault="00044CA2">
      <w:pPr>
        <w:pStyle w:val="Title"/>
        <w:rPr>
          <w:rFonts w:ascii="Georgia" w:hAnsi="Georgia"/>
          <w:sz w:val="22"/>
          <w:szCs w:val="22"/>
        </w:rPr>
      </w:pPr>
      <w:r>
        <w:rPr>
          <w:rFonts w:ascii="Georgia" w:hAnsi="Georgia"/>
          <w:sz w:val="22"/>
          <w:szCs w:val="22"/>
        </w:rPr>
        <w:t>Press Release</w:t>
      </w:r>
    </w:p>
    <w:tbl>
      <w:tblPr>
        <w:tblpPr w:leftFromText="180" w:rightFromText="180" w:vertAnchor="text" w:tblpXSpec="center" w:tblpY="1"/>
        <w:tblOverlap w:val="never"/>
        <w:tblW w:w="0" w:type="auto"/>
        <w:tblLayout w:type="fixed"/>
        <w:tblLook w:val="0000"/>
      </w:tblPr>
      <w:tblGrid>
        <w:gridCol w:w="2268"/>
        <w:gridCol w:w="5211"/>
      </w:tblGrid>
      <w:tr w:rsidR="00416E55">
        <w:tc>
          <w:tcPr>
            <w:tcW w:w="2268" w:type="dxa"/>
            <w:shd w:val="clear" w:color="auto" w:fill="auto"/>
          </w:tcPr>
          <w:p w:rsidR="00416E55" w:rsidRDefault="00044CA2">
            <w:pPr>
              <w:rPr>
                <w:i/>
                <w:sz w:val="22"/>
              </w:rPr>
            </w:pPr>
            <w:r>
              <w:rPr>
                <w:i/>
                <w:sz w:val="22"/>
              </w:rPr>
              <w:t>Date</w:t>
            </w:r>
          </w:p>
        </w:tc>
        <w:tc>
          <w:tcPr>
            <w:tcW w:w="5211" w:type="dxa"/>
            <w:shd w:val="clear" w:color="auto" w:fill="auto"/>
          </w:tcPr>
          <w:p w:rsidR="00416E55" w:rsidRDefault="00044CA2">
            <w:pPr>
              <w:rPr>
                <w:b/>
                <w:color w:val="000000" w:themeColor="text1"/>
                <w:sz w:val="22"/>
              </w:rPr>
            </w:pPr>
            <w:r>
              <w:rPr>
                <w:b/>
                <w:color w:val="000000" w:themeColor="text1"/>
                <w:sz w:val="22"/>
              </w:rPr>
              <w:t xml:space="preserve">Embargoed until 00:01, Tuesday 18 September 2012 </w:t>
            </w:r>
          </w:p>
          <w:p w:rsidR="00416E55" w:rsidRDefault="00416E55">
            <w:pPr>
              <w:rPr>
                <w:b/>
                <w:sz w:val="22"/>
              </w:rPr>
            </w:pPr>
          </w:p>
        </w:tc>
      </w:tr>
      <w:tr w:rsidR="00416E55">
        <w:tc>
          <w:tcPr>
            <w:tcW w:w="2268" w:type="dxa"/>
            <w:shd w:val="clear" w:color="auto" w:fill="auto"/>
          </w:tcPr>
          <w:p w:rsidR="00416E55" w:rsidRDefault="00044CA2">
            <w:pPr>
              <w:rPr>
                <w:i/>
                <w:sz w:val="22"/>
              </w:rPr>
            </w:pPr>
            <w:r>
              <w:rPr>
                <w:i/>
                <w:sz w:val="22"/>
              </w:rPr>
              <w:t>Contact</w:t>
            </w:r>
          </w:p>
        </w:tc>
        <w:tc>
          <w:tcPr>
            <w:tcW w:w="5211" w:type="dxa"/>
            <w:shd w:val="clear" w:color="auto" w:fill="auto"/>
          </w:tcPr>
          <w:p w:rsidR="00416E55" w:rsidRDefault="00044CA2">
            <w:pPr>
              <w:tabs>
                <w:tab w:val="left" w:pos="1440"/>
              </w:tabs>
              <w:ind w:left="1440" w:hanging="1440"/>
              <w:rPr>
                <w:rFonts w:cs="Arial"/>
                <w:sz w:val="22"/>
                <w:lang w:val="it-IT"/>
              </w:rPr>
            </w:pPr>
            <w:r>
              <w:rPr>
                <w:rFonts w:cs="Arial"/>
                <w:bCs/>
                <w:sz w:val="22"/>
                <w:lang w:val="it-IT"/>
              </w:rPr>
              <w:t>Elizabeth Faulkner, media relations, PwC</w:t>
            </w:r>
          </w:p>
          <w:p w:rsidR="00416E55" w:rsidRDefault="00044CA2">
            <w:pPr>
              <w:tabs>
                <w:tab w:val="left" w:pos="1440"/>
              </w:tabs>
              <w:ind w:left="1440" w:hanging="1440"/>
              <w:rPr>
                <w:rFonts w:cs="Arial"/>
                <w:sz w:val="22"/>
                <w:lang w:val="it-IT"/>
              </w:rPr>
            </w:pPr>
            <w:r>
              <w:rPr>
                <w:rFonts w:cs="Arial"/>
                <w:sz w:val="22"/>
                <w:lang w:val="it-IT"/>
              </w:rPr>
              <w:t>Tel: 0207 213 1018, 07877 758 609</w:t>
            </w:r>
          </w:p>
          <w:p w:rsidR="00416E55" w:rsidRDefault="00044CA2">
            <w:pPr>
              <w:tabs>
                <w:tab w:val="left" w:pos="1440"/>
              </w:tabs>
              <w:ind w:left="1440" w:hanging="1440"/>
              <w:rPr>
                <w:sz w:val="22"/>
                <w:lang w:val="it-IT"/>
              </w:rPr>
            </w:pPr>
            <w:r>
              <w:rPr>
                <w:rFonts w:cs="Arial"/>
                <w:sz w:val="22"/>
                <w:lang w:val="it-IT"/>
              </w:rPr>
              <w:t xml:space="preserve">e-mail: </w:t>
            </w:r>
            <w:r>
              <w:rPr>
                <w:rFonts w:cs="Arial"/>
                <w:sz w:val="22"/>
                <w:lang w:val="it-IT"/>
              </w:rPr>
              <w:t>elizabeth.a.faulkner@uk.pwc.com</w:t>
            </w:r>
          </w:p>
        </w:tc>
      </w:tr>
      <w:tr w:rsidR="00416E55">
        <w:tc>
          <w:tcPr>
            <w:tcW w:w="2268" w:type="dxa"/>
            <w:shd w:val="clear" w:color="auto" w:fill="auto"/>
          </w:tcPr>
          <w:p w:rsidR="00416E55" w:rsidRDefault="00044CA2">
            <w:pPr>
              <w:rPr>
                <w:i/>
                <w:sz w:val="22"/>
              </w:rPr>
            </w:pPr>
            <w:r>
              <w:rPr>
                <w:i/>
                <w:sz w:val="22"/>
              </w:rPr>
              <w:t xml:space="preserve">Pages </w:t>
            </w:r>
          </w:p>
        </w:tc>
        <w:tc>
          <w:tcPr>
            <w:tcW w:w="5211" w:type="dxa"/>
            <w:shd w:val="clear" w:color="auto" w:fill="auto"/>
          </w:tcPr>
          <w:p w:rsidR="00416E55" w:rsidRDefault="00044CA2">
            <w:pPr>
              <w:rPr>
                <w:sz w:val="22"/>
              </w:rPr>
            </w:pPr>
            <w:r>
              <w:rPr>
                <w:sz w:val="22"/>
              </w:rPr>
              <w:t>2</w:t>
            </w:r>
          </w:p>
        </w:tc>
      </w:tr>
    </w:tbl>
    <w:p w:rsidR="00416E55" w:rsidRDefault="00416E55">
      <w:pPr>
        <w:rPr>
          <w:sz w:val="18"/>
          <w:szCs w:val="18"/>
        </w:rPr>
      </w:pPr>
      <w:r w:rsidRPr="00416E55">
        <w:rPr>
          <w:noProof/>
          <w:sz w:val="22"/>
          <w:lang w:eastAsia="zh-CN"/>
        </w:rPr>
        <w:pict>
          <v:line id="_x0000_s1027" style="position:absolute;z-index:251658240;mso-position-horizontal-relative:page;mso-position-vertical-relative:page" from="64.45pt,292.1pt" to="519.5pt,292.1pt" strokecolor="#e36c0a">
            <w10:wrap anchorx="page" anchory="page"/>
          </v:line>
        </w:pict>
      </w:r>
      <w:r w:rsidR="00044CA2">
        <w:rPr>
          <w:rFonts w:cs="Arial"/>
          <w:b/>
          <w:i/>
          <w:iCs/>
          <w:sz w:val="22"/>
        </w:rPr>
        <w:br w:type="textWrapping" w:clear="all"/>
      </w:r>
    </w:p>
    <w:p w:rsidR="00416E55" w:rsidRPr="009106F5" w:rsidRDefault="00416E55">
      <w:pPr>
        <w:pStyle w:val="Heading"/>
        <w:rPr>
          <w:rFonts w:ascii="Georgia" w:hAnsi="Georgia"/>
          <w:sz w:val="20"/>
        </w:rPr>
      </w:pPr>
    </w:p>
    <w:p w:rsidR="00416E55" w:rsidRDefault="00044CA2" w:rsidP="007771AA">
      <w:pPr>
        <w:autoSpaceDE w:val="0"/>
        <w:autoSpaceDN w:val="0"/>
        <w:adjustRightInd w:val="0"/>
        <w:spacing w:line="240" w:lineRule="auto"/>
        <w:jc w:val="center"/>
        <w:rPr>
          <w:rFonts w:cs="Georgia"/>
          <w:b/>
          <w:bCs/>
          <w:color w:val="000000"/>
          <w:sz w:val="28"/>
          <w:szCs w:val="28"/>
          <w:lang w:eastAsia="en-GB"/>
        </w:rPr>
      </w:pPr>
      <w:r>
        <w:rPr>
          <w:rFonts w:cs="Georgia"/>
          <w:b/>
          <w:bCs/>
          <w:color w:val="000000"/>
          <w:sz w:val="28"/>
          <w:szCs w:val="28"/>
          <w:lang w:eastAsia="en-GB"/>
        </w:rPr>
        <w:t>Working capital management in Europe has never been better, and UK remains top – PwC study</w:t>
      </w:r>
    </w:p>
    <w:p w:rsidR="00416E55" w:rsidRDefault="00416E55" w:rsidP="007771AA">
      <w:pPr>
        <w:autoSpaceDE w:val="0"/>
        <w:autoSpaceDN w:val="0"/>
        <w:adjustRightInd w:val="0"/>
        <w:spacing w:line="240" w:lineRule="auto"/>
        <w:jc w:val="center"/>
        <w:rPr>
          <w:rFonts w:cs="Georgia"/>
          <w:color w:val="000000" w:themeColor="text1"/>
          <w:sz w:val="22"/>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The largest European companies have never been better at managing their working capital and UK companies are the most efficient compared to their neighbours, a new PwC study shows.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i/>
          <w:iCs/>
          <w:color w:val="000000"/>
          <w:sz w:val="22"/>
          <w:lang w:eastAsia="en-GB"/>
        </w:rPr>
        <w:t>Working Capital: Never Been Better</w:t>
      </w:r>
      <w:r>
        <w:rPr>
          <w:rFonts w:cs="Georgia"/>
          <w:color w:val="000000"/>
          <w:sz w:val="22"/>
          <w:lang w:eastAsia="en-GB"/>
        </w:rPr>
        <w:t xml:space="preserve"> analyses the working capital performan</w:t>
      </w:r>
      <w:r>
        <w:rPr>
          <w:rFonts w:cs="Georgia"/>
          <w:color w:val="000000"/>
          <w:sz w:val="22"/>
          <w:lang w:eastAsia="en-GB"/>
        </w:rPr>
        <w:t>ce of Europe’s largest publicly listed companies and shows that the UK cash-to-cash conversion cycle was an impressive 55 days in 2011, down from 60 days in 2010.  Using Days Working Capital (DWC) as a measure of working capital efficiency, the study shows</w:t>
      </w:r>
      <w:r>
        <w:rPr>
          <w:rFonts w:cs="Georgia"/>
          <w:color w:val="000000"/>
          <w:sz w:val="22"/>
          <w:lang w:eastAsia="en-GB"/>
        </w:rPr>
        <w:t xml:space="preserve"> how many days it takes for companies across Europe to convert their working capital into revenue.  The faster companies can do this the better.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After the UK, other country groups that showed good working capital management were Central Europe (58 days</w:t>
      </w:r>
      <w:r>
        <w:rPr>
          <w:rFonts w:cs="Georgia"/>
          <w:color w:val="000000"/>
          <w:sz w:val="22"/>
          <w:lang w:eastAsia="en-GB"/>
        </w:rPr>
        <w:t>) and Russia/Ukraine (63 days).  The worst performing country was France (83 days), followed by the Nordic countries (78 days) and Germany, Switzerland, Austria and Italy, all at 77 days.  Overall European cash conversion cycles have decreased by 5 days to</w:t>
      </w:r>
      <w:r>
        <w:rPr>
          <w:rFonts w:cs="Georgia"/>
          <w:color w:val="000000"/>
          <w:sz w:val="22"/>
          <w:lang w:eastAsia="en-GB"/>
        </w:rPr>
        <w:t xml:space="preserve"> 70 days between 2010 and 2011, mainly due to improvements in receivables and inventories.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ascii="Times New Roman" w:hAnsi="Times New Roman"/>
          <w:color w:val="000000"/>
          <w:sz w:val="22"/>
          <w:lang w:eastAsia="en-GB"/>
        </w:rPr>
      </w:pPr>
      <w:r>
        <w:rPr>
          <w:rFonts w:cs="Georgia"/>
          <w:color w:val="000000"/>
          <w:sz w:val="22"/>
          <w:lang w:eastAsia="en-GB"/>
        </w:rPr>
        <w:t>Robert Smid, PwC working capital partner, said:</w:t>
      </w:r>
      <w:r>
        <w:rPr>
          <w:rFonts w:ascii="Times New Roman" w:hAnsi="Times New Roman"/>
          <w:color w:val="000000"/>
          <w:sz w:val="22"/>
          <w:lang w:eastAsia="en-GB"/>
        </w:rPr>
        <w:t xml:space="preserve"> </w:t>
      </w:r>
    </w:p>
    <w:p w:rsidR="00416E55" w:rsidRPr="007771AA" w:rsidRDefault="00416E5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ITCCharterCom-Regular"/>
          <w:color w:val="8F8F8F"/>
          <w:sz w:val="22"/>
          <w:lang w:eastAsia="en-GB"/>
        </w:rPr>
      </w:pPr>
    </w:p>
    <w:p w:rsidR="00416E55" w:rsidRDefault="00044CA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Georgia"/>
          <w:color w:val="000000"/>
          <w:sz w:val="22"/>
          <w:lang w:eastAsia="en-GB"/>
        </w:rPr>
      </w:pPr>
      <w:r>
        <w:rPr>
          <w:rFonts w:cs="Georgia"/>
          <w:color w:val="000000"/>
          <w:sz w:val="22"/>
          <w:lang w:eastAsia="en-GB"/>
        </w:rPr>
        <w:t xml:space="preserve">“Cash has become an expensive resource which is more and more difficult to obtain.  We should not forget that </w:t>
      </w:r>
      <w:r>
        <w:rPr>
          <w:rFonts w:cs="Georgia"/>
          <w:color w:val="000000"/>
          <w:sz w:val="22"/>
          <w:lang w:eastAsia="en-GB"/>
        </w:rPr>
        <w:t>working capital is the cheapest source of cash, and as most companies have trapped cash sitting on the balance sheet, it makes sense they squeeze as much cash as possible from working capital before seeking additional external financing.  This is a move th</w:t>
      </w:r>
      <w:r>
        <w:rPr>
          <w:rFonts w:cs="Georgia"/>
          <w:color w:val="000000"/>
          <w:sz w:val="22"/>
          <w:lang w:eastAsia="en-GB"/>
        </w:rPr>
        <w:t>at is likely to be looked upon favourably by lenders who are encouraging organisations to take a more proactive stance in managing their own cash flow.  Consequently, working capital management and cash flow forecasting are at the top of the agenda of CFOs</w:t>
      </w:r>
      <w:r>
        <w:rPr>
          <w:rFonts w:cs="Georgia"/>
          <w:color w:val="000000"/>
          <w:sz w:val="22"/>
          <w:lang w:eastAsia="en-GB"/>
        </w:rPr>
        <w:t xml:space="preserve"> and finance executives.</w:t>
      </w:r>
    </w:p>
    <w:p w:rsidR="00416E55" w:rsidRDefault="00416E5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Georgia"/>
          <w:color w:val="000000"/>
          <w:sz w:val="22"/>
          <w:lang w:eastAsia="en-GB"/>
        </w:rPr>
      </w:pPr>
    </w:p>
    <w:p w:rsidR="00416E55" w:rsidRDefault="00044CA2">
      <w:pPr>
        <w:autoSpaceDE w:val="0"/>
        <w:autoSpaceDN w:val="0"/>
        <w:adjustRightInd w:val="0"/>
        <w:spacing w:line="240" w:lineRule="auto"/>
        <w:ind w:left="720"/>
        <w:rPr>
          <w:rFonts w:cs="Georgia"/>
          <w:color w:val="000000"/>
          <w:sz w:val="22"/>
          <w:lang w:eastAsia="en-GB"/>
        </w:rPr>
      </w:pPr>
      <w:r>
        <w:rPr>
          <w:rFonts w:cs="Georgia"/>
          <w:color w:val="000000"/>
          <w:sz w:val="22"/>
          <w:lang w:eastAsia="en-GB"/>
        </w:rPr>
        <w:t>“The increased attention on working capital after the 2008 recession has had a positive impact on the performance of the largest listed companies in Europe.  Since then, CFOs have been quick to act and now see working capital as a</w:t>
      </w:r>
      <w:r>
        <w:rPr>
          <w:rFonts w:cs="Georgia"/>
          <w:color w:val="000000"/>
          <w:sz w:val="22"/>
          <w:lang w:eastAsia="en-GB"/>
        </w:rPr>
        <w:t xml:space="preserve"> strategic priority to generate cash and this trend has continued into 2011.</w:t>
      </w:r>
    </w:p>
    <w:p w:rsidR="00416E55" w:rsidRDefault="00416E5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Georgia"/>
          <w:color w:val="000000"/>
          <w:sz w:val="22"/>
          <w:lang w:eastAsia="en-GB"/>
        </w:rPr>
      </w:pPr>
    </w:p>
    <w:p w:rsidR="00416E55" w:rsidRDefault="00044CA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Georgia"/>
          <w:color w:val="000000"/>
          <w:sz w:val="22"/>
          <w:lang w:eastAsia="en-GB"/>
        </w:rPr>
      </w:pPr>
      <w:r>
        <w:rPr>
          <w:rFonts w:cs="Georgia"/>
          <w:color w:val="000000"/>
          <w:sz w:val="22"/>
          <w:lang w:eastAsia="en-GB"/>
        </w:rPr>
        <w:t xml:space="preserve">“However, our study also highlights a polarisation where the good performers were able to release cash and fund their own growth while the bad performers deteriorated and had to </w:t>
      </w:r>
      <w:r>
        <w:rPr>
          <w:rFonts w:cs="Georgia"/>
          <w:color w:val="000000"/>
          <w:sz w:val="22"/>
          <w:lang w:eastAsia="en-GB"/>
        </w:rPr>
        <w:t>find additional cash to fund their growth.  Although the performance of companies across Europe is improving, the gap between the top 25% and the bottom 25% is widening.  In other words the good performers are getting better and the bad are getting worse.”</w:t>
      </w:r>
      <w:r>
        <w:rPr>
          <w:rFonts w:cs="Georgia"/>
          <w:color w:val="000000"/>
          <w:sz w:val="22"/>
          <w:lang w:eastAsia="en-GB"/>
        </w:rPr>
        <w:t xml:space="preserve">  </w:t>
      </w:r>
    </w:p>
    <w:p w:rsidR="00416E55" w:rsidRDefault="00416E5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720"/>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Although overall European working capital levels are decreasing, the differences in performance are very significant.  The study shows that the difference between the good and bad performers is getting more pronounced and this indicates that there is h</w:t>
      </w:r>
      <w:r>
        <w:rPr>
          <w:rFonts w:cs="Georgia"/>
          <w:color w:val="000000"/>
          <w:sz w:val="22"/>
          <w:lang w:eastAsia="en-GB"/>
        </w:rPr>
        <w:t>uge improvement potential for those that are not in the upper quartile (top 25% performers).  Overall, the study shows that 2,307 of the largest listed European companies had over €900bn (£700bn) unnecessarily tied up in working capital in 2011, which coul</w:t>
      </w:r>
      <w:r>
        <w:rPr>
          <w:rFonts w:cs="Georgia"/>
          <w:color w:val="000000"/>
          <w:sz w:val="22"/>
          <w:lang w:eastAsia="en-GB"/>
        </w:rPr>
        <w:t>d have been released if all companies included in the study were to match the performance of the upper quartile.  By comparison, UK companies had over €59bn (£49bn) tied up in 2011, which could have been released if they had better managed their working ca</w:t>
      </w:r>
      <w:r>
        <w:rPr>
          <w:rFonts w:cs="Georgia"/>
          <w:color w:val="000000"/>
          <w:sz w:val="22"/>
          <w:lang w:eastAsia="en-GB"/>
        </w:rPr>
        <w:t>pital.</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b/>
          <w:bCs/>
          <w:color w:val="000000"/>
          <w:sz w:val="22"/>
          <w:lang w:eastAsia="en-GB"/>
        </w:rPr>
      </w:pPr>
      <w:r>
        <w:rPr>
          <w:rFonts w:cs="Georgia"/>
          <w:b/>
          <w:bCs/>
          <w:color w:val="000000"/>
          <w:sz w:val="22"/>
          <w:lang w:eastAsia="en-GB"/>
        </w:rPr>
        <w:t>Sector variations in the UK</w:t>
      </w:r>
    </w:p>
    <w:p w:rsidR="00416E55" w:rsidRDefault="00416E55">
      <w:pPr>
        <w:autoSpaceDE w:val="0"/>
        <w:autoSpaceDN w:val="0"/>
        <w:adjustRightInd w:val="0"/>
        <w:spacing w:line="240" w:lineRule="auto"/>
        <w:rPr>
          <w:rFonts w:cs="Georgia"/>
          <w:b/>
          <w:bCs/>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 xml:space="preserve">Comparing the cash-to-cash conversion cycle across sectors highlights the differences in underlying business models and reveals those that operate in a cash culture.  In the study, retail was the most efficient sector in the UK in 2011, with an average 19 </w:t>
      </w:r>
      <w:r>
        <w:rPr>
          <w:rFonts w:cs="Georgia"/>
          <w:color w:val="000000"/>
          <w:sz w:val="22"/>
          <w:lang w:eastAsia="en-GB"/>
        </w:rPr>
        <w:t>days cash-to-cash conversion cycle.  Services companies were second most efficient (23 days), followed by telecommunications (26 days).  At the other end of the scale, manufacturing companies were the least efficient (104 days), followed by oil &amp; gas (88 d</w:t>
      </w:r>
      <w:r>
        <w:rPr>
          <w:rFonts w:cs="Georgia"/>
          <w:color w:val="000000"/>
          <w:sz w:val="22"/>
          <w:lang w:eastAsia="en-GB"/>
        </w:rPr>
        <w:t xml:space="preserve">ays) and pharmaceuticals (85 days).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All sectors in the UK showed an improvement in working capital between 2010 and 2011, the study shows.  The most improved sector in the UK was telecommunications, which improved by 40.8% between 2010 and 2011, followe</w:t>
      </w:r>
      <w:r>
        <w:rPr>
          <w:rFonts w:cs="Georgia"/>
          <w:color w:val="000000"/>
          <w:sz w:val="22"/>
          <w:lang w:eastAsia="en-GB"/>
        </w:rPr>
        <w:t xml:space="preserve">d by oil &amp; gas which improved by 19.9%.  The improvement in the telecommunication sector (which in our study includes broadcasting and cable TV) is generally explained by an increased focus on cash and improved working capital controls.  Oil &amp; gas working </w:t>
      </w:r>
      <w:r>
        <w:rPr>
          <w:rFonts w:cs="Georgia"/>
          <w:color w:val="000000"/>
          <w:sz w:val="22"/>
          <w:lang w:eastAsia="en-GB"/>
        </w:rPr>
        <w:t xml:space="preserve">capital numbers should be viewed with caution, however, due to the fluctuating price of raw materials.  As such, it is difficult to draw strong conclusions on whether working capital improvement is due to price increases or due to improved performance.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UK retailers followed closely behind oil &amp; gas with progress of 19.8%.  Retailers as a general rule have little in the way of debtors as most retail transactions are settled at point of sale.  The improvements are largely attributable to improvements in ac</w:t>
      </w:r>
      <w:r>
        <w:rPr>
          <w:rFonts w:cs="Georgia"/>
          <w:color w:val="000000"/>
          <w:sz w:val="22"/>
          <w:lang w:eastAsia="en-GB"/>
        </w:rPr>
        <w:t xml:space="preserve">counts payable due to extended payment terms and delayed payment.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color w:val="000000"/>
          <w:sz w:val="22"/>
          <w:lang w:eastAsia="en-GB"/>
        </w:rPr>
      </w:pPr>
      <w:r>
        <w:rPr>
          <w:rFonts w:cs="Georgia"/>
          <w:color w:val="000000"/>
          <w:sz w:val="22"/>
          <w:lang w:eastAsia="en-GB"/>
        </w:rPr>
        <w:t>The least improved sectors were utilities, which showed a 1.34% improvement, pharmaceuticals (1.40%) and technology (1.45%).  This is, however, still an improvement and given the benign m</w:t>
      </w:r>
      <w:r>
        <w:rPr>
          <w:rFonts w:cs="Georgia"/>
          <w:color w:val="000000"/>
          <w:sz w:val="22"/>
          <w:lang w:eastAsia="en-GB"/>
        </w:rPr>
        <w:t xml:space="preserve">arket environment, this should not be seen as a bad result. </w:t>
      </w:r>
    </w:p>
    <w:p w:rsidR="00416E55" w:rsidRDefault="00416E55">
      <w:pPr>
        <w:autoSpaceDE w:val="0"/>
        <w:autoSpaceDN w:val="0"/>
        <w:adjustRightInd w:val="0"/>
        <w:spacing w:line="240" w:lineRule="auto"/>
        <w:rPr>
          <w:rFonts w:cs="Georgia"/>
          <w:color w:val="000000"/>
          <w:sz w:val="22"/>
          <w:lang w:eastAsia="en-GB"/>
        </w:rPr>
      </w:pPr>
    </w:p>
    <w:p w:rsidR="00416E55" w:rsidRDefault="00044CA2">
      <w:pPr>
        <w:autoSpaceDE w:val="0"/>
        <w:autoSpaceDN w:val="0"/>
        <w:adjustRightInd w:val="0"/>
        <w:spacing w:line="240" w:lineRule="auto"/>
        <w:rPr>
          <w:rFonts w:cs="Georgia"/>
          <w:b/>
          <w:bCs/>
          <w:color w:val="000000"/>
          <w:sz w:val="22"/>
          <w:lang w:eastAsia="en-GB"/>
        </w:rPr>
      </w:pPr>
      <w:r>
        <w:rPr>
          <w:rFonts w:cs="Georgia"/>
          <w:b/>
          <w:bCs/>
          <w:color w:val="000000"/>
          <w:sz w:val="22"/>
          <w:lang w:eastAsia="en-GB"/>
        </w:rPr>
        <w:t xml:space="preserve">Ends  </w:t>
      </w:r>
    </w:p>
    <w:p w:rsidR="00416E55" w:rsidRDefault="00416E55">
      <w:pPr>
        <w:tabs>
          <w:tab w:val="left" w:pos="2043"/>
        </w:tabs>
        <w:autoSpaceDE w:val="0"/>
        <w:autoSpaceDN w:val="0"/>
        <w:adjustRightInd w:val="0"/>
        <w:spacing w:line="240" w:lineRule="auto"/>
        <w:rPr>
          <w:b/>
          <w:color w:val="000000" w:themeColor="text1"/>
          <w:sz w:val="22"/>
          <w:lang w:val="en-US"/>
        </w:rPr>
      </w:pPr>
    </w:p>
    <w:p w:rsidR="00416E55" w:rsidRDefault="00044CA2">
      <w:pPr>
        <w:tabs>
          <w:tab w:val="left" w:pos="2043"/>
        </w:tabs>
        <w:autoSpaceDE w:val="0"/>
        <w:autoSpaceDN w:val="0"/>
        <w:adjustRightInd w:val="0"/>
        <w:spacing w:line="240" w:lineRule="auto"/>
        <w:rPr>
          <w:b/>
          <w:color w:val="000000" w:themeColor="text1"/>
          <w:sz w:val="22"/>
          <w:lang w:val="en-US"/>
        </w:rPr>
      </w:pPr>
      <w:r>
        <w:rPr>
          <w:b/>
          <w:color w:val="000000" w:themeColor="text1"/>
          <w:sz w:val="22"/>
          <w:lang w:val="en-US"/>
        </w:rPr>
        <w:t>Notes</w:t>
      </w:r>
    </w:p>
    <w:p w:rsidR="00416E55" w:rsidRDefault="00416E55">
      <w:pPr>
        <w:tabs>
          <w:tab w:val="left" w:pos="2043"/>
        </w:tabs>
        <w:autoSpaceDE w:val="0"/>
        <w:autoSpaceDN w:val="0"/>
        <w:adjustRightInd w:val="0"/>
        <w:spacing w:line="240" w:lineRule="auto"/>
        <w:rPr>
          <w:color w:val="000000" w:themeColor="text1"/>
          <w:sz w:val="22"/>
          <w:lang w:val="en-US"/>
        </w:rPr>
      </w:pP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hAnsi="Georgia" w:cs="Helv"/>
          <w:color w:val="000000" w:themeColor="text1"/>
          <w:sz w:val="22"/>
          <w:szCs w:val="22"/>
        </w:rPr>
      </w:pPr>
      <w:r>
        <w:rPr>
          <w:rFonts w:ascii="Georgia" w:hAnsi="Georgia" w:cs="Helv"/>
          <w:color w:val="000000" w:themeColor="text1"/>
          <w:sz w:val="22"/>
          <w:szCs w:val="22"/>
          <w:lang w:eastAsia="en-GB"/>
        </w:rPr>
        <w:t xml:space="preserve">PwC’s working capital team analysed the largest 2,307 publicly listed European companies (with a turnover of over £100m).  It </w:t>
      </w:r>
      <w:r>
        <w:rPr>
          <w:rFonts w:ascii="Georgia" w:hAnsi="Georgia" w:cs="Helv"/>
          <w:color w:val="000000" w:themeColor="text1"/>
          <w:sz w:val="22"/>
          <w:szCs w:val="22"/>
        </w:rPr>
        <w:t xml:space="preserve">looked at their respective working capital </w:t>
      </w:r>
      <w:r>
        <w:rPr>
          <w:rFonts w:ascii="Georgia" w:hAnsi="Georgia" w:cs="Helv"/>
          <w:color w:val="000000" w:themeColor="text1"/>
          <w:sz w:val="22"/>
          <w:szCs w:val="22"/>
        </w:rPr>
        <w:t>performance, in receivables, payables and inventories over a five year period, from 2007 to 2011 (including companies with a March 2012 year end).</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hAnsi="Georgia" w:cs="Helv"/>
          <w:color w:val="000000" w:themeColor="text1"/>
          <w:sz w:val="22"/>
          <w:szCs w:val="22"/>
        </w:rPr>
      </w:pPr>
      <w:r>
        <w:rPr>
          <w:rFonts w:ascii="Georgia" w:hAnsi="Georgia" w:cs="Helv"/>
          <w:color w:val="000000" w:themeColor="text1"/>
          <w:sz w:val="22"/>
          <w:szCs w:val="22"/>
        </w:rPr>
        <w:t>365 companies in the UK were sampled.</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hAnsi="Georgia" w:cs="Helv"/>
          <w:bCs/>
          <w:color w:val="000000" w:themeColor="text1"/>
          <w:sz w:val="22"/>
          <w:szCs w:val="22"/>
        </w:rPr>
      </w:pPr>
      <w:r>
        <w:rPr>
          <w:rFonts w:ascii="Georgia" w:hAnsi="Georgia" w:cs="Arial"/>
          <w:color w:val="000000" w:themeColor="text1"/>
          <w:sz w:val="22"/>
          <w:szCs w:val="22"/>
        </w:rPr>
        <w:t xml:space="preserve">Working capital was </w:t>
      </w:r>
      <w:r>
        <w:rPr>
          <w:rFonts w:ascii="Georgia" w:hAnsi="Georgia" w:cs="Helv"/>
          <w:bCs/>
          <w:color w:val="000000" w:themeColor="text1"/>
          <w:sz w:val="22"/>
          <w:szCs w:val="22"/>
        </w:rPr>
        <w:t xml:space="preserve">calculated as a percentage of sales (receivables + </w:t>
      </w:r>
      <w:r>
        <w:rPr>
          <w:rFonts w:ascii="Georgia" w:hAnsi="Georgia" w:cs="Helv"/>
          <w:bCs/>
          <w:color w:val="000000" w:themeColor="text1"/>
          <w:sz w:val="22"/>
          <w:szCs w:val="22"/>
        </w:rPr>
        <w:t xml:space="preserve">inventories – payables). </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hAnsi="Georgia" w:cs="Helv"/>
          <w:color w:val="000000" w:themeColor="text1"/>
          <w:sz w:val="22"/>
          <w:szCs w:val="22"/>
        </w:rPr>
      </w:pPr>
      <w:r>
        <w:rPr>
          <w:rFonts w:ascii="Georgia" w:hAnsi="Georgia" w:cs="Helv"/>
          <w:bCs/>
          <w:color w:val="000000" w:themeColor="text1"/>
          <w:sz w:val="22"/>
          <w:szCs w:val="22"/>
        </w:rPr>
        <w:t>Top performers are classified as the upper quartile (i.e. top 25%), and the bottom performers as the bottom 25% of the survey population.</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hAnsi="Georgia" w:cs="Helv"/>
          <w:color w:val="000000" w:themeColor="text1"/>
          <w:sz w:val="22"/>
          <w:szCs w:val="22"/>
        </w:rPr>
      </w:pPr>
      <w:r>
        <w:rPr>
          <w:rFonts w:ascii="Georgia" w:hAnsi="Georgia" w:cs="Helv"/>
          <w:bCs/>
          <w:color w:val="000000" w:themeColor="text1"/>
          <w:sz w:val="22"/>
          <w:szCs w:val="22"/>
        </w:rPr>
        <w:t>The 34 European countries are grouped as 10 clusters:</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bCs/>
          <w:color w:val="000000" w:themeColor="text1"/>
          <w:sz w:val="22"/>
          <w:szCs w:val="22"/>
        </w:rPr>
      </w:pPr>
      <w:r>
        <w:rPr>
          <w:rFonts w:ascii="Georgia" w:hAnsi="Georgia" w:cs="Helv"/>
          <w:bCs/>
          <w:color w:val="000000" w:themeColor="text1"/>
          <w:sz w:val="22"/>
          <w:szCs w:val="22"/>
        </w:rPr>
        <w:t>UK &amp; Ireland</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France</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 xml:space="preserve">Germany, </w:t>
      </w:r>
      <w:r>
        <w:rPr>
          <w:rFonts w:ascii="Georgia" w:hAnsi="Georgia" w:cs="Helv"/>
          <w:color w:val="000000" w:themeColor="text1"/>
          <w:sz w:val="22"/>
          <w:szCs w:val="22"/>
        </w:rPr>
        <w:t>Switzerland, Austria</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Italy</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BeNeLux: Belgium, Netherlands, Luxemburg</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Nordics: Denmark, Finland, Norway, Sweden</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hAnsi="Georgia" w:cs="Helv"/>
          <w:color w:val="000000" w:themeColor="text1"/>
          <w:sz w:val="22"/>
          <w:szCs w:val="22"/>
        </w:rPr>
        <w:t>Spain &amp; Portugal</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eastAsia="Calibri" w:hAnsi="Georgia" w:cs="Helv"/>
          <w:color w:val="000000" w:themeColor="text1"/>
          <w:sz w:val="22"/>
          <w:szCs w:val="22"/>
          <w:lang w:eastAsia="en-US"/>
        </w:rPr>
      </w:pPr>
      <w:r>
        <w:rPr>
          <w:rFonts w:ascii="Georgia" w:hAnsi="Georgia" w:cs="Helv"/>
          <w:color w:val="000000" w:themeColor="text1"/>
          <w:sz w:val="22"/>
          <w:szCs w:val="22"/>
        </w:rPr>
        <w:t xml:space="preserve">Other </w:t>
      </w:r>
      <w:r>
        <w:rPr>
          <w:rFonts w:ascii="Georgia" w:eastAsia="Calibri" w:hAnsi="Georgia" w:cs="Helv"/>
          <w:bCs/>
          <w:color w:val="000000" w:themeColor="text1"/>
          <w:sz w:val="22"/>
          <w:szCs w:val="22"/>
          <w:lang w:eastAsia="en-US"/>
        </w:rPr>
        <w:t>southern Europe</w:t>
      </w:r>
      <w:r>
        <w:rPr>
          <w:rFonts w:ascii="Georgia" w:eastAsia="Calibri" w:hAnsi="Georgia" w:cs="Helv"/>
          <w:color w:val="000000" w:themeColor="text1"/>
          <w:sz w:val="22"/>
          <w:szCs w:val="22"/>
          <w:lang w:eastAsia="en-US"/>
        </w:rPr>
        <w:t>: Bosnia and Herzegovina, Bulgaria, Croatia, Cyprus, Greece, Macedonia, Montenegro, Slovenia, Turkey, Slovak</w:t>
      </w:r>
      <w:r>
        <w:rPr>
          <w:rFonts w:ascii="Georgia" w:eastAsia="Calibri" w:hAnsi="Georgia" w:cs="Helv"/>
          <w:color w:val="000000" w:themeColor="text1"/>
          <w:sz w:val="22"/>
          <w:szCs w:val="22"/>
          <w:lang w:eastAsia="en-US"/>
        </w:rPr>
        <w:t>ia</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hAnsi="Georgia" w:cs="Helv"/>
          <w:color w:val="000000" w:themeColor="text1"/>
          <w:sz w:val="22"/>
          <w:szCs w:val="22"/>
        </w:rPr>
      </w:pPr>
      <w:r>
        <w:rPr>
          <w:rFonts w:ascii="Georgia" w:eastAsia="Calibri" w:hAnsi="Georgia" w:cs="Helv"/>
          <w:color w:val="000000" w:themeColor="text1"/>
          <w:sz w:val="22"/>
          <w:szCs w:val="22"/>
          <w:lang w:eastAsia="en-US"/>
        </w:rPr>
        <w:t xml:space="preserve">Central Europe: Czech Republic, </w:t>
      </w:r>
      <w:r>
        <w:rPr>
          <w:rFonts w:ascii="Georgia" w:eastAsia="+mn-ea" w:hAnsi="Georgia" w:cs="Helv"/>
          <w:color w:val="000000" w:themeColor="text1"/>
          <w:sz w:val="22"/>
          <w:szCs w:val="22"/>
        </w:rPr>
        <w:t xml:space="preserve">Estonia, Hungary, Latvia, Lithuania, Poland, </w:t>
      </w:r>
    </w:p>
    <w:p w:rsidR="00416E55" w:rsidRDefault="00044CA2" w:rsidP="009106F5">
      <w:pPr>
        <w:pStyle w:val="ListParagraph"/>
        <w:numPr>
          <w:ilvl w:val="0"/>
          <w:numId w:val="35"/>
        </w:numPr>
        <w:autoSpaceDE w:val="0"/>
        <w:autoSpaceDN w:val="0"/>
        <w:adjustRightInd w:val="0"/>
        <w:spacing w:after="0" w:line="240" w:lineRule="auto"/>
        <w:ind w:left="1080"/>
        <w:contextualSpacing w:val="0"/>
        <w:rPr>
          <w:rFonts w:ascii="Georgia" w:eastAsia="Calibri" w:hAnsi="Georgia" w:cs="Helv"/>
          <w:color w:val="000000" w:themeColor="text1"/>
          <w:sz w:val="22"/>
          <w:szCs w:val="22"/>
          <w:lang w:eastAsia="en-US"/>
        </w:rPr>
      </w:pPr>
      <w:r>
        <w:rPr>
          <w:rFonts w:ascii="Georgia" w:eastAsia="Calibri" w:hAnsi="Georgia" w:cs="Helv"/>
          <w:color w:val="000000" w:themeColor="text1"/>
          <w:sz w:val="22"/>
          <w:szCs w:val="22"/>
          <w:lang w:eastAsia="en-US"/>
        </w:rPr>
        <w:t>Russia &amp; Ukraine</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eastAsia="Calibri" w:hAnsi="Georgia" w:cs="Helv"/>
          <w:color w:val="000000" w:themeColor="text1"/>
          <w:sz w:val="22"/>
          <w:szCs w:val="22"/>
          <w:u w:val="single"/>
        </w:rPr>
      </w:pPr>
      <w:r>
        <w:rPr>
          <w:rFonts w:ascii="Georgia" w:eastAsia="Calibri" w:hAnsi="Georgia" w:cs="Helv"/>
          <w:color w:val="000000" w:themeColor="text1"/>
          <w:sz w:val="22"/>
          <w:szCs w:val="22"/>
        </w:rPr>
        <w:t xml:space="preserve">To download the report please visit </w:t>
      </w:r>
      <w:hyperlink r:id="rId8" w:history="1">
        <w:r>
          <w:rPr>
            <w:rStyle w:val="Hyperlink"/>
            <w:rFonts w:ascii="Georgia" w:eastAsia="Calibri" w:hAnsi="Georgia" w:cs="Helv"/>
            <w:sz w:val="22"/>
            <w:szCs w:val="22"/>
          </w:rPr>
          <w:t>www.pwc.co.uk/</w:t>
        </w:r>
        <w:r>
          <w:rPr>
            <w:rStyle w:val="Hyperlink"/>
            <w:rFonts w:ascii="Georgia" w:hAnsi="Georgia"/>
            <w:sz w:val="22"/>
            <w:szCs w:val="22"/>
          </w:rPr>
          <w:t>workingcapital</w:t>
        </w:r>
      </w:hyperlink>
      <w:r>
        <w:rPr>
          <w:rFonts w:ascii="Georgia" w:hAnsi="Georgia"/>
          <w:sz w:val="22"/>
          <w:szCs w:val="22"/>
        </w:rPr>
        <w:t xml:space="preserve"> </w:t>
      </w:r>
    </w:p>
    <w:p w:rsidR="00416E55" w:rsidRDefault="00044CA2" w:rsidP="009106F5">
      <w:pPr>
        <w:pStyle w:val="ListParagraph"/>
        <w:numPr>
          <w:ilvl w:val="0"/>
          <w:numId w:val="28"/>
        </w:numPr>
        <w:autoSpaceDE w:val="0"/>
        <w:autoSpaceDN w:val="0"/>
        <w:adjustRightInd w:val="0"/>
        <w:spacing w:after="120" w:line="240" w:lineRule="auto"/>
        <w:contextualSpacing w:val="0"/>
        <w:rPr>
          <w:rFonts w:ascii="Georgia" w:eastAsia="Calibri" w:hAnsi="Georgia" w:cs="Helv"/>
          <w:color w:val="000000" w:themeColor="text1"/>
          <w:sz w:val="22"/>
          <w:szCs w:val="22"/>
          <w:u w:val="single"/>
        </w:rPr>
      </w:pPr>
      <w:r>
        <w:rPr>
          <w:rFonts w:ascii="Georgia" w:hAnsi="Georgia" w:cs="ITCCharterCom-Regular"/>
          <w:color w:val="000000" w:themeColor="text1"/>
          <w:sz w:val="24"/>
          <w:szCs w:val="24"/>
          <w:lang w:eastAsia="en-GB"/>
        </w:rPr>
        <w:t xml:space="preserve">The financial services, real estate and </w:t>
      </w:r>
      <w:r>
        <w:rPr>
          <w:rFonts w:ascii="Georgia" w:hAnsi="Georgia" w:cs="ITCCharterCom-Regular"/>
          <w:color w:val="000000" w:themeColor="text1"/>
          <w:sz w:val="24"/>
          <w:szCs w:val="24"/>
          <w:lang w:eastAsia="en-GB"/>
        </w:rPr>
        <w:t>insurance sectors are excluded.</w:t>
      </w:r>
    </w:p>
    <w:p w:rsidR="00416E55" w:rsidRDefault="00044CA2">
      <w:pPr>
        <w:autoSpaceDE w:val="0"/>
        <w:autoSpaceDN w:val="0"/>
        <w:adjustRightInd w:val="0"/>
        <w:spacing w:line="240" w:lineRule="auto"/>
        <w:rPr>
          <w:rFonts w:cs="Helv"/>
          <w:b/>
          <w:color w:val="000000" w:themeColor="text1"/>
          <w:sz w:val="22"/>
        </w:rPr>
      </w:pPr>
      <w:r>
        <w:rPr>
          <w:rFonts w:cs="Helv"/>
          <w:b/>
          <w:color w:val="000000" w:themeColor="text1"/>
          <w:sz w:val="22"/>
        </w:rPr>
        <w:t>Working capital efficiency by Days Working Capital (DWC) across sectors in the UK</w:t>
      </w:r>
    </w:p>
    <w:p w:rsidR="00416E55" w:rsidRDefault="00416E55">
      <w:pPr>
        <w:autoSpaceDE w:val="0"/>
        <w:autoSpaceDN w:val="0"/>
        <w:adjustRightInd w:val="0"/>
        <w:spacing w:line="240" w:lineRule="auto"/>
        <w:rPr>
          <w:rFonts w:cs="Helv"/>
          <w:color w:val="000000" w:themeColor="text1"/>
          <w:sz w:val="22"/>
        </w:rPr>
      </w:pPr>
    </w:p>
    <w:tbl>
      <w:tblPr>
        <w:tblW w:w="9484" w:type="dxa"/>
        <w:tblInd w:w="93" w:type="dxa"/>
        <w:tblLook w:val="04A0"/>
      </w:tblPr>
      <w:tblGrid>
        <w:gridCol w:w="2142"/>
        <w:gridCol w:w="1701"/>
        <w:gridCol w:w="1572"/>
        <w:gridCol w:w="2301"/>
        <w:gridCol w:w="1768"/>
      </w:tblGrid>
      <w:tr w:rsidR="00416E55" w:rsidTr="007771AA">
        <w:trPr>
          <w:trHeight w:val="870"/>
        </w:trPr>
        <w:tc>
          <w:tcPr>
            <w:tcW w:w="2142" w:type="dxa"/>
            <w:tcBorders>
              <w:top w:val="single" w:sz="8" w:space="0" w:color="auto"/>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b/>
                <w:color w:val="000000"/>
                <w:szCs w:val="20"/>
                <w:lang w:eastAsia="en-GB"/>
              </w:rPr>
            </w:pPr>
            <w:r w:rsidRPr="007771AA">
              <w:rPr>
                <w:rFonts w:eastAsia="Times New Roman" w:cs="Arial"/>
                <w:b/>
                <w:color w:val="000000"/>
                <w:szCs w:val="20"/>
                <w:lang w:eastAsia="en-GB"/>
              </w:rPr>
              <w:t>UK sector</w:t>
            </w:r>
          </w:p>
        </w:tc>
        <w:tc>
          <w:tcPr>
            <w:tcW w:w="1701" w:type="dxa"/>
            <w:tcBorders>
              <w:top w:val="single" w:sz="8" w:space="0" w:color="auto"/>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b/>
                <w:bCs/>
                <w:color w:val="000000"/>
                <w:szCs w:val="20"/>
                <w:lang w:eastAsia="en-GB"/>
              </w:rPr>
            </w:pPr>
            <w:r w:rsidRPr="007771AA">
              <w:rPr>
                <w:rFonts w:eastAsia="Times New Roman" w:cs="Arial"/>
                <w:b/>
                <w:bCs/>
                <w:color w:val="000000"/>
                <w:szCs w:val="20"/>
                <w:lang w:eastAsia="en-GB"/>
              </w:rPr>
              <w:t xml:space="preserve">Average </w:t>
            </w:r>
            <w:r w:rsidR="007771AA" w:rsidRPr="007771AA">
              <w:rPr>
                <w:rFonts w:eastAsia="Times New Roman" w:cs="Arial"/>
                <w:b/>
                <w:bCs/>
                <w:color w:val="000000"/>
                <w:szCs w:val="20"/>
                <w:lang w:eastAsia="en-GB"/>
              </w:rPr>
              <w:br/>
            </w:r>
            <w:r w:rsidRPr="007771AA">
              <w:rPr>
                <w:rFonts w:eastAsia="Times New Roman" w:cs="Arial"/>
                <w:b/>
                <w:bCs/>
                <w:color w:val="000000"/>
                <w:szCs w:val="20"/>
                <w:lang w:eastAsia="en-GB"/>
              </w:rPr>
              <w:t>DWC in 2010</w:t>
            </w:r>
          </w:p>
        </w:tc>
        <w:tc>
          <w:tcPr>
            <w:tcW w:w="1572" w:type="dxa"/>
            <w:tcBorders>
              <w:top w:val="single" w:sz="8" w:space="0" w:color="auto"/>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b/>
                <w:bCs/>
                <w:color w:val="000000"/>
                <w:szCs w:val="20"/>
                <w:lang w:eastAsia="en-GB"/>
              </w:rPr>
            </w:pPr>
            <w:r w:rsidRPr="007771AA">
              <w:rPr>
                <w:rFonts w:eastAsia="Times New Roman" w:cs="Arial"/>
                <w:b/>
                <w:bCs/>
                <w:color w:val="000000"/>
                <w:szCs w:val="20"/>
                <w:lang w:eastAsia="en-GB"/>
              </w:rPr>
              <w:t xml:space="preserve">Average </w:t>
            </w:r>
            <w:r w:rsidR="007771AA" w:rsidRPr="007771AA">
              <w:rPr>
                <w:rFonts w:eastAsia="Times New Roman" w:cs="Arial"/>
                <w:b/>
                <w:bCs/>
                <w:color w:val="000000"/>
                <w:szCs w:val="20"/>
                <w:lang w:eastAsia="en-GB"/>
              </w:rPr>
              <w:br/>
            </w:r>
            <w:r w:rsidRPr="007771AA">
              <w:rPr>
                <w:rFonts w:eastAsia="Times New Roman" w:cs="Arial"/>
                <w:b/>
                <w:bCs/>
                <w:color w:val="000000"/>
                <w:szCs w:val="20"/>
                <w:lang w:eastAsia="en-GB"/>
              </w:rPr>
              <w:t>DWC in 2011</w:t>
            </w:r>
          </w:p>
        </w:tc>
        <w:tc>
          <w:tcPr>
            <w:tcW w:w="2301" w:type="dxa"/>
            <w:tcBorders>
              <w:top w:val="single" w:sz="8" w:space="0" w:color="auto"/>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b/>
                <w:bCs/>
                <w:color w:val="000000"/>
                <w:szCs w:val="20"/>
                <w:lang w:eastAsia="en-GB"/>
              </w:rPr>
            </w:pPr>
            <w:r w:rsidRPr="007771AA">
              <w:rPr>
                <w:rFonts w:eastAsia="Times New Roman" w:cs="Arial"/>
                <w:b/>
                <w:bCs/>
                <w:color w:val="000000"/>
                <w:szCs w:val="20"/>
                <w:lang w:eastAsia="en-GB"/>
              </w:rPr>
              <w:t>Average c</w:t>
            </w:r>
            <w:r w:rsidR="007771AA" w:rsidRPr="007771AA">
              <w:rPr>
                <w:rFonts w:eastAsia="Times New Roman" w:cs="Arial"/>
                <w:b/>
                <w:bCs/>
                <w:color w:val="000000"/>
                <w:szCs w:val="20"/>
                <w:lang w:eastAsia="en-GB"/>
              </w:rPr>
              <w:t>onversion time cut by sector /</w:t>
            </w:r>
            <w:r w:rsidR="007771AA" w:rsidRPr="007771AA">
              <w:rPr>
                <w:rFonts w:eastAsia="Times New Roman" w:cs="Arial"/>
                <w:b/>
                <w:bCs/>
                <w:color w:val="000000"/>
                <w:szCs w:val="20"/>
                <w:lang w:eastAsia="en-GB"/>
              </w:rPr>
              <w:br/>
            </w:r>
            <w:r w:rsidRPr="007771AA">
              <w:rPr>
                <w:rFonts w:eastAsia="Times New Roman" w:cs="Arial"/>
                <w:b/>
                <w:bCs/>
                <w:color w:val="000000"/>
                <w:szCs w:val="20"/>
                <w:lang w:eastAsia="en-GB"/>
              </w:rPr>
              <w:t>days cut 2010 - 2011</w:t>
            </w:r>
          </w:p>
        </w:tc>
        <w:tc>
          <w:tcPr>
            <w:tcW w:w="1768" w:type="dxa"/>
            <w:tcBorders>
              <w:top w:val="single" w:sz="8" w:space="0" w:color="auto"/>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b/>
                <w:bCs/>
                <w:color w:val="000000"/>
                <w:szCs w:val="20"/>
                <w:lang w:eastAsia="en-GB"/>
              </w:rPr>
            </w:pPr>
            <w:r w:rsidRPr="007771AA">
              <w:rPr>
                <w:rFonts w:eastAsia="Times New Roman" w:cs="Arial"/>
                <w:b/>
                <w:bCs/>
                <w:color w:val="000000"/>
                <w:szCs w:val="20"/>
                <w:lang w:eastAsia="en-GB"/>
              </w:rPr>
              <w:t xml:space="preserve">Percentage improvement </w:t>
            </w:r>
          </w:p>
          <w:p w:rsidR="00416E55" w:rsidRPr="007771AA" w:rsidRDefault="00044CA2">
            <w:pPr>
              <w:spacing w:line="240" w:lineRule="auto"/>
              <w:rPr>
                <w:rFonts w:eastAsia="Times New Roman" w:cs="Arial"/>
                <w:b/>
                <w:bCs/>
                <w:color w:val="000000"/>
                <w:szCs w:val="20"/>
                <w:lang w:eastAsia="en-GB"/>
              </w:rPr>
            </w:pPr>
            <w:r w:rsidRPr="007771AA">
              <w:rPr>
                <w:rFonts w:eastAsia="Times New Roman" w:cs="Arial"/>
                <w:b/>
                <w:bCs/>
                <w:color w:val="000000"/>
                <w:szCs w:val="20"/>
                <w:lang w:eastAsia="en-GB"/>
              </w:rPr>
              <w:t>2010</w:t>
            </w:r>
            <w:r w:rsidRPr="007771AA">
              <w:rPr>
                <w:rFonts w:eastAsia="Times New Roman" w:cs="Arial"/>
                <w:b/>
                <w:bCs/>
                <w:color w:val="000000"/>
                <w:szCs w:val="20"/>
                <w:lang w:eastAsia="en-GB"/>
              </w:rPr>
              <w:t xml:space="preserve"> - 2011</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Retail</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24.8</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19.9</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4.9</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19.80%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Services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24.3</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23</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1.3</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5.35%</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Telecommunications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44.1</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26.1</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18</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40.80%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Utilities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37.3</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36.8</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0.5</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1.34%</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Consumer goods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41.7</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41.2</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0.5</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1.20%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Basic materials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76.7</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64.5</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12.2</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15.90%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Technology</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68.9</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67.9</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1.45%</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Pharmaceuticals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85.9</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84.7</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1.2</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1.40%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Oil &amp; gas</w:t>
            </w:r>
          </w:p>
        </w:tc>
        <w:tc>
          <w:tcPr>
            <w:tcW w:w="17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110</w:t>
            </w:r>
          </w:p>
        </w:tc>
        <w:tc>
          <w:tcPr>
            <w:tcW w:w="1572"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88.1</w:t>
            </w:r>
          </w:p>
        </w:tc>
        <w:tc>
          <w:tcPr>
            <w:tcW w:w="2301"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21.9</w:t>
            </w:r>
          </w:p>
        </w:tc>
        <w:tc>
          <w:tcPr>
            <w:tcW w:w="1768" w:type="dxa"/>
            <w:tcBorders>
              <w:top w:val="nil"/>
              <w:left w:val="nil"/>
              <w:bottom w:val="single" w:sz="8" w:space="0" w:color="auto"/>
              <w:right w:val="single" w:sz="8" w:space="0" w:color="auto"/>
            </w:tcBorders>
            <w:shd w:val="clear" w:color="auto" w:fill="auto"/>
            <w:hideMark/>
          </w:tcPr>
          <w:p w:rsidR="00416E55" w:rsidRPr="007771AA" w:rsidRDefault="00044CA2">
            <w:pPr>
              <w:spacing w:line="240" w:lineRule="auto"/>
              <w:rPr>
                <w:rFonts w:eastAsia="Times New Roman" w:cs="Arial"/>
                <w:color w:val="000000"/>
                <w:szCs w:val="20"/>
                <w:lang w:eastAsia="en-GB"/>
              </w:rPr>
            </w:pPr>
            <w:r w:rsidRPr="007771AA">
              <w:rPr>
                <w:rFonts w:eastAsia="Times New Roman" w:cs="Arial"/>
                <w:color w:val="000000"/>
                <w:szCs w:val="20"/>
                <w:lang w:eastAsia="en-GB"/>
              </w:rPr>
              <w:t>19.90%</w:t>
            </w:r>
          </w:p>
        </w:tc>
      </w:tr>
      <w:tr w:rsidR="00416E55" w:rsidTr="007771AA">
        <w:trPr>
          <w:trHeight w:val="300"/>
        </w:trPr>
        <w:tc>
          <w:tcPr>
            <w:tcW w:w="2142" w:type="dxa"/>
            <w:tcBorders>
              <w:top w:val="nil"/>
              <w:left w:val="single" w:sz="8" w:space="0" w:color="auto"/>
              <w:bottom w:val="single" w:sz="8" w:space="0" w:color="auto"/>
              <w:right w:val="single" w:sz="8" w:space="0" w:color="auto"/>
            </w:tcBorders>
            <w:shd w:val="clear" w:color="auto" w:fill="auto"/>
            <w:hideMark/>
          </w:tcPr>
          <w:p w:rsidR="00416E55" w:rsidRDefault="00044CA2">
            <w:pPr>
              <w:spacing w:line="240" w:lineRule="auto"/>
              <w:rPr>
                <w:rFonts w:eastAsia="Times New Roman" w:cs="Arial"/>
                <w:color w:val="000000"/>
                <w:sz w:val="22"/>
                <w:lang w:eastAsia="en-GB"/>
              </w:rPr>
            </w:pPr>
            <w:r>
              <w:rPr>
                <w:rFonts w:eastAsia="Times New Roman" w:cs="Arial"/>
                <w:color w:val="000000"/>
                <w:sz w:val="22"/>
                <w:lang w:eastAsia="en-GB"/>
              </w:rPr>
              <w:t>Manufacturing</w:t>
            </w:r>
          </w:p>
        </w:tc>
        <w:tc>
          <w:tcPr>
            <w:tcW w:w="1701" w:type="dxa"/>
            <w:tcBorders>
              <w:top w:val="nil"/>
              <w:left w:val="nil"/>
              <w:bottom w:val="single" w:sz="8" w:space="0" w:color="auto"/>
              <w:right w:val="single" w:sz="8" w:space="0" w:color="auto"/>
            </w:tcBorders>
            <w:shd w:val="clear" w:color="auto" w:fill="auto"/>
            <w:hideMark/>
          </w:tcPr>
          <w:p w:rsidR="00416E55" w:rsidRDefault="00044CA2">
            <w:pPr>
              <w:spacing w:line="240" w:lineRule="auto"/>
              <w:rPr>
                <w:rFonts w:eastAsia="Times New Roman" w:cs="Arial"/>
                <w:color w:val="000000"/>
                <w:sz w:val="22"/>
                <w:lang w:eastAsia="en-GB"/>
              </w:rPr>
            </w:pPr>
            <w:r>
              <w:rPr>
                <w:rFonts w:eastAsia="Times New Roman" w:cs="Arial"/>
                <w:color w:val="000000"/>
                <w:sz w:val="22"/>
                <w:lang w:eastAsia="en-GB"/>
              </w:rPr>
              <w:t>111.7</w:t>
            </w:r>
          </w:p>
        </w:tc>
        <w:tc>
          <w:tcPr>
            <w:tcW w:w="1572" w:type="dxa"/>
            <w:tcBorders>
              <w:top w:val="nil"/>
              <w:left w:val="nil"/>
              <w:bottom w:val="single" w:sz="8" w:space="0" w:color="auto"/>
              <w:right w:val="single" w:sz="8" w:space="0" w:color="auto"/>
            </w:tcBorders>
            <w:shd w:val="clear" w:color="auto" w:fill="auto"/>
            <w:hideMark/>
          </w:tcPr>
          <w:p w:rsidR="00416E55" w:rsidRDefault="00044CA2">
            <w:pPr>
              <w:spacing w:line="240" w:lineRule="auto"/>
              <w:rPr>
                <w:rFonts w:eastAsia="Times New Roman" w:cs="Arial"/>
                <w:color w:val="000000"/>
                <w:sz w:val="22"/>
                <w:lang w:eastAsia="en-GB"/>
              </w:rPr>
            </w:pPr>
            <w:r>
              <w:rPr>
                <w:rFonts w:eastAsia="Times New Roman" w:cs="Arial"/>
                <w:color w:val="000000"/>
                <w:sz w:val="22"/>
                <w:lang w:eastAsia="en-GB"/>
              </w:rPr>
              <w:t>103.6</w:t>
            </w:r>
          </w:p>
        </w:tc>
        <w:tc>
          <w:tcPr>
            <w:tcW w:w="2301" w:type="dxa"/>
            <w:tcBorders>
              <w:top w:val="nil"/>
              <w:left w:val="nil"/>
              <w:bottom w:val="single" w:sz="8" w:space="0" w:color="auto"/>
              <w:right w:val="single" w:sz="8" w:space="0" w:color="auto"/>
            </w:tcBorders>
            <w:shd w:val="clear" w:color="auto" w:fill="auto"/>
            <w:hideMark/>
          </w:tcPr>
          <w:p w:rsidR="00416E55" w:rsidRDefault="00044CA2">
            <w:pPr>
              <w:spacing w:line="240" w:lineRule="auto"/>
              <w:rPr>
                <w:rFonts w:eastAsia="Times New Roman" w:cs="Arial"/>
                <w:color w:val="000000"/>
                <w:sz w:val="22"/>
                <w:lang w:eastAsia="en-GB"/>
              </w:rPr>
            </w:pPr>
            <w:r>
              <w:rPr>
                <w:rFonts w:eastAsia="Times New Roman" w:cs="Arial"/>
                <w:color w:val="000000"/>
                <w:sz w:val="22"/>
                <w:lang w:eastAsia="en-GB"/>
              </w:rPr>
              <w:t>8.1</w:t>
            </w:r>
          </w:p>
        </w:tc>
        <w:tc>
          <w:tcPr>
            <w:tcW w:w="1768" w:type="dxa"/>
            <w:tcBorders>
              <w:top w:val="nil"/>
              <w:left w:val="nil"/>
              <w:bottom w:val="single" w:sz="8" w:space="0" w:color="auto"/>
              <w:right w:val="single" w:sz="8" w:space="0" w:color="auto"/>
            </w:tcBorders>
            <w:shd w:val="clear" w:color="auto" w:fill="auto"/>
            <w:hideMark/>
          </w:tcPr>
          <w:p w:rsidR="00416E55" w:rsidRDefault="00044CA2">
            <w:pPr>
              <w:spacing w:line="240" w:lineRule="auto"/>
              <w:rPr>
                <w:rFonts w:eastAsia="Times New Roman" w:cs="Arial"/>
                <w:color w:val="000000"/>
                <w:sz w:val="22"/>
                <w:lang w:eastAsia="en-GB"/>
              </w:rPr>
            </w:pPr>
            <w:r>
              <w:rPr>
                <w:rFonts w:eastAsia="Times New Roman" w:cs="Arial"/>
                <w:color w:val="000000"/>
                <w:sz w:val="22"/>
                <w:lang w:eastAsia="en-GB"/>
              </w:rPr>
              <w:t>7.25%</w:t>
            </w:r>
          </w:p>
        </w:tc>
      </w:tr>
    </w:tbl>
    <w:p w:rsidR="00416E55" w:rsidRPr="007771AA" w:rsidRDefault="00416E55" w:rsidP="007771AA">
      <w:pPr>
        <w:autoSpaceDE w:val="0"/>
        <w:autoSpaceDN w:val="0"/>
        <w:adjustRightInd w:val="0"/>
        <w:spacing w:line="240" w:lineRule="auto"/>
        <w:rPr>
          <w:rFonts w:cs="Helv"/>
          <w:color w:val="000000" w:themeColor="text1"/>
          <w:sz w:val="22"/>
          <w:u w:val="single"/>
        </w:rPr>
      </w:pPr>
    </w:p>
    <w:p w:rsidR="00416E55" w:rsidRDefault="00044CA2">
      <w:pPr>
        <w:autoSpaceDE w:val="0"/>
        <w:autoSpaceDN w:val="0"/>
        <w:adjustRightInd w:val="0"/>
        <w:spacing w:line="240" w:lineRule="auto"/>
        <w:rPr>
          <w:rFonts w:cs="Helv"/>
          <w:b/>
          <w:color w:val="000000" w:themeColor="text1"/>
          <w:sz w:val="22"/>
        </w:rPr>
      </w:pPr>
      <w:r>
        <w:rPr>
          <w:rFonts w:cs="Helv"/>
          <w:b/>
          <w:color w:val="000000" w:themeColor="text1"/>
          <w:sz w:val="22"/>
        </w:rPr>
        <w:lastRenderedPageBreak/>
        <w:t>About PwC</w:t>
      </w:r>
    </w:p>
    <w:p w:rsidR="00416E55" w:rsidRDefault="00416E55">
      <w:pPr>
        <w:spacing w:line="240" w:lineRule="auto"/>
        <w:rPr>
          <w:rFonts w:cs="Arial"/>
          <w:color w:val="000000" w:themeColor="text1"/>
          <w:sz w:val="22"/>
          <w:lang w:val="en-US"/>
        </w:rPr>
      </w:pPr>
    </w:p>
    <w:p w:rsidR="00416E55" w:rsidRDefault="00044CA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themeColor="text1"/>
          <w:sz w:val="22"/>
          <w:lang w:val="en-US" w:eastAsia="en-GB"/>
        </w:rPr>
      </w:pPr>
      <w:r>
        <w:rPr>
          <w:rFonts w:eastAsia="Arial Unicode MS" w:cs="Helv"/>
          <w:color w:val="000000" w:themeColor="text1"/>
          <w:sz w:val="22"/>
          <w:lang w:val="en-US" w:eastAsia="en-GB"/>
        </w:rPr>
        <w:t xml:space="preserve">PwC firms help organisations and individuals create the value they’re looking for.  We’re a network of firms in 158 countries with close </w:t>
      </w:r>
      <w:r>
        <w:rPr>
          <w:rFonts w:eastAsia="Arial Unicode MS" w:cs="Helv"/>
          <w:color w:val="000000" w:themeColor="text1"/>
          <w:sz w:val="22"/>
          <w:lang w:val="en-US" w:eastAsia="en-GB"/>
        </w:rPr>
        <w:t>to 169,000 people who are committed to delivering quality in assurance, tax and advisory services.  Tell us what matters to you and find out more by visiting us at www.pwc.com.</w:t>
      </w:r>
    </w:p>
    <w:p w:rsidR="00416E55" w:rsidRDefault="00416E55">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themeColor="text1"/>
          <w:sz w:val="22"/>
          <w:lang w:val="en-US" w:eastAsia="en-GB"/>
        </w:rPr>
      </w:pPr>
    </w:p>
    <w:p w:rsidR="00416E55" w:rsidRDefault="00044CA2">
      <w:pPr>
        <w:tabs>
          <w:tab w:val="left" w:pos="-720"/>
          <w:tab w:val="left" w:pos="33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color w:val="000000" w:themeColor="text1"/>
          <w:sz w:val="22"/>
          <w:lang w:val="en-US" w:eastAsia="en-GB"/>
        </w:rPr>
      </w:pPr>
      <w:r>
        <w:rPr>
          <w:rFonts w:eastAsia="Arial Unicode MS" w:cs="Helv"/>
          <w:color w:val="000000" w:themeColor="text1"/>
          <w:sz w:val="22"/>
          <w:lang w:val="en-US" w:eastAsia="en-GB"/>
        </w:rPr>
        <w:t>"PwC" is the brand under which member firms of PricewaterhouseCoopers International Limited (PwCIL) operate and provide services. Together, these firms form the PwC network. Each firm in the network is a separate legal entity and does not act as agent of P</w:t>
      </w:r>
      <w:r>
        <w:rPr>
          <w:rFonts w:eastAsia="Arial Unicode MS" w:cs="Helv"/>
          <w:color w:val="000000" w:themeColor="text1"/>
          <w:sz w:val="22"/>
          <w:lang w:val="en-US" w:eastAsia="en-GB"/>
        </w:rPr>
        <w:t>wCIL or any other member firm. PwCIL does not provide any services to clients. PwCIL is not responsible or liable for the acts or omissions of any of its member firms nor can it control the exercise of their professional judgment or bind them in any way.</w:t>
      </w:r>
    </w:p>
    <w:p w:rsidR="00416E55" w:rsidRDefault="00416E55">
      <w:pPr>
        <w:spacing w:line="240" w:lineRule="auto"/>
        <w:rPr>
          <w:rFonts w:cs="Arial"/>
          <w:bCs/>
          <w:color w:val="000000" w:themeColor="text1"/>
          <w:sz w:val="22"/>
        </w:rPr>
      </w:pPr>
    </w:p>
    <w:p w:rsidR="00416E55" w:rsidRDefault="00044CA2">
      <w:pPr>
        <w:spacing w:line="240" w:lineRule="auto"/>
        <w:rPr>
          <w:rFonts w:cs="Arial"/>
          <w:bCs/>
          <w:color w:val="000000" w:themeColor="text1"/>
          <w:sz w:val="22"/>
        </w:rPr>
      </w:pPr>
      <w:r>
        <w:rPr>
          <w:rFonts w:cs="Arial"/>
          <w:color w:val="000000" w:themeColor="text1"/>
          <w:sz w:val="22"/>
        </w:rPr>
        <w:t>2012 PricewaterhouseCoopers. All rights reserved.</w:t>
      </w:r>
    </w:p>
    <w:p w:rsidR="00416E55" w:rsidRDefault="00416E55">
      <w:pPr>
        <w:spacing w:line="240" w:lineRule="auto"/>
        <w:rPr>
          <w:rFonts w:cs="Arial"/>
          <w:bCs/>
          <w:color w:val="000000" w:themeColor="text1"/>
          <w:sz w:val="22"/>
        </w:rPr>
      </w:pPr>
    </w:p>
    <w:sectPr w:rsidR="00416E55" w:rsidSect="009106F5">
      <w:headerReference w:type="even" r:id="rId9"/>
      <w:headerReference w:type="default" r:id="rId10"/>
      <w:footerReference w:type="even" r:id="rId11"/>
      <w:footerReference w:type="default" r:id="rId12"/>
      <w:headerReference w:type="first" r:id="rId13"/>
      <w:footerReference w:type="first" r:id="rId14"/>
      <w:pgSz w:w="11907" w:h="16839"/>
      <w:pgMar w:top="3139" w:right="1440" w:bottom="1411" w:left="1440" w:header="562"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A2" w:rsidRDefault="00044CA2">
      <w:pPr>
        <w:spacing w:line="240" w:lineRule="auto"/>
      </w:pPr>
      <w:r>
        <w:separator/>
      </w:r>
    </w:p>
  </w:endnote>
  <w:endnote w:type="continuationSeparator" w:id="0">
    <w:p w:rsidR="00044CA2" w:rsidRDefault="00044C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ITCCharterCom-Regular">
    <w:altName w:val="MS Mincho"/>
    <w:panose1 w:val="00000000000000000000"/>
    <w:charset w:val="00"/>
    <w:family w:val="auto"/>
    <w:notTrueType/>
    <w:pitch w:val="default"/>
    <w:sig w:usb0="00000003" w:usb1="08070000" w:usb2="00000010" w:usb3="00000000" w:csb0="00020001"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416E55">
    <w:pPr>
      <w:pStyle w:val="Footer"/>
    </w:pPr>
    <w:fldSimple w:instr=" PAGE  \* MERGEFORMAT ">
      <w:r w:rsidR="007771AA">
        <w:rPr>
          <w:noProof/>
        </w:rPr>
        <w:t>2</w:t>
      </w:r>
    </w:fldSimple>
    <w:r w:rsidR="00044CA2">
      <w:t xml:space="preserve"> of </w:t>
    </w:r>
    <w:fldSimple w:instr=" NUMPAGES  \* MERGEFORMAT ">
      <w:r w:rsidR="007771AA">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416E55">
    <w:pPr>
      <w:pStyle w:val="Footer"/>
    </w:pPr>
    <w:fldSimple w:instr=" PAGE  \* MERGEFORMAT ">
      <w:r w:rsidR="007771AA">
        <w:rPr>
          <w:noProof/>
        </w:rPr>
        <w:t>3</w:t>
      </w:r>
    </w:fldSimple>
    <w:r w:rsidR="00044CA2">
      <w:t xml:space="preserve"> of </w:t>
    </w:r>
    <w:fldSimple w:instr=" NUMPAGES  \* MERGEFORMAT ">
      <w:r w:rsidR="007771AA">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Address"/>
      <w:jc w:val="center"/>
    </w:pPr>
    <w:bookmarkStart w:id="0" w:name="FirstPageFooter"/>
    <w:bookmarkEnd w:id="0"/>
    <w:r>
      <w:t>PricewaterhouseCoopers LLP, 1 Embankment Place. London, WC2N 6RH</w:t>
    </w:r>
  </w:p>
  <w:p w:rsidR="00416E55" w:rsidRDefault="00044CA2">
    <w:pPr>
      <w:pStyle w:val="Address"/>
      <w:jc w:val="center"/>
    </w:pPr>
    <w:r>
      <w:t>T: +44 (0)</w:t>
    </w:r>
    <w:r>
      <w:t>207 213 47 27, www.ukmediacentre.pwc.com</w:t>
    </w:r>
  </w:p>
  <w:p w:rsidR="00416E55" w:rsidRDefault="00416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A2" w:rsidRDefault="00044CA2">
      <w:pPr>
        <w:spacing w:line="240" w:lineRule="auto"/>
      </w:pPr>
      <w:r>
        <w:separator/>
      </w:r>
    </w:p>
  </w:footnote>
  <w:footnote w:type="continuationSeparator" w:id="0">
    <w:p w:rsidR="00044CA2" w:rsidRDefault="00044C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16E55" w:rsidRDefault="00416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416E55" w:rsidRDefault="00416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55" w:rsidRDefault="00044CA2">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42DEA"/>
    <w:multiLevelType w:val="hybridMultilevel"/>
    <w:tmpl w:val="278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C63E86"/>
    <w:multiLevelType w:val="hybridMultilevel"/>
    <w:tmpl w:val="D37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3D0E17"/>
    <w:multiLevelType w:val="hybridMultilevel"/>
    <w:tmpl w:val="6FC8D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F92519"/>
    <w:multiLevelType w:val="hybridMultilevel"/>
    <w:tmpl w:val="BC3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65894"/>
    <w:multiLevelType w:val="hybridMultilevel"/>
    <w:tmpl w:val="D9D8C5E2"/>
    <w:lvl w:ilvl="0" w:tplc="144ADDF6">
      <w:start w:val="1"/>
      <w:numFmt w:val="bullet"/>
      <w:lvlText w:val="•"/>
      <w:lvlJc w:val="left"/>
      <w:pPr>
        <w:tabs>
          <w:tab w:val="num" w:pos="1440"/>
        </w:tabs>
        <w:ind w:left="1440" w:hanging="360"/>
      </w:pPr>
      <w:rPr>
        <w:rFonts w:ascii="Arial" w:hAnsi="Arial" w:hint="default"/>
      </w:rPr>
    </w:lvl>
    <w:lvl w:ilvl="1" w:tplc="DF2A0FAA" w:tentative="1">
      <w:start w:val="1"/>
      <w:numFmt w:val="bullet"/>
      <w:lvlText w:val="•"/>
      <w:lvlJc w:val="left"/>
      <w:pPr>
        <w:tabs>
          <w:tab w:val="num" w:pos="2160"/>
        </w:tabs>
        <w:ind w:left="2160" w:hanging="360"/>
      </w:pPr>
      <w:rPr>
        <w:rFonts w:ascii="Arial" w:hAnsi="Arial" w:hint="default"/>
      </w:rPr>
    </w:lvl>
    <w:lvl w:ilvl="2" w:tplc="60842B0C" w:tentative="1">
      <w:start w:val="1"/>
      <w:numFmt w:val="bullet"/>
      <w:lvlText w:val="•"/>
      <w:lvlJc w:val="left"/>
      <w:pPr>
        <w:tabs>
          <w:tab w:val="num" w:pos="2880"/>
        </w:tabs>
        <w:ind w:left="2880" w:hanging="360"/>
      </w:pPr>
      <w:rPr>
        <w:rFonts w:ascii="Arial" w:hAnsi="Arial" w:hint="default"/>
      </w:rPr>
    </w:lvl>
    <w:lvl w:ilvl="3" w:tplc="E0CEF1E6" w:tentative="1">
      <w:start w:val="1"/>
      <w:numFmt w:val="bullet"/>
      <w:lvlText w:val="•"/>
      <w:lvlJc w:val="left"/>
      <w:pPr>
        <w:tabs>
          <w:tab w:val="num" w:pos="3600"/>
        </w:tabs>
        <w:ind w:left="3600" w:hanging="360"/>
      </w:pPr>
      <w:rPr>
        <w:rFonts w:ascii="Arial" w:hAnsi="Arial" w:hint="default"/>
      </w:rPr>
    </w:lvl>
    <w:lvl w:ilvl="4" w:tplc="BBAA01E0" w:tentative="1">
      <w:start w:val="1"/>
      <w:numFmt w:val="bullet"/>
      <w:lvlText w:val="•"/>
      <w:lvlJc w:val="left"/>
      <w:pPr>
        <w:tabs>
          <w:tab w:val="num" w:pos="4320"/>
        </w:tabs>
        <w:ind w:left="4320" w:hanging="360"/>
      </w:pPr>
      <w:rPr>
        <w:rFonts w:ascii="Arial" w:hAnsi="Arial" w:hint="default"/>
      </w:rPr>
    </w:lvl>
    <w:lvl w:ilvl="5" w:tplc="26668AE8" w:tentative="1">
      <w:start w:val="1"/>
      <w:numFmt w:val="bullet"/>
      <w:lvlText w:val="•"/>
      <w:lvlJc w:val="left"/>
      <w:pPr>
        <w:tabs>
          <w:tab w:val="num" w:pos="5040"/>
        </w:tabs>
        <w:ind w:left="5040" w:hanging="360"/>
      </w:pPr>
      <w:rPr>
        <w:rFonts w:ascii="Arial" w:hAnsi="Arial" w:hint="default"/>
      </w:rPr>
    </w:lvl>
    <w:lvl w:ilvl="6" w:tplc="5638F280" w:tentative="1">
      <w:start w:val="1"/>
      <w:numFmt w:val="bullet"/>
      <w:lvlText w:val="•"/>
      <w:lvlJc w:val="left"/>
      <w:pPr>
        <w:tabs>
          <w:tab w:val="num" w:pos="5760"/>
        </w:tabs>
        <w:ind w:left="5760" w:hanging="360"/>
      </w:pPr>
      <w:rPr>
        <w:rFonts w:ascii="Arial" w:hAnsi="Arial" w:hint="default"/>
      </w:rPr>
    </w:lvl>
    <w:lvl w:ilvl="7" w:tplc="CEC4C450" w:tentative="1">
      <w:start w:val="1"/>
      <w:numFmt w:val="bullet"/>
      <w:lvlText w:val="•"/>
      <w:lvlJc w:val="left"/>
      <w:pPr>
        <w:tabs>
          <w:tab w:val="num" w:pos="6480"/>
        </w:tabs>
        <w:ind w:left="6480" w:hanging="360"/>
      </w:pPr>
      <w:rPr>
        <w:rFonts w:ascii="Arial" w:hAnsi="Arial" w:hint="default"/>
      </w:rPr>
    </w:lvl>
    <w:lvl w:ilvl="8" w:tplc="D326E894" w:tentative="1">
      <w:start w:val="1"/>
      <w:numFmt w:val="bullet"/>
      <w:lvlText w:val="•"/>
      <w:lvlJc w:val="left"/>
      <w:pPr>
        <w:tabs>
          <w:tab w:val="num" w:pos="7200"/>
        </w:tabs>
        <w:ind w:left="7200" w:hanging="360"/>
      </w:pPr>
      <w:rPr>
        <w:rFonts w:ascii="Arial" w:hAnsi="Arial" w:hint="default"/>
      </w:rPr>
    </w:lvl>
  </w:abstractNum>
  <w:abstractNum w:abstractNumId="14">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57819"/>
    <w:multiLevelType w:val="hybridMultilevel"/>
    <w:tmpl w:val="7466C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609E5"/>
    <w:multiLevelType w:val="hybridMultilevel"/>
    <w:tmpl w:val="8180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5138A"/>
    <w:multiLevelType w:val="hybridMultilevel"/>
    <w:tmpl w:val="E98EA896"/>
    <w:lvl w:ilvl="0" w:tplc="2D709CE6">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AA0E2F"/>
    <w:multiLevelType w:val="hybridMultilevel"/>
    <w:tmpl w:val="A158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6158B4"/>
    <w:multiLevelType w:val="hybridMultilevel"/>
    <w:tmpl w:val="9302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B1028"/>
    <w:multiLevelType w:val="hybridMultilevel"/>
    <w:tmpl w:val="EB98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7F3813"/>
    <w:multiLevelType w:val="hybridMultilevel"/>
    <w:tmpl w:val="FAE0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EE3DDA"/>
    <w:multiLevelType w:val="hybridMultilevel"/>
    <w:tmpl w:val="3244A314"/>
    <w:lvl w:ilvl="0" w:tplc="CAA4963C">
      <w:start w:val="1"/>
      <w:numFmt w:val="bullet"/>
      <w:lvlText w:val="•"/>
      <w:lvlJc w:val="left"/>
      <w:pPr>
        <w:tabs>
          <w:tab w:val="num" w:pos="1440"/>
        </w:tabs>
        <w:ind w:left="1440" w:hanging="360"/>
      </w:pPr>
      <w:rPr>
        <w:rFonts w:ascii="Arial" w:hAnsi="Arial" w:hint="default"/>
      </w:rPr>
    </w:lvl>
    <w:lvl w:ilvl="1" w:tplc="1234A58E" w:tentative="1">
      <w:start w:val="1"/>
      <w:numFmt w:val="bullet"/>
      <w:lvlText w:val="•"/>
      <w:lvlJc w:val="left"/>
      <w:pPr>
        <w:tabs>
          <w:tab w:val="num" w:pos="2160"/>
        </w:tabs>
        <w:ind w:left="2160" w:hanging="360"/>
      </w:pPr>
      <w:rPr>
        <w:rFonts w:ascii="Arial" w:hAnsi="Arial" w:hint="default"/>
      </w:rPr>
    </w:lvl>
    <w:lvl w:ilvl="2" w:tplc="BEEE2D6C" w:tentative="1">
      <w:start w:val="1"/>
      <w:numFmt w:val="bullet"/>
      <w:lvlText w:val="•"/>
      <w:lvlJc w:val="left"/>
      <w:pPr>
        <w:tabs>
          <w:tab w:val="num" w:pos="2880"/>
        </w:tabs>
        <w:ind w:left="2880" w:hanging="360"/>
      </w:pPr>
      <w:rPr>
        <w:rFonts w:ascii="Arial" w:hAnsi="Arial" w:hint="default"/>
      </w:rPr>
    </w:lvl>
    <w:lvl w:ilvl="3" w:tplc="E08AA92E" w:tentative="1">
      <w:start w:val="1"/>
      <w:numFmt w:val="bullet"/>
      <w:lvlText w:val="•"/>
      <w:lvlJc w:val="left"/>
      <w:pPr>
        <w:tabs>
          <w:tab w:val="num" w:pos="3600"/>
        </w:tabs>
        <w:ind w:left="3600" w:hanging="360"/>
      </w:pPr>
      <w:rPr>
        <w:rFonts w:ascii="Arial" w:hAnsi="Arial" w:hint="default"/>
      </w:rPr>
    </w:lvl>
    <w:lvl w:ilvl="4" w:tplc="BDE8207C" w:tentative="1">
      <w:start w:val="1"/>
      <w:numFmt w:val="bullet"/>
      <w:lvlText w:val="•"/>
      <w:lvlJc w:val="left"/>
      <w:pPr>
        <w:tabs>
          <w:tab w:val="num" w:pos="4320"/>
        </w:tabs>
        <w:ind w:left="4320" w:hanging="360"/>
      </w:pPr>
      <w:rPr>
        <w:rFonts w:ascii="Arial" w:hAnsi="Arial" w:hint="default"/>
      </w:rPr>
    </w:lvl>
    <w:lvl w:ilvl="5" w:tplc="BE987636" w:tentative="1">
      <w:start w:val="1"/>
      <w:numFmt w:val="bullet"/>
      <w:lvlText w:val="•"/>
      <w:lvlJc w:val="left"/>
      <w:pPr>
        <w:tabs>
          <w:tab w:val="num" w:pos="5040"/>
        </w:tabs>
        <w:ind w:left="5040" w:hanging="360"/>
      </w:pPr>
      <w:rPr>
        <w:rFonts w:ascii="Arial" w:hAnsi="Arial" w:hint="default"/>
      </w:rPr>
    </w:lvl>
    <w:lvl w:ilvl="6" w:tplc="727807CC" w:tentative="1">
      <w:start w:val="1"/>
      <w:numFmt w:val="bullet"/>
      <w:lvlText w:val="•"/>
      <w:lvlJc w:val="left"/>
      <w:pPr>
        <w:tabs>
          <w:tab w:val="num" w:pos="5760"/>
        </w:tabs>
        <w:ind w:left="5760" w:hanging="360"/>
      </w:pPr>
      <w:rPr>
        <w:rFonts w:ascii="Arial" w:hAnsi="Arial" w:hint="default"/>
      </w:rPr>
    </w:lvl>
    <w:lvl w:ilvl="7" w:tplc="7EBEA7DC" w:tentative="1">
      <w:start w:val="1"/>
      <w:numFmt w:val="bullet"/>
      <w:lvlText w:val="•"/>
      <w:lvlJc w:val="left"/>
      <w:pPr>
        <w:tabs>
          <w:tab w:val="num" w:pos="6480"/>
        </w:tabs>
        <w:ind w:left="6480" w:hanging="360"/>
      </w:pPr>
      <w:rPr>
        <w:rFonts w:ascii="Arial" w:hAnsi="Arial" w:hint="default"/>
      </w:rPr>
    </w:lvl>
    <w:lvl w:ilvl="8" w:tplc="23DE66BA" w:tentative="1">
      <w:start w:val="1"/>
      <w:numFmt w:val="bullet"/>
      <w:lvlText w:val="•"/>
      <w:lvlJc w:val="left"/>
      <w:pPr>
        <w:tabs>
          <w:tab w:val="num" w:pos="7200"/>
        </w:tabs>
        <w:ind w:left="7200" w:hanging="360"/>
      </w:pPr>
      <w:rPr>
        <w:rFonts w:ascii="Arial" w:hAnsi="Arial" w:hint="default"/>
      </w:rPr>
    </w:lvl>
  </w:abstractNum>
  <w:abstractNum w:abstractNumId="30">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2">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8DA300A"/>
    <w:multiLevelType w:val="multilevel"/>
    <w:tmpl w:val="7E366D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7393317C"/>
    <w:multiLevelType w:val="hybridMultilevel"/>
    <w:tmpl w:val="6AF82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34"/>
  </w:num>
  <w:num w:numId="5">
    <w:abstractNumId w:val="34"/>
    <w:lvlOverride w:ilvl="0">
      <w:startOverride w:val="1"/>
    </w:lvlOverride>
  </w:num>
  <w:num w:numId="6">
    <w:abstractNumId w:val="5"/>
  </w:num>
  <w:num w:numId="7">
    <w:abstractNumId w:val="19"/>
  </w:num>
  <w:num w:numId="8">
    <w:abstractNumId w:val="20"/>
  </w:num>
  <w:num w:numId="9">
    <w:abstractNumId w:val="17"/>
  </w:num>
  <w:num w:numId="10">
    <w:abstractNumId w:val="1"/>
  </w:num>
  <w:num w:numId="11">
    <w:abstractNumId w:val="3"/>
  </w:num>
  <w:num w:numId="12">
    <w:abstractNumId w:val="14"/>
  </w:num>
  <w:num w:numId="13">
    <w:abstractNumId w:val="7"/>
  </w:num>
  <w:num w:numId="14">
    <w:abstractNumId w:val="31"/>
  </w:num>
  <w:num w:numId="15">
    <w:abstractNumId w:val="27"/>
  </w:num>
  <w:num w:numId="16">
    <w:abstractNumId w:val="0"/>
    <w:lvlOverride w:ilvl="0">
      <w:lvl w:ilvl="0">
        <w:numFmt w:val="bullet"/>
        <w:lvlText w:val="•"/>
        <w:legacy w:legacy="1" w:legacySpace="0" w:legacyIndent="0"/>
        <w:lvlJc w:val="left"/>
        <w:rPr>
          <w:rFonts w:ascii="Helv" w:hAnsi="Helv" w:hint="default"/>
        </w:rPr>
      </w:lvl>
    </w:lvlOverride>
  </w:num>
  <w:num w:numId="17">
    <w:abstractNumId w:val="32"/>
  </w:num>
  <w:num w:numId="18">
    <w:abstractNumId w:val="30"/>
  </w:num>
  <w:num w:numId="19">
    <w:abstractNumId w:val="22"/>
  </w:num>
  <w:num w:numId="20">
    <w:abstractNumId w:val="16"/>
  </w:num>
  <w:num w:numId="21">
    <w:abstractNumId w:val="33"/>
  </w:num>
  <w:num w:numId="22">
    <w:abstractNumId w:val="28"/>
  </w:num>
  <w:num w:numId="23">
    <w:abstractNumId w:val="21"/>
  </w:num>
  <w:num w:numId="24">
    <w:abstractNumId w:val="8"/>
  </w:num>
  <w:num w:numId="25">
    <w:abstractNumId w:val="18"/>
  </w:num>
  <w:num w:numId="26">
    <w:abstractNumId w:val="9"/>
  </w:num>
  <w:num w:numId="27">
    <w:abstractNumId w:val="0"/>
    <w:lvlOverride w:ilvl="0">
      <w:lvl w:ilvl="0">
        <w:numFmt w:val="bullet"/>
        <w:lvlText w:val=""/>
        <w:legacy w:legacy="1" w:legacySpace="0" w:legacyIndent="0"/>
        <w:lvlJc w:val="left"/>
        <w:rPr>
          <w:rFonts w:ascii="Symbol" w:hAnsi="Symbol" w:hint="default"/>
          <w:sz w:val="22"/>
        </w:rPr>
      </w:lvl>
    </w:lvlOverride>
  </w:num>
  <w:num w:numId="28">
    <w:abstractNumId w:val="10"/>
  </w:num>
  <w:num w:numId="29">
    <w:abstractNumId w:val="12"/>
  </w:num>
  <w:num w:numId="30">
    <w:abstractNumId w:val="2"/>
  </w:num>
  <w:num w:numId="31">
    <w:abstractNumId w:val="29"/>
  </w:num>
  <w:num w:numId="32">
    <w:abstractNumId w:val="13"/>
  </w:num>
  <w:num w:numId="33">
    <w:abstractNumId w:val="24"/>
  </w:num>
  <w:num w:numId="34">
    <w:abstractNumId w:val="35"/>
  </w:num>
  <w:num w:numId="35">
    <w:abstractNumId w:val="15"/>
  </w:num>
  <w:num w:numId="36">
    <w:abstractNumId w:val="25"/>
  </w:num>
  <w:num w:numId="37">
    <w:abstractNumId w:val="23"/>
  </w:num>
  <w:num w:numId="38">
    <w:abstractNumId w:val="26"/>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evenAndOddHeaders/>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416E55"/>
    <w:rsid w:val="00044CA2"/>
    <w:rsid w:val="00416E55"/>
    <w:rsid w:val="0061109D"/>
    <w:rsid w:val="007771AA"/>
    <w:rsid w:val="009106F5"/>
    <w:rsid w:val="00A85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55"/>
    <w:pPr>
      <w:spacing w:line="240" w:lineRule="atLeast"/>
    </w:pPr>
    <w:rPr>
      <w:rFonts w:ascii="Georgia" w:hAnsi="Georgia"/>
      <w:szCs w:val="22"/>
      <w:lang w:eastAsia="en-US"/>
    </w:rPr>
  </w:style>
  <w:style w:type="paragraph" w:styleId="Heading1">
    <w:name w:val="heading 1"/>
    <w:basedOn w:val="Normal"/>
    <w:next w:val="Normal"/>
    <w:link w:val="Heading1Char"/>
    <w:qFormat/>
    <w:rsid w:val="00416E55"/>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416E5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6E5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16E55"/>
  </w:style>
  <w:style w:type="paragraph" w:styleId="Footer">
    <w:name w:val="footer"/>
    <w:basedOn w:val="Normal"/>
    <w:link w:val="FooterChar"/>
    <w:uiPriority w:val="99"/>
    <w:semiHidden/>
    <w:unhideWhenUsed/>
    <w:rsid w:val="00416E5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16E55"/>
  </w:style>
  <w:style w:type="paragraph" w:styleId="BodyText">
    <w:name w:val="Body Text"/>
    <w:basedOn w:val="Normal"/>
    <w:link w:val="BodyTextChar"/>
    <w:uiPriority w:val="99"/>
    <w:unhideWhenUsed/>
    <w:rsid w:val="00416E55"/>
    <w:pPr>
      <w:spacing w:after="240"/>
    </w:pPr>
  </w:style>
  <w:style w:type="character" w:customStyle="1" w:styleId="BodyTextChar">
    <w:name w:val="Body Text Char"/>
    <w:basedOn w:val="DefaultParagraphFont"/>
    <w:link w:val="BodyText"/>
    <w:uiPriority w:val="99"/>
    <w:rsid w:val="00416E55"/>
    <w:rPr>
      <w:rFonts w:ascii="Georgia" w:hAnsi="Georgia"/>
      <w:sz w:val="20"/>
    </w:rPr>
  </w:style>
  <w:style w:type="paragraph" w:styleId="Title">
    <w:name w:val="Title"/>
    <w:basedOn w:val="Normal"/>
    <w:next w:val="Normal"/>
    <w:link w:val="TitleChar"/>
    <w:uiPriority w:val="10"/>
    <w:qFormat/>
    <w:rsid w:val="00416E55"/>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416E55"/>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416E55"/>
    <w:pPr>
      <w:spacing w:line="200" w:lineRule="atLeast"/>
    </w:pPr>
    <w:rPr>
      <w:i/>
      <w:sz w:val="18"/>
    </w:rPr>
  </w:style>
  <w:style w:type="character" w:customStyle="1" w:styleId="AddressChar">
    <w:name w:val="Address Char"/>
    <w:basedOn w:val="DefaultParagraphFont"/>
    <w:link w:val="Address"/>
    <w:rsid w:val="00416E55"/>
    <w:rPr>
      <w:rFonts w:ascii="Georgia" w:hAnsi="Georgia"/>
      <w:i/>
      <w:sz w:val="18"/>
    </w:rPr>
  </w:style>
  <w:style w:type="paragraph" w:customStyle="1" w:styleId="Disclaimer">
    <w:name w:val="Disclaimer"/>
    <w:basedOn w:val="Normal"/>
    <w:link w:val="DisclaimerChar"/>
    <w:rsid w:val="00416E55"/>
    <w:pPr>
      <w:spacing w:line="140" w:lineRule="atLeast"/>
    </w:pPr>
    <w:rPr>
      <w:rFonts w:ascii="Arial" w:hAnsi="Arial" w:cs="Arial"/>
      <w:sz w:val="12"/>
    </w:rPr>
  </w:style>
  <w:style w:type="character" w:customStyle="1" w:styleId="DisclaimerChar">
    <w:name w:val="Disclaimer Char"/>
    <w:basedOn w:val="DefaultParagraphFont"/>
    <w:link w:val="Disclaimer"/>
    <w:rsid w:val="00416E55"/>
    <w:rPr>
      <w:rFonts w:ascii="Arial" w:hAnsi="Arial" w:cs="Arial"/>
      <w:sz w:val="12"/>
    </w:rPr>
  </w:style>
  <w:style w:type="character" w:customStyle="1" w:styleId="Heading1Char">
    <w:name w:val="Heading 1 Char"/>
    <w:basedOn w:val="DefaultParagraphFont"/>
    <w:link w:val="Heading1"/>
    <w:rsid w:val="00416E55"/>
    <w:rPr>
      <w:rFonts w:ascii="Cambria" w:eastAsia="Times New Roman" w:hAnsi="Cambria" w:cs="Times New Roman"/>
      <w:b/>
      <w:bCs/>
      <w:kern w:val="32"/>
      <w:sz w:val="32"/>
      <w:szCs w:val="32"/>
    </w:rPr>
  </w:style>
  <w:style w:type="paragraph" w:customStyle="1" w:styleId="ReleaseBodyText">
    <w:name w:val="Release Body Text"/>
    <w:rsid w:val="00416E55"/>
    <w:rPr>
      <w:rFonts w:ascii="Arial" w:eastAsia="Times New Roman" w:hAnsi="Arial" w:cs="Arial"/>
      <w:lang w:eastAsia="en-US"/>
    </w:rPr>
  </w:style>
  <w:style w:type="paragraph" w:customStyle="1" w:styleId="Heading">
    <w:name w:val="Heading"/>
    <w:basedOn w:val="Normal"/>
    <w:rsid w:val="00416E55"/>
    <w:pPr>
      <w:spacing w:line="240" w:lineRule="auto"/>
    </w:pPr>
    <w:rPr>
      <w:rFonts w:ascii="Arial" w:eastAsia="Times New Roman" w:hAnsi="Arial"/>
      <w:b/>
      <w:sz w:val="24"/>
      <w:szCs w:val="20"/>
    </w:rPr>
  </w:style>
  <w:style w:type="paragraph" w:styleId="ListParagraph">
    <w:name w:val="List Paragraph"/>
    <w:basedOn w:val="Normal"/>
    <w:uiPriority w:val="99"/>
    <w:unhideWhenUsed/>
    <w:qFormat/>
    <w:rsid w:val="00416E55"/>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rsid w:val="00416E55"/>
  </w:style>
  <w:style w:type="paragraph" w:customStyle="1" w:styleId="ListNumbered">
    <w:name w:val="List Numbered"/>
    <w:basedOn w:val="Normal"/>
    <w:rsid w:val="00416E55"/>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rsid w:val="00416E55"/>
    <w:rPr>
      <w:rFonts w:ascii="Cambria" w:eastAsia="Times New Roman" w:hAnsi="Cambria" w:cs="Times New Roman"/>
      <w:b/>
      <w:bCs/>
      <w:sz w:val="26"/>
      <w:szCs w:val="26"/>
      <w:lang w:eastAsia="en-US"/>
    </w:rPr>
  </w:style>
  <w:style w:type="character" w:styleId="Hyperlink">
    <w:name w:val="Hyperlink"/>
    <w:basedOn w:val="DefaultParagraphFont"/>
    <w:uiPriority w:val="99"/>
    <w:unhideWhenUsed/>
    <w:rsid w:val="00416E55"/>
    <w:rPr>
      <w:strike w:val="0"/>
      <w:dstrike w:val="0"/>
      <w:color w:val="0097DC"/>
      <w:u w:val="none"/>
      <w:effect w:val="none"/>
    </w:rPr>
  </w:style>
  <w:style w:type="character" w:styleId="Strong">
    <w:name w:val="Strong"/>
    <w:basedOn w:val="DefaultParagraphFont"/>
    <w:uiPriority w:val="22"/>
    <w:qFormat/>
    <w:rsid w:val="00416E55"/>
    <w:rPr>
      <w:b/>
      <w:bCs/>
    </w:rPr>
  </w:style>
  <w:style w:type="character" w:customStyle="1" w:styleId="date-display-single">
    <w:name w:val="date-display-single"/>
    <w:basedOn w:val="DefaultParagraphFont"/>
    <w:rsid w:val="00416E55"/>
  </w:style>
  <w:style w:type="character" w:customStyle="1" w:styleId="date-display-start">
    <w:name w:val="date-display-start"/>
    <w:basedOn w:val="DefaultParagraphFont"/>
    <w:rsid w:val="00416E55"/>
  </w:style>
  <w:style w:type="character" w:customStyle="1" w:styleId="date-display-end">
    <w:name w:val="date-display-end"/>
    <w:basedOn w:val="DefaultParagraphFont"/>
    <w:rsid w:val="00416E55"/>
  </w:style>
  <w:style w:type="character" w:customStyle="1" w:styleId="date-display-separator">
    <w:name w:val="date-display-separator"/>
    <w:basedOn w:val="DefaultParagraphFont"/>
    <w:rsid w:val="00416E55"/>
  </w:style>
  <w:style w:type="character" w:customStyle="1" w:styleId="field-content2">
    <w:name w:val="field-content2"/>
    <w:basedOn w:val="DefaultParagraphFont"/>
    <w:rsid w:val="00416E55"/>
  </w:style>
  <w:style w:type="character" w:styleId="CommentReference">
    <w:name w:val="annotation reference"/>
    <w:basedOn w:val="DefaultParagraphFont"/>
    <w:semiHidden/>
    <w:unhideWhenUsed/>
    <w:rsid w:val="00416E55"/>
    <w:rPr>
      <w:sz w:val="16"/>
      <w:szCs w:val="16"/>
    </w:rPr>
  </w:style>
  <w:style w:type="paragraph" w:styleId="CommentText">
    <w:name w:val="annotation text"/>
    <w:basedOn w:val="Normal"/>
    <w:link w:val="CommentTextChar"/>
    <w:semiHidden/>
    <w:unhideWhenUsed/>
    <w:rsid w:val="00416E55"/>
    <w:rPr>
      <w:szCs w:val="20"/>
    </w:rPr>
  </w:style>
  <w:style w:type="character" w:customStyle="1" w:styleId="CommentTextChar">
    <w:name w:val="Comment Text Char"/>
    <w:basedOn w:val="DefaultParagraphFont"/>
    <w:link w:val="CommentText"/>
    <w:semiHidden/>
    <w:rsid w:val="00416E55"/>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16E55"/>
    <w:rPr>
      <w:b/>
      <w:bCs/>
    </w:rPr>
  </w:style>
  <w:style w:type="character" w:customStyle="1" w:styleId="CommentSubjectChar">
    <w:name w:val="Comment Subject Char"/>
    <w:basedOn w:val="CommentTextChar"/>
    <w:link w:val="CommentSubject"/>
    <w:uiPriority w:val="99"/>
    <w:semiHidden/>
    <w:rsid w:val="00416E55"/>
    <w:rPr>
      <w:b/>
      <w:bCs/>
    </w:rPr>
  </w:style>
  <w:style w:type="paragraph" w:styleId="BalloonText">
    <w:name w:val="Balloon Text"/>
    <w:basedOn w:val="Normal"/>
    <w:link w:val="BalloonTextChar"/>
    <w:uiPriority w:val="99"/>
    <w:semiHidden/>
    <w:unhideWhenUsed/>
    <w:rsid w:val="00416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55"/>
    <w:rPr>
      <w:rFonts w:ascii="Tahoma" w:hAnsi="Tahoma" w:cs="Tahoma"/>
      <w:sz w:val="16"/>
      <w:szCs w:val="16"/>
      <w:lang w:eastAsia="en-US"/>
    </w:rPr>
  </w:style>
  <w:style w:type="character" w:customStyle="1" w:styleId="at5">
    <w:name w:val="a__t5"/>
    <w:basedOn w:val="DefaultParagraphFont"/>
    <w:rsid w:val="00416E55"/>
  </w:style>
  <w:style w:type="paragraph" w:customStyle="1" w:styleId="PIText">
    <w:name w:val="PI Text"/>
    <w:basedOn w:val="BodyTextIndent"/>
    <w:link w:val="PITextZchn"/>
    <w:rsid w:val="00416E55"/>
    <w:pPr>
      <w:spacing w:after="0" w:line="360" w:lineRule="auto"/>
      <w:ind w:left="0" w:right="-2"/>
      <w:jc w:val="both"/>
    </w:pPr>
    <w:rPr>
      <w:rFonts w:ascii="Univers" w:eastAsia="Times New Roman" w:hAnsi="Univers"/>
      <w:sz w:val="22"/>
      <w:szCs w:val="24"/>
      <w:lang w:val="de-DE" w:eastAsia="de-DE"/>
    </w:rPr>
  </w:style>
  <w:style w:type="character" w:customStyle="1" w:styleId="PITextZchn">
    <w:name w:val="PI Text Zchn"/>
    <w:basedOn w:val="DefaultParagraphFont"/>
    <w:link w:val="PIText"/>
    <w:locked/>
    <w:rsid w:val="00416E55"/>
    <w:rPr>
      <w:rFonts w:ascii="Univers" w:eastAsia="Times New Roman" w:hAnsi="Univers"/>
      <w:sz w:val="22"/>
      <w:szCs w:val="24"/>
      <w:lang w:val="de-DE" w:eastAsia="de-DE"/>
    </w:rPr>
  </w:style>
  <w:style w:type="paragraph" w:styleId="BodyTextIndent">
    <w:name w:val="Body Text Indent"/>
    <w:basedOn w:val="Normal"/>
    <w:link w:val="BodyTextIndentChar"/>
    <w:uiPriority w:val="99"/>
    <w:semiHidden/>
    <w:unhideWhenUsed/>
    <w:rsid w:val="00416E55"/>
    <w:pPr>
      <w:spacing w:after="120"/>
      <w:ind w:left="283"/>
    </w:pPr>
  </w:style>
  <w:style w:type="character" w:customStyle="1" w:styleId="BodyTextIndentChar">
    <w:name w:val="Body Text Indent Char"/>
    <w:basedOn w:val="DefaultParagraphFont"/>
    <w:link w:val="BodyTextIndent"/>
    <w:uiPriority w:val="99"/>
    <w:semiHidden/>
    <w:rsid w:val="00416E55"/>
    <w:rPr>
      <w:rFonts w:ascii="Georgia" w:hAnsi="Georgia"/>
      <w:szCs w:val="22"/>
      <w:lang w:eastAsia="en-US"/>
    </w:rPr>
  </w:style>
  <w:style w:type="paragraph" w:styleId="Quote">
    <w:name w:val="Quote"/>
    <w:basedOn w:val="ReleaseBodyText"/>
    <w:link w:val="QuoteChar"/>
    <w:qFormat/>
    <w:rsid w:val="00416E55"/>
    <w:pPr>
      <w:ind w:left="540"/>
    </w:pPr>
  </w:style>
  <w:style w:type="character" w:customStyle="1" w:styleId="QuoteChar">
    <w:name w:val="Quote Char"/>
    <w:basedOn w:val="DefaultParagraphFont"/>
    <w:link w:val="Quote"/>
    <w:rsid w:val="00416E55"/>
    <w:rPr>
      <w:rFonts w:ascii="Arial" w:eastAsia="Times New Roman" w:hAnsi="Arial" w:cs="Arial"/>
      <w:lang w:eastAsia="en-US"/>
    </w:rPr>
  </w:style>
  <w:style w:type="paragraph" w:customStyle="1" w:styleId="Listsub-heading">
    <w:name w:val="List sub-heading"/>
    <w:basedOn w:val="Normal"/>
    <w:rsid w:val="00416E55"/>
    <w:pPr>
      <w:spacing w:line="240" w:lineRule="auto"/>
    </w:pPr>
    <w:rPr>
      <w:rFonts w:ascii="Arial" w:eastAsia="Times New Roman" w:hAnsi="Arial" w:cs="Arial"/>
      <w:b/>
      <w:i/>
      <w:szCs w:val="20"/>
    </w:rPr>
  </w:style>
  <w:style w:type="paragraph" w:customStyle="1" w:styleId="Listbullet">
    <w:name w:val="List bullet"/>
    <w:basedOn w:val="Normal"/>
    <w:rsid w:val="00416E55"/>
    <w:pPr>
      <w:numPr>
        <w:numId w:val="19"/>
      </w:numPr>
      <w:spacing w:line="240" w:lineRule="auto"/>
    </w:pPr>
    <w:rPr>
      <w:rFonts w:ascii="Arial" w:eastAsia="Times New Roman" w:hAnsi="Arial" w:cs="Arial"/>
      <w:szCs w:val="20"/>
    </w:rPr>
  </w:style>
  <w:style w:type="paragraph" w:styleId="NormalWeb">
    <w:name w:val="Normal (Web)"/>
    <w:basedOn w:val="Normal"/>
    <w:uiPriority w:val="99"/>
    <w:semiHidden/>
    <w:unhideWhenUsed/>
    <w:rsid w:val="00416E5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416E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6E55"/>
    <w:pPr>
      <w:autoSpaceDE w:val="0"/>
      <w:autoSpaceDN w:val="0"/>
      <w:adjustRightInd w:val="0"/>
    </w:pPr>
    <w:rPr>
      <w:rFonts w:ascii="ITC Charter Com" w:hAnsi="ITC Charter Com" w:cs="ITC Charter Com"/>
      <w:color w:val="000000"/>
      <w:sz w:val="24"/>
      <w:szCs w:val="24"/>
    </w:rPr>
  </w:style>
  <w:style w:type="paragraph" w:customStyle="1" w:styleId="Pa2">
    <w:name w:val="Pa2"/>
    <w:basedOn w:val="Default"/>
    <w:next w:val="Default"/>
    <w:uiPriority w:val="99"/>
    <w:rsid w:val="00416E55"/>
    <w:pPr>
      <w:spacing w:line="19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6977752">
      <w:bodyDiv w:val="1"/>
      <w:marLeft w:val="0"/>
      <w:marRight w:val="0"/>
      <w:marTop w:val="0"/>
      <w:marBottom w:val="0"/>
      <w:divBdr>
        <w:top w:val="none" w:sz="0" w:space="0" w:color="auto"/>
        <w:left w:val="none" w:sz="0" w:space="0" w:color="auto"/>
        <w:bottom w:val="none" w:sz="0" w:space="0" w:color="auto"/>
        <w:right w:val="none" w:sz="0" w:space="0" w:color="auto"/>
      </w:divBdr>
    </w:div>
    <w:div w:id="491676989">
      <w:bodyDiv w:val="1"/>
      <w:marLeft w:val="0"/>
      <w:marRight w:val="0"/>
      <w:marTop w:val="0"/>
      <w:marBottom w:val="0"/>
      <w:divBdr>
        <w:top w:val="none" w:sz="0" w:space="0" w:color="auto"/>
        <w:left w:val="none" w:sz="0" w:space="0" w:color="auto"/>
        <w:bottom w:val="none" w:sz="0" w:space="0" w:color="auto"/>
        <w:right w:val="none" w:sz="0" w:space="0" w:color="auto"/>
      </w:divBdr>
    </w:div>
    <w:div w:id="680008817">
      <w:bodyDiv w:val="1"/>
      <w:marLeft w:val="0"/>
      <w:marRight w:val="0"/>
      <w:marTop w:val="0"/>
      <w:marBottom w:val="0"/>
      <w:divBdr>
        <w:top w:val="none" w:sz="0" w:space="0" w:color="auto"/>
        <w:left w:val="none" w:sz="0" w:space="0" w:color="auto"/>
        <w:bottom w:val="none" w:sz="0" w:space="0" w:color="auto"/>
        <w:right w:val="none" w:sz="0" w:space="0" w:color="auto"/>
      </w:divBdr>
    </w:div>
    <w:div w:id="909654946">
      <w:bodyDiv w:val="1"/>
      <w:marLeft w:val="0"/>
      <w:marRight w:val="0"/>
      <w:marTop w:val="0"/>
      <w:marBottom w:val="0"/>
      <w:divBdr>
        <w:top w:val="none" w:sz="0" w:space="0" w:color="auto"/>
        <w:left w:val="none" w:sz="0" w:space="0" w:color="auto"/>
        <w:bottom w:val="none" w:sz="0" w:space="0" w:color="auto"/>
        <w:right w:val="none" w:sz="0" w:space="0" w:color="auto"/>
      </w:divBdr>
      <w:divsChild>
        <w:div w:id="1762026104">
          <w:marLeft w:val="0"/>
          <w:marRight w:val="0"/>
          <w:marTop w:val="0"/>
          <w:marBottom w:val="0"/>
          <w:divBdr>
            <w:top w:val="none" w:sz="0" w:space="0" w:color="auto"/>
            <w:left w:val="none" w:sz="0" w:space="0" w:color="auto"/>
            <w:bottom w:val="none" w:sz="0" w:space="0" w:color="auto"/>
            <w:right w:val="none" w:sz="0" w:space="0" w:color="auto"/>
          </w:divBdr>
          <w:divsChild>
            <w:div w:id="1745764616">
              <w:marLeft w:val="0"/>
              <w:marRight w:val="0"/>
              <w:marTop w:val="0"/>
              <w:marBottom w:val="0"/>
              <w:divBdr>
                <w:top w:val="none" w:sz="0" w:space="0" w:color="auto"/>
                <w:left w:val="none" w:sz="0" w:space="0" w:color="auto"/>
                <w:bottom w:val="none" w:sz="0" w:space="0" w:color="auto"/>
                <w:right w:val="none" w:sz="0" w:space="0" w:color="auto"/>
              </w:divBdr>
              <w:divsChild>
                <w:div w:id="1700161372">
                  <w:marLeft w:val="0"/>
                  <w:marRight w:val="0"/>
                  <w:marTop w:val="0"/>
                  <w:marBottom w:val="0"/>
                  <w:divBdr>
                    <w:top w:val="none" w:sz="0" w:space="0" w:color="auto"/>
                    <w:left w:val="none" w:sz="0" w:space="0" w:color="auto"/>
                    <w:bottom w:val="none" w:sz="0" w:space="0" w:color="auto"/>
                    <w:right w:val="none" w:sz="0" w:space="0" w:color="auto"/>
                  </w:divBdr>
                  <w:divsChild>
                    <w:div w:id="1997830722">
                      <w:marLeft w:val="0"/>
                      <w:marRight w:val="0"/>
                      <w:marTop w:val="0"/>
                      <w:marBottom w:val="0"/>
                      <w:divBdr>
                        <w:top w:val="none" w:sz="0" w:space="0" w:color="auto"/>
                        <w:left w:val="none" w:sz="0" w:space="0" w:color="auto"/>
                        <w:bottom w:val="none" w:sz="0" w:space="0" w:color="auto"/>
                        <w:right w:val="none" w:sz="0" w:space="0" w:color="auto"/>
                      </w:divBdr>
                      <w:divsChild>
                        <w:div w:id="879246667">
                          <w:marLeft w:val="0"/>
                          <w:marRight w:val="0"/>
                          <w:marTop w:val="0"/>
                          <w:marBottom w:val="0"/>
                          <w:divBdr>
                            <w:top w:val="none" w:sz="0" w:space="0" w:color="auto"/>
                            <w:left w:val="none" w:sz="0" w:space="0" w:color="auto"/>
                            <w:bottom w:val="none" w:sz="0" w:space="0" w:color="auto"/>
                            <w:right w:val="none" w:sz="0" w:space="0" w:color="auto"/>
                          </w:divBdr>
                          <w:divsChild>
                            <w:div w:id="10548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175259">
      <w:bodyDiv w:val="1"/>
      <w:marLeft w:val="0"/>
      <w:marRight w:val="0"/>
      <w:marTop w:val="0"/>
      <w:marBottom w:val="0"/>
      <w:divBdr>
        <w:top w:val="none" w:sz="0" w:space="0" w:color="auto"/>
        <w:left w:val="none" w:sz="0" w:space="0" w:color="auto"/>
        <w:bottom w:val="none" w:sz="0" w:space="0" w:color="auto"/>
        <w:right w:val="none" w:sz="0" w:space="0" w:color="auto"/>
      </w:divBdr>
    </w:div>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632886">
      <w:bodyDiv w:val="1"/>
      <w:marLeft w:val="0"/>
      <w:marRight w:val="0"/>
      <w:marTop w:val="0"/>
      <w:marBottom w:val="0"/>
      <w:divBdr>
        <w:top w:val="none" w:sz="0" w:space="0" w:color="auto"/>
        <w:left w:val="none" w:sz="0" w:space="0" w:color="auto"/>
        <w:bottom w:val="none" w:sz="0" w:space="0" w:color="auto"/>
        <w:right w:val="none" w:sz="0" w:space="0" w:color="auto"/>
      </w:divBdr>
    </w:div>
    <w:div w:id="1587419738">
      <w:bodyDiv w:val="1"/>
      <w:marLeft w:val="0"/>
      <w:marRight w:val="0"/>
      <w:marTop w:val="0"/>
      <w:marBottom w:val="0"/>
      <w:divBdr>
        <w:top w:val="none" w:sz="0" w:space="0" w:color="auto"/>
        <w:left w:val="none" w:sz="0" w:space="0" w:color="auto"/>
        <w:bottom w:val="none" w:sz="0" w:space="0" w:color="auto"/>
        <w:right w:val="none" w:sz="0" w:space="0" w:color="auto"/>
      </w:divBdr>
    </w:div>
    <w:div w:id="1618636415">
      <w:bodyDiv w:val="1"/>
      <w:marLeft w:val="0"/>
      <w:marRight w:val="0"/>
      <w:marTop w:val="0"/>
      <w:marBottom w:val="0"/>
      <w:divBdr>
        <w:top w:val="none" w:sz="0" w:space="0" w:color="auto"/>
        <w:left w:val="none" w:sz="0" w:space="0" w:color="auto"/>
        <w:bottom w:val="none" w:sz="0" w:space="0" w:color="auto"/>
        <w:right w:val="none" w:sz="0" w:space="0" w:color="auto"/>
      </w:divBdr>
    </w:div>
    <w:div w:id="1844081770">
      <w:bodyDiv w:val="1"/>
      <w:marLeft w:val="0"/>
      <w:marRight w:val="0"/>
      <w:marTop w:val="0"/>
      <w:marBottom w:val="0"/>
      <w:divBdr>
        <w:top w:val="none" w:sz="0" w:space="0" w:color="auto"/>
        <w:left w:val="none" w:sz="0" w:space="0" w:color="auto"/>
        <w:bottom w:val="none" w:sz="0" w:space="0" w:color="auto"/>
        <w:right w:val="none" w:sz="0" w:space="0" w:color="auto"/>
      </w:divBdr>
    </w:div>
    <w:div w:id="1864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uk/workingcapit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899D-53BE-42AA-BB02-9EEA00BF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3</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8196</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Hollingdale</dc:creator>
  <cp:keywords/>
  <cp:lastModifiedBy>svanpelt001</cp:lastModifiedBy>
  <cp:revision>2</cp:revision>
  <cp:lastPrinted>2012-09-17T14:14:00Z</cp:lastPrinted>
  <dcterms:created xsi:type="dcterms:W3CDTF">2012-09-17T15:11:00Z</dcterms:created>
  <dcterms:modified xsi:type="dcterms:W3CDTF">2012-09-17T15:11:00Z</dcterms:modified>
</cp:coreProperties>
</file>