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82" w:rsidRDefault="00527265">
      <w:pPr>
        <w:tabs>
          <w:tab w:val="center" w:pos="4536"/>
        </w:tabs>
        <w:rPr>
          <w:i/>
        </w:rPr>
      </w:pPr>
      <w:r>
        <w:rPr>
          <w:i/>
          <w:noProof/>
          <w:lang w:val="en-US"/>
        </w:rPr>
        <mc:AlternateContent>
          <mc:Choice Requires="wps">
            <w:drawing>
              <wp:anchor distT="0" distB="0" distL="114300" distR="114300" simplePos="0" relativeHeight="251657216" behindDoc="0" locked="1" layoutInCell="1" allowOverlap="1">
                <wp:simplePos x="0" y="0"/>
                <wp:positionH relativeFrom="page">
                  <wp:posOffset>1115695</wp:posOffset>
                </wp:positionH>
                <wp:positionV relativeFrom="page">
                  <wp:posOffset>9792335</wp:posOffset>
                </wp:positionV>
                <wp:extent cx="5905500" cy="144145"/>
                <wp:effectExtent l="10795" t="10160" r="8255" b="7620"/>
                <wp:wrapNone/>
                <wp:docPr id="5"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7.85pt;margin-top:771.05pt;width:46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BzJysx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r w:rsidR="006E2603">
        <w:rPr>
          <w:i/>
        </w:rPr>
        <w:tab/>
      </w:r>
    </w:p>
    <w:p w:rsidR="00704F82" w:rsidRDefault="00704F82">
      <w:pPr>
        <w:pStyle w:val="Title"/>
        <w:rPr>
          <w:rFonts w:ascii="Georgia" w:hAnsi="Georgia"/>
        </w:rPr>
      </w:pPr>
    </w:p>
    <w:p w:rsidR="00704F82" w:rsidRDefault="006E2603">
      <w:pPr>
        <w:pStyle w:val="Title"/>
        <w:rPr>
          <w:rFonts w:ascii="Georgia" w:hAnsi="Georgia"/>
        </w:rPr>
      </w:pPr>
      <w:r>
        <w:rPr>
          <w:rFonts w:ascii="Georgia" w:hAnsi="Georgia"/>
        </w:rPr>
        <w:t>Press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5637"/>
      </w:tblGrid>
      <w:tr w:rsidR="00704F82">
        <w:trPr>
          <w:trHeight w:val="568"/>
        </w:trPr>
        <w:tc>
          <w:tcPr>
            <w:tcW w:w="2268" w:type="dxa"/>
            <w:shd w:val="clear" w:color="auto" w:fill="auto"/>
          </w:tcPr>
          <w:p w:rsidR="00704F82" w:rsidRDefault="006E2603">
            <w:pPr>
              <w:rPr>
                <w:i/>
              </w:rPr>
            </w:pPr>
            <w:r>
              <w:rPr>
                <w:i/>
              </w:rPr>
              <w:t>Date</w:t>
            </w:r>
          </w:p>
        </w:tc>
        <w:tc>
          <w:tcPr>
            <w:tcW w:w="5637" w:type="dxa"/>
            <w:shd w:val="clear" w:color="auto" w:fill="auto"/>
          </w:tcPr>
          <w:p w:rsidR="00704F82" w:rsidRDefault="006E2603">
            <w:pPr>
              <w:rPr>
                <w:b/>
              </w:rPr>
            </w:pPr>
            <w:r>
              <w:rPr>
                <w:b/>
              </w:rPr>
              <w:t>Embargoed to 00.01am GMT 7 March 2012</w:t>
            </w:r>
          </w:p>
          <w:p w:rsidR="00704F82" w:rsidRDefault="00704F82">
            <w:pPr>
              <w:rPr>
                <w:b/>
              </w:rPr>
            </w:pPr>
          </w:p>
        </w:tc>
      </w:tr>
      <w:tr w:rsidR="00704F82">
        <w:tc>
          <w:tcPr>
            <w:tcW w:w="2268" w:type="dxa"/>
            <w:shd w:val="clear" w:color="auto" w:fill="auto"/>
          </w:tcPr>
          <w:p w:rsidR="00704F82" w:rsidRDefault="006E2603">
            <w:pPr>
              <w:rPr>
                <w:i/>
              </w:rPr>
            </w:pPr>
            <w:r>
              <w:rPr>
                <w:i/>
              </w:rPr>
              <w:t>Contact</w:t>
            </w:r>
          </w:p>
        </w:tc>
        <w:tc>
          <w:tcPr>
            <w:tcW w:w="5637" w:type="dxa"/>
            <w:shd w:val="clear" w:color="auto" w:fill="auto"/>
          </w:tcPr>
          <w:p w:rsidR="00704F82" w:rsidRDefault="006E2603">
            <w:pPr>
              <w:tabs>
                <w:tab w:val="left" w:pos="1440"/>
              </w:tabs>
              <w:ind w:left="1440" w:hanging="1440"/>
              <w:rPr>
                <w:rFonts w:cs="Arial"/>
                <w:bCs/>
                <w:szCs w:val="20"/>
                <w:lang w:val="it-IT"/>
              </w:rPr>
            </w:pPr>
            <w:r>
              <w:rPr>
                <w:rFonts w:cs="Arial"/>
                <w:bCs/>
                <w:szCs w:val="20"/>
                <w:lang w:val="it-IT"/>
              </w:rPr>
              <w:t>Rowena Mearley, PwC media relations</w:t>
            </w:r>
          </w:p>
          <w:p w:rsidR="00704F82" w:rsidRDefault="006E2603">
            <w:pPr>
              <w:autoSpaceDE w:val="0"/>
              <w:autoSpaceDN w:val="0"/>
              <w:adjustRightInd w:val="0"/>
              <w:spacing w:line="240" w:lineRule="auto"/>
              <w:rPr>
                <w:rFonts w:cs="Tms Rmn"/>
                <w:color w:val="000000"/>
                <w:szCs w:val="20"/>
                <w:lang w:eastAsia="en-GB"/>
              </w:rPr>
            </w:pPr>
            <w:r>
              <w:rPr>
                <w:rFonts w:cs="Tms Rmn"/>
                <w:color w:val="000000"/>
                <w:szCs w:val="20"/>
                <w:lang w:eastAsia="en-GB"/>
              </w:rPr>
              <w:t xml:space="preserve">Mob: + 44 (0) 7841 563 180  </w:t>
            </w:r>
          </w:p>
          <w:p w:rsidR="00704F82" w:rsidRDefault="006E2603">
            <w:pPr>
              <w:autoSpaceDE w:val="0"/>
              <w:autoSpaceDN w:val="0"/>
              <w:adjustRightInd w:val="0"/>
              <w:spacing w:line="240" w:lineRule="auto"/>
              <w:rPr>
                <w:lang w:val="it-IT"/>
              </w:rPr>
            </w:pPr>
            <w:r>
              <w:rPr>
                <w:rFonts w:cs="Tms Rmn"/>
                <w:color w:val="000000"/>
                <w:szCs w:val="20"/>
                <w:lang w:eastAsia="en-GB"/>
              </w:rPr>
              <w:t>Email: Rowena.mearley@uk.pwc.com</w:t>
            </w:r>
            <w:r>
              <w:rPr>
                <w:rFonts w:ascii="Tms Rmn" w:hAnsi="Tms Rmn" w:cs="Tms Rmn"/>
                <w:color w:val="000000"/>
                <w:sz w:val="18"/>
                <w:szCs w:val="18"/>
                <w:lang w:eastAsia="en-GB"/>
              </w:rPr>
              <w:t xml:space="preserve"> </w:t>
            </w:r>
          </w:p>
        </w:tc>
      </w:tr>
      <w:tr w:rsidR="00704F82">
        <w:trPr>
          <w:trHeight w:val="476"/>
        </w:trPr>
        <w:tc>
          <w:tcPr>
            <w:tcW w:w="2268" w:type="dxa"/>
            <w:shd w:val="clear" w:color="auto" w:fill="auto"/>
          </w:tcPr>
          <w:p w:rsidR="00704F82" w:rsidRDefault="00704F82">
            <w:pPr>
              <w:rPr>
                <w:i/>
              </w:rPr>
            </w:pPr>
          </w:p>
          <w:p w:rsidR="00704F82" w:rsidRDefault="006E2603">
            <w:pPr>
              <w:rPr>
                <w:i/>
              </w:rPr>
            </w:pPr>
            <w:r>
              <w:rPr>
                <w:i/>
              </w:rPr>
              <w:t xml:space="preserve">Pages </w:t>
            </w:r>
          </w:p>
        </w:tc>
        <w:tc>
          <w:tcPr>
            <w:tcW w:w="5637" w:type="dxa"/>
            <w:shd w:val="clear" w:color="auto" w:fill="auto"/>
          </w:tcPr>
          <w:p w:rsidR="00704F82" w:rsidRDefault="00704F82"/>
          <w:p w:rsidR="00704F82" w:rsidRDefault="006E2603">
            <w:r>
              <w:t>2</w:t>
            </w:r>
          </w:p>
          <w:p w:rsidR="00704F82" w:rsidRDefault="00704F82"/>
          <w:p w:rsidR="00704F82" w:rsidRDefault="00704F82"/>
        </w:tc>
      </w:tr>
    </w:tbl>
    <w:p w:rsidR="00704F82" w:rsidRDefault="00527265">
      <w:r>
        <w:rPr>
          <w:noProof/>
          <w:szCs w:val="20"/>
          <w:lang w:val="en-US"/>
        </w:rPr>
        <mc:AlternateContent>
          <mc:Choice Requires="wps">
            <w:drawing>
              <wp:anchor distT="0" distB="0" distL="114300" distR="114300" simplePos="0" relativeHeight="251658240" behindDoc="0" locked="0" layoutInCell="1" allowOverlap="1">
                <wp:simplePos x="0" y="0"/>
                <wp:positionH relativeFrom="page">
                  <wp:posOffset>1292860</wp:posOffset>
                </wp:positionH>
                <wp:positionV relativeFrom="page">
                  <wp:posOffset>3990340</wp:posOffset>
                </wp:positionV>
                <wp:extent cx="5779135" cy="0"/>
                <wp:effectExtent l="6985" t="8890" r="5080"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8pt,314.2pt" to="556.85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" strokecolor="#e36c0a">
                <w10:wrap anchorx="page" anchory="page"/>
              </v:line>
            </w:pict>
          </mc:Fallback>
        </mc:AlternateContent>
      </w:r>
      <w:r w:rsidR="006E2603">
        <w:rPr>
          <w:rFonts w:cs="Arial"/>
          <w:b/>
          <w:i/>
          <w:iCs/>
        </w:rPr>
        <w:br w:type="textWrapping" w:clear="all"/>
      </w:r>
    </w:p>
    <w:p w:rsidR="00704F82" w:rsidRDefault="006E2603">
      <w:pPr>
        <w:jc w:val="center"/>
        <w:rPr>
          <w:rFonts w:cs="Georgia"/>
          <w:b/>
          <w:bCs/>
          <w:color w:val="000000"/>
          <w:sz w:val="24"/>
          <w:szCs w:val="24"/>
          <w:lang w:eastAsia="en-GB"/>
        </w:rPr>
      </w:pPr>
      <w:r>
        <w:rPr>
          <w:b/>
          <w:sz w:val="24"/>
          <w:szCs w:val="24"/>
        </w:rPr>
        <w:t xml:space="preserve">Investors ramp up pressure on </w:t>
      </w:r>
      <w:r>
        <w:rPr>
          <w:rFonts w:cs="Georgia"/>
          <w:b/>
          <w:bCs/>
          <w:color w:val="000000"/>
          <w:sz w:val="24"/>
          <w:szCs w:val="24"/>
          <w:lang w:eastAsia="en-GB"/>
        </w:rPr>
        <w:t>Private Equity responsible investment</w:t>
      </w:r>
    </w:p>
    <w:p w:rsidR="00704F82" w:rsidRDefault="00704F82">
      <w:pPr>
        <w:rPr>
          <w:rFonts w:cs="Georgia"/>
          <w:bCs/>
          <w:i/>
          <w:color w:val="000000"/>
          <w:szCs w:val="20"/>
          <w:lang w:eastAsia="en-GB"/>
        </w:rPr>
      </w:pPr>
    </w:p>
    <w:p w:rsidR="00704F82" w:rsidRDefault="006E2603">
      <w:pPr>
        <w:pStyle w:val="BodyText"/>
        <w:numPr>
          <w:ilvl w:val="0"/>
          <w:numId w:val="24"/>
        </w:numPr>
        <w:spacing w:after="0" w:line="240" w:lineRule="auto"/>
        <w:ind w:left="714" w:hanging="357"/>
        <w:rPr>
          <w:i/>
        </w:rPr>
      </w:pPr>
      <w:r>
        <w:rPr>
          <w:i/>
        </w:rPr>
        <w:t>88% of Private Equity firms expect attention on responsible investment to increase in the next five years</w:t>
      </w:r>
    </w:p>
    <w:p w:rsidR="00704F82" w:rsidRDefault="006E2603">
      <w:pPr>
        <w:numPr>
          <w:ilvl w:val="0"/>
          <w:numId w:val="24"/>
        </w:numPr>
        <w:rPr>
          <w:rFonts w:cs="Georgia"/>
          <w:bCs/>
          <w:i/>
          <w:color w:val="000000"/>
          <w:szCs w:val="20"/>
          <w:lang w:eastAsia="en-GB"/>
        </w:rPr>
      </w:pPr>
      <w:r>
        <w:rPr>
          <w:rFonts w:cs="Georgia"/>
          <w:bCs/>
          <w:i/>
          <w:color w:val="000000"/>
          <w:szCs w:val="20"/>
          <w:lang w:eastAsia="en-GB"/>
        </w:rPr>
        <w:t xml:space="preserve">Firm’s actions risk not reaching Limited Partner requirements without the </w:t>
      </w:r>
      <w:r>
        <w:rPr>
          <w:rFonts w:cs="Georgia"/>
          <w:bCs/>
          <w:i/>
          <w:color w:val="000000"/>
          <w:szCs w:val="20"/>
          <w:lang w:eastAsia="en-GB"/>
        </w:rPr>
        <w:t>right policies, and capacity in place</w:t>
      </w:r>
    </w:p>
    <w:p w:rsidR="00704F82" w:rsidRDefault="006E2603">
      <w:pPr>
        <w:pStyle w:val="BodyText"/>
        <w:numPr>
          <w:ilvl w:val="0"/>
          <w:numId w:val="24"/>
        </w:numPr>
        <w:spacing w:after="0" w:line="240" w:lineRule="auto"/>
        <w:ind w:left="714" w:hanging="357"/>
        <w:rPr>
          <w:i/>
        </w:rPr>
      </w:pPr>
      <w:r>
        <w:rPr>
          <w:i/>
        </w:rPr>
        <w:t>Half of the Private Equity houses interviewed currently lack a policy on ESG issues or responsible investment</w:t>
      </w:r>
    </w:p>
    <w:p w:rsidR="00704F82" w:rsidRDefault="00704F82"/>
    <w:p w:rsidR="00704F82" w:rsidRDefault="006E2603">
      <w:pPr>
        <w:pStyle w:val="BodyText"/>
        <w:rPr>
          <w:rFonts w:cs="Courier"/>
          <w:color w:val="000000"/>
          <w:szCs w:val="20"/>
          <w:lang w:eastAsia="en-GB"/>
        </w:rPr>
      </w:pPr>
      <w:bookmarkStart w:id="0" w:name="_GoBack"/>
      <w:r>
        <w:t>The majority of Private Equity (PE) firms interviewed in a new study of responsible investment practices sa</w:t>
      </w:r>
      <w:r>
        <w:t xml:space="preserve">y </w:t>
      </w:r>
      <w:r>
        <w:rPr>
          <w:rFonts w:cs="Courier"/>
          <w:color w:val="000000"/>
          <w:szCs w:val="20"/>
          <w:lang w:eastAsia="en-GB"/>
        </w:rPr>
        <w:t xml:space="preserve">their action on environmental, social and governance issues (ESG) is set to increase over the next five years, with investor concern the main, or in some cases the only, driver for taking action. </w:t>
      </w:r>
    </w:p>
    <w:p w:rsidR="00704F82" w:rsidRDefault="006E2603">
      <w:pPr>
        <w:pStyle w:val="BodyText"/>
      </w:pPr>
      <w:r>
        <w:t>In the new report by PwC examining the PE industry’s acti</w:t>
      </w:r>
      <w:r>
        <w:t>ons on responsible investment issues, 17 private equity houses were interviewed. This included six of the top ten largest global firms, and a further eleven of th</w:t>
      </w:r>
      <w:r w:rsidR="00527265">
        <w:t xml:space="preserve">e top 50 largest global firms. </w:t>
      </w:r>
    </w:p>
    <w:p w:rsidR="00704F82" w:rsidRDefault="006E2603">
      <w:pPr>
        <w:pStyle w:val="BodyText"/>
      </w:pPr>
      <w:r>
        <w:t>The firms said investor concern had been ramping up in recent</w:t>
      </w:r>
      <w:r>
        <w:t xml:space="preserve"> years. While PE firms said they have made progress in measurement, reporting and evaluation, there is still some way to go to embedding rigorous, systematic measurement, monitoring and reporting on ESG strategy, action and value created. </w:t>
      </w:r>
      <w:r w:rsidR="00527265">
        <w:t>&lt;br&gt;&lt;br&gt;</w:t>
      </w:r>
    </w:p>
    <w:p w:rsidR="00704F82" w:rsidRDefault="006E2603">
      <w:pPr>
        <w:autoSpaceDE w:val="0"/>
        <w:autoSpaceDN w:val="0"/>
        <w:adjustRightInd w:val="0"/>
        <w:spacing w:line="240" w:lineRule="auto"/>
        <w:rPr>
          <w:rFonts w:cs="Arial"/>
          <w:bCs/>
        </w:rPr>
      </w:pPr>
      <w:r>
        <w:rPr>
          <w:rFonts w:cs="Arial"/>
          <w:bCs/>
        </w:rPr>
        <w:t>The report found</w:t>
      </w:r>
      <w:r>
        <w:rPr>
          <w:rFonts w:cs="Arial"/>
          <w:bCs/>
        </w:rPr>
        <w:t xml:space="preserve"> that some degree of ESG due diligence pre-acquisition was commonly reported, but locking the findings into the 100-day plan (or other targets set for the hold period) was not systematic. Unless this happens, the report warns that ESG action points risk be</w:t>
      </w:r>
      <w:r>
        <w:rPr>
          <w:rFonts w:cs="Arial"/>
          <w:bCs/>
        </w:rPr>
        <w:t xml:space="preserve">ing sidelined as niche issues, rather than being integrated into core business strategy and practice. </w:t>
      </w:r>
      <w:r w:rsidR="00527265">
        <w:rPr>
          <w:rFonts w:cs="Arial"/>
          <w:bCs/>
        </w:rPr>
        <w:t>&lt;br&gt;&lt;br&gt;</w:t>
      </w:r>
    </w:p>
    <w:p w:rsidR="00704F82" w:rsidRDefault="00704F82">
      <w:pPr>
        <w:autoSpaceDE w:val="0"/>
        <w:autoSpaceDN w:val="0"/>
        <w:adjustRightInd w:val="0"/>
        <w:spacing w:line="240" w:lineRule="auto"/>
        <w:rPr>
          <w:rFonts w:cs="Arial"/>
          <w:bCs/>
        </w:rPr>
      </w:pPr>
    </w:p>
    <w:p w:rsidR="00704F82" w:rsidRDefault="006E2603">
      <w:pPr>
        <w:autoSpaceDE w:val="0"/>
        <w:autoSpaceDN w:val="0"/>
        <w:adjustRightInd w:val="0"/>
        <w:spacing w:line="240" w:lineRule="auto"/>
        <w:rPr>
          <w:rFonts w:cs="Arial"/>
          <w:bCs/>
        </w:rPr>
      </w:pPr>
      <w:r>
        <w:rPr>
          <w:rFonts w:cs="Arial"/>
        </w:rPr>
        <w:t xml:space="preserve">Malcolm Preston, global leader, sustainability and climate change said: </w:t>
      </w:r>
      <w:r w:rsidR="00527265">
        <w:rPr>
          <w:rFonts w:cs="Arial"/>
        </w:rPr>
        <w:t>&lt;br&gt;&lt;br&gt;</w:t>
      </w:r>
    </w:p>
    <w:p w:rsidR="00704F82" w:rsidRDefault="00704F82">
      <w:pPr>
        <w:autoSpaceDE w:val="0"/>
        <w:autoSpaceDN w:val="0"/>
        <w:adjustRightInd w:val="0"/>
        <w:spacing w:line="240" w:lineRule="auto"/>
        <w:rPr>
          <w:rFonts w:cs="Arial"/>
        </w:rPr>
      </w:pPr>
    </w:p>
    <w:p w:rsidR="00704F82" w:rsidRDefault="00527265">
      <w:pPr>
        <w:autoSpaceDE w:val="0"/>
        <w:autoSpaceDN w:val="0"/>
        <w:adjustRightInd w:val="0"/>
        <w:spacing w:line="240" w:lineRule="auto"/>
        <w:ind w:left="720"/>
        <w:rPr>
          <w:rFonts w:cs="Arial"/>
        </w:rPr>
      </w:pPr>
      <w:r>
        <w:rPr>
          <w:rFonts w:cs="Arial"/>
          <w:bCs/>
        </w:rPr>
        <w:t>&lt;center&gt;</w:t>
      </w:r>
      <w:r w:rsidR="006E2603">
        <w:rPr>
          <w:rFonts w:cs="Arial"/>
          <w:bCs/>
        </w:rPr>
        <w:t>“It’s not surprising that only a handful of PE houses have found a way through</w:t>
      </w:r>
      <w:r w:rsidR="006E2603">
        <w:rPr>
          <w:rFonts w:cs="Arial"/>
          <w:bCs/>
        </w:rPr>
        <w:t xml:space="preserve"> this complex area. Th</w:t>
      </w:r>
      <w:r w:rsidR="006E2603">
        <w:rPr>
          <w:rFonts w:cs="Arial"/>
        </w:rPr>
        <w:t>e challenge is for the rest to keep up with this pace, because expectations are only going to get higher.”</w:t>
      </w:r>
      <w:r>
        <w:rPr>
          <w:rFonts w:cs="Arial"/>
        </w:rPr>
        <w:t>&lt;/center&gt;&lt;br&gt;&lt;br&gt;</w:t>
      </w:r>
    </w:p>
    <w:p w:rsidR="00704F82" w:rsidRDefault="006E2603">
      <w:pPr>
        <w:pStyle w:val="BodyText"/>
      </w:pPr>
      <w:r>
        <w:br/>
        <w:t>Several of those interviewed said a lack of internal capacity and expertise was a barrier for progress on ESG issue management</w:t>
      </w:r>
      <w:r>
        <w:t>, resulting in them having to focus on a sub-set of portfolio companies, rather than taking a portfolio-wide approach.</w:t>
      </w:r>
      <w:r w:rsidR="00527265">
        <w:t>&lt;br&gt;&lt;br&gt;&lt;ul&gt;</w:t>
      </w:r>
    </w:p>
    <w:p w:rsidR="00704F82" w:rsidRDefault="00527265">
      <w:pPr>
        <w:pStyle w:val="BodyText"/>
        <w:numPr>
          <w:ilvl w:val="0"/>
          <w:numId w:val="24"/>
        </w:numPr>
        <w:spacing w:after="0" w:line="240" w:lineRule="auto"/>
        <w:ind w:left="714" w:hanging="357"/>
      </w:pPr>
      <w:r>
        <w:lastRenderedPageBreak/>
        <w:t>&lt;li&gt;</w:t>
      </w:r>
      <w:r w:rsidR="006E2603">
        <w:t>Only two of five have put systems in place to measure value created from ESG activities</w:t>
      </w:r>
      <w:r>
        <w:t>&lt;br&gt;</w:t>
      </w:r>
    </w:p>
    <w:p w:rsidR="00704F82" w:rsidRDefault="00527265">
      <w:pPr>
        <w:pStyle w:val="BodyText"/>
        <w:numPr>
          <w:ilvl w:val="0"/>
          <w:numId w:val="24"/>
        </w:numPr>
        <w:autoSpaceDE w:val="0"/>
        <w:autoSpaceDN w:val="0"/>
        <w:adjustRightInd w:val="0"/>
        <w:spacing w:after="0" w:line="240" w:lineRule="auto"/>
        <w:ind w:left="714" w:hanging="357"/>
        <w:rPr>
          <w:rFonts w:cs="Arial"/>
        </w:rPr>
      </w:pPr>
      <w:r>
        <w:t>&lt;li&gt;</w:t>
      </w:r>
      <w:r w:rsidR="006E2603">
        <w:t>47% do not report publicly on their ESG programme</w:t>
      </w:r>
      <w:r w:rsidR="006E2603">
        <w:t>s</w:t>
      </w:r>
      <w:r>
        <w:t>&lt;br&gt;</w:t>
      </w:r>
    </w:p>
    <w:p w:rsidR="00704F82" w:rsidRDefault="00527265">
      <w:pPr>
        <w:pStyle w:val="BodyText"/>
        <w:numPr>
          <w:ilvl w:val="0"/>
          <w:numId w:val="24"/>
        </w:numPr>
        <w:autoSpaceDE w:val="0"/>
        <w:autoSpaceDN w:val="0"/>
        <w:adjustRightInd w:val="0"/>
        <w:spacing w:after="0" w:line="240" w:lineRule="auto"/>
        <w:ind w:left="714" w:hanging="357"/>
        <w:rPr>
          <w:rFonts w:cs="Arial"/>
        </w:rPr>
      </w:pPr>
      <w:r>
        <w:t>&lt;li&gt;</w:t>
      </w:r>
      <w:r w:rsidR="006E2603">
        <w:rPr>
          <w:rFonts w:cs="Arial"/>
          <w:bCs/>
        </w:rPr>
        <w:t>94% believe that ESG activities can create investment value, with many identifying c</w:t>
      </w:r>
      <w:r w:rsidR="006E2603">
        <w:rPr>
          <w:rFonts w:cs="Arial"/>
        </w:rPr>
        <w:t xml:space="preserve">ost savings, incremental revenue generation through new products, or enhanced reputation </w:t>
      </w:r>
      <w:r>
        <w:t>&lt;br&gt;</w:t>
      </w:r>
    </w:p>
    <w:p w:rsidR="00704F82" w:rsidRDefault="00527265">
      <w:pPr>
        <w:pStyle w:val="BodyText"/>
        <w:numPr>
          <w:ilvl w:val="0"/>
          <w:numId w:val="24"/>
        </w:numPr>
        <w:spacing w:after="0" w:line="240" w:lineRule="auto"/>
        <w:ind w:left="714" w:hanging="357"/>
      </w:pPr>
      <w:r>
        <w:t>&lt;li&gt;</w:t>
      </w:r>
      <w:r w:rsidR="006E2603">
        <w:t xml:space="preserve">88% expect Limited Partner attention to ESG issues to increase in the next five </w:t>
      </w:r>
      <w:r w:rsidR="006E2603">
        <w:t>years</w:t>
      </w:r>
      <w:r>
        <w:t>&lt;br&gt;</w:t>
      </w:r>
    </w:p>
    <w:p w:rsidR="00704F82" w:rsidRDefault="00527265">
      <w:pPr>
        <w:pStyle w:val="BodyText"/>
        <w:numPr>
          <w:ilvl w:val="0"/>
          <w:numId w:val="24"/>
        </w:numPr>
        <w:spacing w:after="0" w:line="240" w:lineRule="auto"/>
        <w:ind w:left="714" w:hanging="357"/>
      </w:pPr>
      <w:r>
        <w:t>&lt;li&gt;</w:t>
      </w:r>
      <w:r w:rsidR="006E2603">
        <w:t>Half of the Private Equity houses interviewed lack a policy on ESG issues or responsible investment</w:t>
      </w:r>
      <w:r>
        <w:t>&lt;br&gt;</w:t>
      </w:r>
    </w:p>
    <w:p w:rsidR="00704F82" w:rsidRDefault="00527265">
      <w:pPr>
        <w:pStyle w:val="BodyText"/>
        <w:numPr>
          <w:ilvl w:val="0"/>
          <w:numId w:val="24"/>
        </w:numPr>
        <w:spacing w:after="0" w:line="240" w:lineRule="auto"/>
        <w:ind w:left="714" w:hanging="357"/>
      </w:pPr>
      <w:r>
        <w:t>&lt;li&gt;</w:t>
      </w:r>
      <w:r w:rsidR="006E2603">
        <w:t>Risk management, investor interest, cost savings, and regulation were amongst the most commonly cited drivers for action</w:t>
      </w:r>
      <w:r>
        <w:t>&lt;br&gt;</w:t>
      </w:r>
    </w:p>
    <w:p w:rsidR="00704F82" w:rsidRDefault="00527265">
      <w:pPr>
        <w:pStyle w:val="BodyText"/>
        <w:numPr>
          <w:ilvl w:val="0"/>
          <w:numId w:val="24"/>
        </w:numPr>
        <w:autoSpaceDE w:val="0"/>
        <w:autoSpaceDN w:val="0"/>
        <w:adjustRightInd w:val="0"/>
        <w:spacing w:after="0" w:line="240" w:lineRule="auto"/>
        <w:ind w:left="714" w:hanging="357"/>
        <w:rPr>
          <w:rFonts w:cs="Arial"/>
        </w:rPr>
      </w:pPr>
      <w:r>
        <w:t>&lt;li&gt;</w:t>
      </w:r>
      <w:r w:rsidR="006E2603">
        <w:rPr>
          <w:rFonts w:cs="Arial"/>
        </w:rPr>
        <w:t>There was no correlation betw</w:t>
      </w:r>
      <w:r w:rsidR="006E2603">
        <w:rPr>
          <w:rFonts w:cs="Arial"/>
        </w:rPr>
        <w:t>een the size of the PE house and the maturity of their RI approach. Similarly, there was no clear difference in RI approach between listed and non-listed PE houses</w:t>
      </w:r>
      <w:r>
        <w:rPr>
          <w:rFonts w:cs="Arial"/>
        </w:rPr>
        <w:t>&lt;/ul&gt;&lt;br&gt;&lt;br&gt;</w:t>
      </w:r>
    </w:p>
    <w:p w:rsidR="00704F82" w:rsidRDefault="00704F82">
      <w:pPr>
        <w:autoSpaceDE w:val="0"/>
        <w:autoSpaceDN w:val="0"/>
        <w:adjustRightInd w:val="0"/>
        <w:spacing w:line="240" w:lineRule="auto"/>
        <w:rPr>
          <w:rFonts w:cs="Arial"/>
          <w:bCs/>
        </w:rPr>
      </w:pPr>
    </w:p>
    <w:p w:rsidR="00704F82" w:rsidRDefault="006E2603">
      <w:pPr>
        <w:autoSpaceDE w:val="0"/>
        <w:autoSpaceDN w:val="0"/>
        <w:adjustRightInd w:val="0"/>
        <w:spacing w:line="240" w:lineRule="auto"/>
        <w:rPr>
          <w:rFonts w:cs="Helv"/>
          <w:color w:val="000000"/>
          <w:szCs w:val="20"/>
          <w:lang w:eastAsia="en-GB"/>
        </w:rPr>
      </w:pPr>
      <w:r>
        <w:t xml:space="preserve">In the UK, the influence of institutional investment in Private Equity could have an important impact said </w:t>
      </w:r>
      <w:r>
        <w:rPr>
          <w:rFonts w:cs="Helv"/>
          <w:color w:val="000000"/>
          <w:szCs w:val="20"/>
          <w:lang w:eastAsia="en-GB"/>
        </w:rPr>
        <w:t>Andrew Evans, pensions partner, PwC UK:</w:t>
      </w:r>
      <w:r w:rsidR="00527265" w:rsidRPr="00527265">
        <w:t xml:space="preserve"> </w:t>
      </w:r>
      <w:r w:rsidR="00527265">
        <w:t>&lt;br&gt;&lt;br&gt;</w:t>
      </w:r>
    </w:p>
    <w:p w:rsidR="00704F82" w:rsidRDefault="00704F82">
      <w:pPr>
        <w:autoSpaceDE w:val="0"/>
        <w:autoSpaceDN w:val="0"/>
        <w:adjustRightInd w:val="0"/>
        <w:spacing w:line="240" w:lineRule="auto"/>
        <w:rPr>
          <w:rFonts w:cs="Helv"/>
          <w:color w:val="000000"/>
          <w:szCs w:val="20"/>
          <w:lang w:eastAsia="en-GB"/>
        </w:rPr>
      </w:pPr>
    </w:p>
    <w:p w:rsidR="00704F82" w:rsidRDefault="00527265">
      <w:pPr>
        <w:autoSpaceDE w:val="0"/>
        <w:autoSpaceDN w:val="0"/>
        <w:adjustRightInd w:val="0"/>
        <w:spacing w:line="240" w:lineRule="auto"/>
        <w:ind w:left="720"/>
        <w:rPr>
          <w:rFonts w:cs="Helv"/>
          <w:color w:val="000000"/>
          <w:szCs w:val="20"/>
          <w:lang w:eastAsia="en-GB"/>
        </w:rPr>
      </w:pPr>
      <w:r>
        <w:rPr>
          <w:rFonts w:cs="Helv"/>
          <w:color w:val="000000"/>
          <w:szCs w:val="20"/>
          <w:lang w:eastAsia="en-GB"/>
        </w:rPr>
        <w:t>&lt;center&gt;</w:t>
      </w:r>
      <w:r w:rsidR="006E2603">
        <w:rPr>
          <w:rFonts w:cs="Helv"/>
          <w:color w:val="000000"/>
          <w:szCs w:val="20"/>
          <w:lang w:eastAsia="en-GB"/>
        </w:rPr>
        <w:t>“Allocations of funds to private equity in some pension schemes is</w:t>
      </w:r>
      <w:r w:rsidR="006E2603">
        <w:rPr>
          <w:rFonts w:cs="Helv"/>
          <w:color w:val="000000"/>
          <w:szCs w:val="20"/>
          <w:lang w:eastAsia="en-GB"/>
        </w:rPr>
        <w:t xml:space="preserve"> increasing and Scheme Trustees are being encouraged by various parties, including government, to ensure that they act as responsible investors. PE, like other sources of sustainable investment, can make a real virtue of delivering good returns over a long</w:t>
      </w:r>
      <w:r w:rsidR="006E2603">
        <w:rPr>
          <w:rFonts w:cs="Helv"/>
          <w:color w:val="000000"/>
          <w:szCs w:val="20"/>
          <w:lang w:eastAsia="en-GB"/>
        </w:rPr>
        <w:t>er than usual time horizon. It matches pension investment plans, but the demands for data and evidence will be high.”</w:t>
      </w:r>
      <w:r>
        <w:rPr>
          <w:rFonts w:cs="Helv"/>
          <w:color w:val="000000"/>
          <w:szCs w:val="20"/>
          <w:lang w:eastAsia="en-GB"/>
        </w:rPr>
        <w:t>&lt;/center&gt;&lt;br&gt;&lt;br&gt;</w:t>
      </w:r>
    </w:p>
    <w:p w:rsidR="00704F82" w:rsidRDefault="00704F82">
      <w:pPr>
        <w:autoSpaceDE w:val="0"/>
        <w:autoSpaceDN w:val="0"/>
        <w:adjustRightInd w:val="0"/>
        <w:spacing w:line="240" w:lineRule="auto"/>
        <w:rPr>
          <w:rFonts w:cs="Arial"/>
        </w:rPr>
      </w:pPr>
    </w:p>
    <w:p w:rsidR="00704F82" w:rsidRDefault="006E2603">
      <w:pPr>
        <w:autoSpaceDE w:val="0"/>
        <w:autoSpaceDN w:val="0"/>
        <w:adjustRightInd w:val="0"/>
        <w:spacing w:line="240" w:lineRule="auto"/>
        <w:rPr>
          <w:rFonts w:cs="Arial"/>
        </w:rPr>
      </w:pPr>
      <w:r>
        <w:rPr>
          <w:rFonts w:cs="Arial"/>
        </w:rPr>
        <w:t xml:space="preserve">Malcolm Preston, global leader, sustainability and climate change said: </w:t>
      </w:r>
      <w:r w:rsidR="00527265">
        <w:rPr>
          <w:rFonts w:cs="Arial"/>
        </w:rPr>
        <w:t>&lt;br&gt;&lt;br&gt;</w:t>
      </w:r>
    </w:p>
    <w:p w:rsidR="00704F82" w:rsidRDefault="00704F82">
      <w:pPr>
        <w:autoSpaceDE w:val="0"/>
        <w:autoSpaceDN w:val="0"/>
        <w:adjustRightInd w:val="0"/>
        <w:spacing w:line="240" w:lineRule="auto"/>
        <w:rPr>
          <w:rFonts w:cs="Arial"/>
        </w:rPr>
      </w:pPr>
    </w:p>
    <w:p w:rsidR="00704F82" w:rsidRDefault="00527265">
      <w:pPr>
        <w:autoSpaceDE w:val="0"/>
        <w:autoSpaceDN w:val="0"/>
        <w:adjustRightInd w:val="0"/>
        <w:spacing w:line="240" w:lineRule="auto"/>
        <w:ind w:left="720"/>
        <w:rPr>
          <w:rFonts w:cs="Arial"/>
          <w:lang w:eastAsia="en-GB"/>
        </w:rPr>
      </w:pPr>
      <w:r>
        <w:rPr>
          <w:rFonts w:cs="Arial"/>
        </w:rPr>
        <w:t>&lt;center&gt;</w:t>
      </w:r>
      <w:r w:rsidR="006E2603">
        <w:rPr>
          <w:rFonts w:cs="Arial"/>
        </w:rPr>
        <w:t>“Many PE houses commented on ESG as an</w:t>
      </w:r>
      <w:r w:rsidR="006E2603">
        <w:rPr>
          <w:rFonts w:cs="Arial"/>
          <w:lang w:eastAsia="en-GB"/>
        </w:rPr>
        <w:t xml:space="preserve"> ‘imprecise science’ that</w:t>
      </w:r>
      <w:r w:rsidR="006E2603">
        <w:rPr>
          <w:rFonts w:cs="Arial"/>
          <w:lang w:eastAsia="en-GB"/>
        </w:rPr>
        <w:t xml:space="preserve"> will evolve over time but in such a competitive fundraising environment, investors may not be so patient.”</w:t>
      </w:r>
      <w:r>
        <w:rPr>
          <w:rFonts w:cs="Arial"/>
          <w:lang w:eastAsia="en-GB"/>
        </w:rPr>
        <w:t>&lt;br&gt;&lt;br&gt;</w:t>
      </w:r>
    </w:p>
    <w:p w:rsidR="00704F82" w:rsidRDefault="006E2603">
      <w:pPr>
        <w:autoSpaceDE w:val="0"/>
        <w:autoSpaceDN w:val="0"/>
        <w:adjustRightInd w:val="0"/>
        <w:spacing w:line="240" w:lineRule="auto"/>
        <w:ind w:left="720"/>
        <w:rPr>
          <w:rFonts w:cs="Arial"/>
        </w:rPr>
      </w:pPr>
      <w:r>
        <w:rPr>
          <w:rFonts w:cs="Arial"/>
        </w:rPr>
        <w:t xml:space="preserve"> </w:t>
      </w:r>
    </w:p>
    <w:p w:rsidR="00704F82" w:rsidRDefault="006E2603">
      <w:pPr>
        <w:autoSpaceDE w:val="0"/>
        <w:autoSpaceDN w:val="0"/>
        <w:adjustRightInd w:val="0"/>
        <w:spacing w:line="240" w:lineRule="auto"/>
        <w:ind w:left="720"/>
        <w:rPr>
          <w:rFonts w:cs="Arial"/>
        </w:rPr>
      </w:pPr>
      <w:r>
        <w:rPr>
          <w:rFonts w:cs="Arial"/>
        </w:rPr>
        <w:t>“The reality is existing valuation frameworks can be used to quantify intangible and tangible returns from managing environmental and social issue</w:t>
      </w:r>
      <w:r>
        <w:rPr>
          <w:rFonts w:cs="Arial"/>
        </w:rPr>
        <w:t xml:space="preserve">s, but the prerequisite is access to data. It’s crucial that PE houses develop a systematic approach to collecting relevant ESG and financial data from their portfolio companies if they are to fully understand and report on the value ESG creates.” </w:t>
      </w:r>
      <w:r w:rsidR="00527265">
        <w:rPr>
          <w:rFonts w:cs="Arial"/>
        </w:rPr>
        <w:t>&lt;/center&gt;&lt;br&gt;&lt;br&gt;</w:t>
      </w:r>
    </w:p>
    <w:p w:rsidR="00704F82" w:rsidRDefault="00704F82">
      <w:pPr>
        <w:autoSpaceDE w:val="0"/>
        <w:autoSpaceDN w:val="0"/>
        <w:adjustRightInd w:val="0"/>
        <w:spacing w:line="240" w:lineRule="auto"/>
        <w:rPr>
          <w:rFonts w:cs="Arial"/>
          <w:lang w:eastAsia="en-GB"/>
        </w:rPr>
      </w:pPr>
    </w:p>
    <w:p w:rsidR="00704F82" w:rsidRDefault="00527265">
      <w:pPr>
        <w:pStyle w:val="BodyText"/>
        <w:rPr>
          <w:b/>
          <w:szCs w:val="20"/>
        </w:rPr>
      </w:pPr>
      <w:r>
        <w:rPr>
          <w:b/>
          <w:szCs w:val="20"/>
        </w:rPr>
        <w:t>&lt;b&gt;</w:t>
      </w:r>
      <w:r w:rsidR="006E2603">
        <w:rPr>
          <w:b/>
          <w:szCs w:val="20"/>
        </w:rPr>
        <w:t>Notes</w:t>
      </w:r>
      <w:r>
        <w:rPr>
          <w:b/>
          <w:szCs w:val="20"/>
        </w:rPr>
        <w:t>&lt;/b&gt;&lt;br&gt;&lt;br&gt;&lt;ol&gt;</w:t>
      </w:r>
    </w:p>
    <w:p w:rsidR="00704F82" w:rsidRDefault="00527265">
      <w:pPr>
        <w:numPr>
          <w:ilvl w:val="0"/>
          <w:numId w:val="27"/>
        </w:numPr>
        <w:autoSpaceDE w:val="0"/>
        <w:autoSpaceDN w:val="0"/>
        <w:adjustRightInd w:val="0"/>
        <w:spacing w:line="240" w:lineRule="auto"/>
        <w:rPr>
          <w:rFonts w:cs="ITCCharterCom-Regular"/>
          <w:i/>
          <w:szCs w:val="20"/>
        </w:rPr>
      </w:pPr>
      <w:r>
        <w:rPr>
          <w:rFonts w:cs="ITCCharterCom-Regular"/>
          <w:i/>
          <w:szCs w:val="20"/>
        </w:rPr>
        <w:t>&lt;li&gt;</w:t>
      </w:r>
      <w:r w:rsidR="006E2603">
        <w:rPr>
          <w:rFonts w:cs="ITCCharterCom-Regular"/>
          <w:i/>
          <w:szCs w:val="20"/>
        </w:rPr>
        <w:t xml:space="preserve">Responsible Investment: Creating value from environmental, social and governance issues </w:t>
      </w:r>
      <w:r>
        <w:rPr>
          <w:rFonts w:cs="ITCCharterCom-Regular"/>
          <w:i/>
          <w:szCs w:val="20"/>
        </w:rPr>
        <w:t>&lt;br&gt;</w:t>
      </w:r>
    </w:p>
    <w:p w:rsidR="00704F82" w:rsidRDefault="006E2603">
      <w:pPr>
        <w:pStyle w:val="BodyText"/>
        <w:ind w:left="720"/>
      </w:pPr>
      <w:r>
        <w:rPr>
          <w:rFonts w:cs="ITCCharterCom-Regular"/>
          <w:szCs w:val="20"/>
        </w:rPr>
        <w:t>PwC spoke with 17 PE houses including six of the top ten largest global PE houses, 11 of the top 50 largest global PE houses and six mid-tier houses. 10 have headquart</w:t>
      </w:r>
      <w:r>
        <w:rPr>
          <w:rFonts w:cs="ITCCharterCom-Regular"/>
          <w:szCs w:val="20"/>
        </w:rPr>
        <w:t xml:space="preserve">ers in Europe and seven have headquarters in the US. </w:t>
      </w:r>
      <w:r>
        <w:t>Seven of the groups are signatories to the UN Principals of Responsible Investment.</w:t>
      </w:r>
      <w:r w:rsidR="00527265">
        <w:t>&lt;br&gt;</w:t>
      </w:r>
    </w:p>
    <w:p w:rsidR="00704F82" w:rsidRDefault="00527265">
      <w:pPr>
        <w:pStyle w:val="BodyText"/>
        <w:numPr>
          <w:ilvl w:val="0"/>
          <w:numId w:val="27"/>
        </w:numPr>
        <w:rPr>
          <w:szCs w:val="20"/>
        </w:rPr>
      </w:pPr>
      <w:r>
        <w:t>&lt;li&gt;</w:t>
      </w:r>
      <w:r w:rsidR="006E2603">
        <w:t xml:space="preserve">The report noted that a </w:t>
      </w:r>
      <w:r w:rsidR="006E2603">
        <w:rPr>
          <w:szCs w:val="20"/>
        </w:rPr>
        <w:t>review of the process of compliance for UN PRI signatory members was already underway, with the</w:t>
      </w:r>
      <w:r w:rsidR="006E2603">
        <w:rPr>
          <w:szCs w:val="20"/>
        </w:rPr>
        <w:t xml:space="preserve"> possibility that in the future an element of mandatory reporting could emerge for signatories. </w:t>
      </w:r>
      <w:r>
        <w:rPr>
          <w:szCs w:val="20"/>
        </w:rPr>
        <w:t>&lt;/ul&gt;&lt;br&gt;&lt;br&gt;</w:t>
      </w:r>
    </w:p>
    <w:p w:rsidR="00704F82" w:rsidRDefault="00527265">
      <w:pPr>
        <w:pStyle w:val="BodyText"/>
        <w:rPr>
          <w:rFonts w:cs="Georgia"/>
          <w:b/>
          <w:color w:val="000000"/>
          <w:szCs w:val="20"/>
          <w:lang w:eastAsia="en-GB"/>
        </w:rPr>
      </w:pPr>
      <w:r>
        <w:rPr>
          <w:b/>
          <w:szCs w:val="20"/>
        </w:rPr>
        <w:t>&lt;b&gt;</w:t>
      </w:r>
      <w:r w:rsidR="006E2603">
        <w:rPr>
          <w:b/>
          <w:szCs w:val="20"/>
        </w:rPr>
        <w:t>About PwC</w:t>
      </w:r>
      <w:r>
        <w:rPr>
          <w:b/>
          <w:szCs w:val="20"/>
        </w:rPr>
        <w:t>&lt;/b&gt;&lt;br&gt;</w:t>
      </w:r>
    </w:p>
    <w:p w:rsidR="00704F82" w:rsidRDefault="006E2603">
      <w:pPr>
        <w:rPr>
          <w:rFonts w:cs="Georgia"/>
          <w:color w:val="000000"/>
          <w:szCs w:val="20"/>
          <w:lang w:eastAsia="en-GB"/>
        </w:rPr>
      </w:pPr>
      <w:r>
        <w:rPr>
          <w:rFonts w:cs="Georgia"/>
          <w:color w:val="000000"/>
          <w:szCs w:val="20"/>
          <w:lang w:eastAsia="en-GB"/>
        </w:rPr>
        <w:lastRenderedPageBreak/>
        <w:t>PwC firms help organisations and individuals create the value they're looking for. We're a network of firms in 158 countries with close to 169,000 pe</w:t>
      </w:r>
      <w:r>
        <w:rPr>
          <w:rFonts w:cs="Georgia"/>
          <w:color w:val="000000"/>
          <w:szCs w:val="20"/>
          <w:lang w:eastAsia="en-GB"/>
        </w:rPr>
        <w:t>ople who are committed to delivering quality in assurance, tax and advisory services. Tell us what matters to you and find out mor</w:t>
      </w:r>
      <w:r w:rsidR="00527265">
        <w:rPr>
          <w:rFonts w:cs="Georgia"/>
          <w:color w:val="000000"/>
          <w:szCs w:val="20"/>
          <w:lang w:eastAsia="en-GB"/>
        </w:rPr>
        <w:t>e by visiting us at www.pwc.com.&lt;br&gt;&lt;br&gt;</w:t>
      </w:r>
    </w:p>
    <w:p w:rsidR="00704F82" w:rsidRDefault="00704F82">
      <w:pPr>
        <w:autoSpaceDE w:val="0"/>
        <w:autoSpaceDN w:val="0"/>
        <w:adjustRightInd w:val="0"/>
        <w:spacing w:line="240" w:lineRule="auto"/>
        <w:rPr>
          <w:rFonts w:cs="Georgia"/>
          <w:color w:val="000000"/>
          <w:szCs w:val="20"/>
          <w:lang w:eastAsia="en-GB"/>
        </w:rPr>
      </w:pPr>
    </w:p>
    <w:p w:rsidR="00704F82" w:rsidRDefault="006E2603">
      <w:pPr>
        <w:autoSpaceDE w:val="0"/>
        <w:autoSpaceDN w:val="0"/>
        <w:adjustRightInd w:val="0"/>
        <w:spacing w:line="240" w:lineRule="auto"/>
        <w:rPr>
          <w:szCs w:val="20"/>
        </w:rPr>
      </w:pPr>
      <w:r>
        <w:rPr>
          <w:rFonts w:cs="Georgia"/>
          <w:color w:val="000000"/>
          <w:szCs w:val="20"/>
          <w:lang w:eastAsia="en-GB"/>
        </w:rPr>
        <w:t>© 2012 PricewaterhouseCoopers. All rights reserved.</w:t>
      </w:r>
      <w:r w:rsidR="00527265">
        <w:rPr>
          <w:rFonts w:cs="Georgia"/>
          <w:color w:val="000000"/>
          <w:szCs w:val="20"/>
          <w:lang w:eastAsia="en-GB"/>
        </w:rPr>
        <w:t>&lt;br&gt;&lt;br&gt;</w:t>
      </w:r>
    </w:p>
    <w:p w:rsidR="00704F82" w:rsidRDefault="00704F82"/>
    <w:p w:rsidR="00704F82" w:rsidRDefault="006E2603">
      <w:r>
        <w:t>PwC refers to the PwC network and/or on</w:t>
      </w:r>
      <w:r>
        <w:t>e or more of its member firms, each of which is a separate legal entity. Please see www.pwc.com/structure for further details.</w:t>
      </w:r>
      <w:bookmarkEnd w:id="0"/>
    </w:p>
    <w:sectPr w:rsidR="00704F82">
      <w:headerReference w:type="even" r:id="rId9"/>
      <w:headerReference w:type="default" r:id="rId10"/>
      <w:footerReference w:type="even" r:id="rId11"/>
      <w:footerReference w:type="default" r:id="rId12"/>
      <w:headerReference w:type="first" r:id="rId13"/>
      <w:footerReference w:type="first" r:id="rId14"/>
      <w:pgSz w:w="11907" w:h="16839"/>
      <w:pgMar w:top="3137" w:right="850" w:bottom="1417"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03" w:rsidRDefault="006E2603">
      <w:pPr>
        <w:spacing w:line="240" w:lineRule="auto"/>
      </w:pPr>
      <w:r>
        <w:separator/>
      </w:r>
    </w:p>
  </w:endnote>
  <w:endnote w:type="continuationSeparator" w:id="0">
    <w:p w:rsidR="006E2603" w:rsidRDefault="006E2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TCCharterCom-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82" w:rsidRDefault="006E2603">
    <w:pPr>
      <w:pStyle w:val="Footer"/>
    </w:pPr>
    <w:r>
      <w:fldChar w:fldCharType="begin"/>
    </w:r>
    <w:r>
      <w:instrText xml:space="preserve"> PAGE  \* MERGEFORMAT </w:instrText>
    </w:r>
    <w:r>
      <w:fldChar w:fldCharType="separate"/>
    </w:r>
    <w:r w:rsidR="00527265">
      <w:rPr>
        <w:noProof/>
      </w:rPr>
      <w:t>2</w:t>
    </w:r>
    <w:r>
      <w:rPr>
        <w:noProof/>
      </w:rPr>
      <w:fldChar w:fldCharType="end"/>
    </w:r>
    <w:r>
      <w:t xml:space="preserve"> of </w:t>
    </w:r>
    <w:r>
      <w:fldChar w:fldCharType="begin"/>
    </w:r>
    <w:r>
      <w:instrText xml:space="preserve"> NUMPAGES  \* MERGEFORMAT </w:instrText>
    </w:r>
    <w:r>
      <w:fldChar w:fldCharType="separate"/>
    </w:r>
    <w:r w:rsidR="00527265">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82" w:rsidRDefault="006E2603">
    <w:pPr>
      <w:pStyle w:val="Footer"/>
    </w:pPr>
    <w:r>
      <w:fldChar w:fldCharType="begin"/>
    </w:r>
    <w:r>
      <w:instrText xml:space="preserve"> PAGE  \* MERGEFORMAT </w:instrText>
    </w:r>
    <w:r>
      <w:fldChar w:fldCharType="separate"/>
    </w:r>
    <w:r w:rsidR="00527265">
      <w:rPr>
        <w:noProof/>
      </w:rPr>
      <w:t>3</w:t>
    </w:r>
    <w:r>
      <w:rPr>
        <w:noProof/>
      </w:rPr>
      <w:fldChar w:fldCharType="end"/>
    </w:r>
    <w:r>
      <w:t xml:space="preserve"> of </w:t>
    </w:r>
    <w:r>
      <w:fldChar w:fldCharType="begin"/>
    </w:r>
    <w:r>
      <w:instrText xml:space="preserve"> NUMPAGES  \* MERGEFORMAT </w:instrText>
    </w:r>
    <w:r>
      <w:fldChar w:fldCharType="separate"/>
    </w:r>
    <w:r w:rsidR="00527265">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82" w:rsidRDefault="006E2603">
    <w:pPr>
      <w:pStyle w:val="Address"/>
    </w:pPr>
    <w:bookmarkStart w:id="1" w:name="FirstPageFooter"/>
    <w:bookmarkEnd w:id="1"/>
    <w:r>
      <w:t>PricewaterhouseCoopers LLP, 1 Embankment Place. London, WC2N 6RH</w:t>
    </w:r>
  </w:p>
  <w:p w:rsidR="00704F82" w:rsidRDefault="006E2603">
    <w:pPr>
      <w:pStyle w:val="Address"/>
    </w:pPr>
    <w:r>
      <w:t>T: +44 (0)207 213 47 27 , www.ukmediacentre.pwc.com</w:t>
    </w:r>
  </w:p>
  <w:p w:rsidR="00704F82" w:rsidRDefault="00704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03" w:rsidRDefault="006E2603">
      <w:pPr>
        <w:spacing w:line="240" w:lineRule="auto"/>
      </w:pPr>
      <w:r>
        <w:separator/>
      </w:r>
    </w:p>
  </w:footnote>
  <w:footnote w:type="continuationSeparator" w:id="0">
    <w:p w:rsidR="006E2603" w:rsidRDefault="006E26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82" w:rsidRDefault="006E2603">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704F82" w:rsidRDefault="00704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82" w:rsidRDefault="006E2603">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704F82" w:rsidRDefault="00704F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82" w:rsidRDefault="006E2603">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04EF8"/>
    <w:lvl w:ilvl="0">
      <w:numFmt w:val="bullet"/>
      <w:lvlText w:val="*"/>
      <w:lvlJc w:val="left"/>
    </w:lvl>
  </w:abstractNum>
  <w:abstractNum w:abstractNumId="1">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746A8"/>
    <w:multiLevelType w:val="hybridMultilevel"/>
    <w:tmpl w:val="D5800CD8"/>
    <w:lvl w:ilvl="0" w:tplc="CD48CED8">
      <w:start w:val="5"/>
      <w:numFmt w:val="bullet"/>
      <w:lvlText w:val="-"/>
      <w:lvlJc w:val="left"/>
      <w:pPr>
        <w:ind w:left="720" w:hanging="360"/>
      </w:pPr>
      <w:rPr>
        <w:rFonts w:ascii="Georgia" w:eastAsia="Calibri"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1673B6"/>
    <w:multiLevelType w:val="hybridMultilevel"/>
    <w:tmpl w:val="E528D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171C7B"/>
    <w:multiLevelType w:val="hybridMultilevel"/>
    <w:tmpl w:val="217E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1728D4"/>
    <w:multiLevelType w:val="hybridMultilevel"/>
    <w:tmpl w:val="F0A46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C9696C"/>
    <w:multiLevelType w:val="hybridMultilevel"/>
    <w:tmpl w:val="294471F4"/>
    <w:lvl w:ilvl="0" w:tplc="33E06D5E">
      <w:start w:val="5"/>
      <w:numFmt w:val="bullet"/>
      <w:lvlText w:val="-"/>
      <w:lvlJc w:val="left"/>
      <w:pPr>
        <w:ind w:left="720" w:hanging="360"/>
      </w:pPr>
      <w:rPr>
        <w:rFonts w:ascii="Georgia" w:eastAsia="Calibri"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9">
    <w:nsid w:val="689327A4"/>
    <w:multiLevelType w:val="singleLevel"/>
    <w:tmpl w:val="D3F05B76"/>
    <w:lvl w:ilvl="0">
      <w:start w:val="1"/>
      <w:numFmt w:val="decimal"/>
      <w:lvlText w:val="%1."/>
      <w:legacy w:legacy="1" w:legacySpace="0" w:legacyIndent="0"/>
      <w:lvlJc w:val="left"/>
      <w:rPr>
        <w:rFonts w:ascii="Helv" w:hAnsi="Helv" w:hint="default"/>
        <w:b w:val="0"/>
      </w:rPr>
    </w:lvl>
  </w:abstractNum>
  <w:abstractNum w:abstractNumId="20">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6FC47CD0"/>
    <w:multiLevelType w:val="multilevel"/>
    <w:tmpl w:val="5D8E7638"/>
    <w:lvl w:ilvl="0">
      <w:start w:val="1"/>
      <w:numFmt w:val="decimal"/>
      <w:lvlText w:val="%1."/>
      <w:lvlJc w:val="left"/>
      <w:pPr>
        <w:tabs>
          <w:tab w:val="num" w:pos="720"/>
        </w:tabs>
        <w:ind w:left="720" w:hanging="360"/>
      </w:pPr>
      <w:rPr>
        <w:rFonts w:ascii="Georgia" w:eastAsia="Calibri" w:hAnsi="Georgia" w:cs="Georg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1E7621"/>
    <w:multiLevelType w:val="multilevel"/>
    <w:tmpl w:val="3B6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594E3C"/>
    <w:multiLevelType w:val="hybridMultilevel"/>
    <w:tmpl w:val="368E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532C8E"/>
    <w:multiLevelType w:val="hybridMultilevel"/>
    <w:tmpl w:val="18E6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EA23C9"/>
    <w:multiLevelType w:val="hybridMultilevel"/>
    <w:tmpl w:val="2A64AA1C"/>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20"/>
  </w:num>
  <w:num w:numId="5">
    <w:abstractNumId w:val="20"/>
    <w:lvlOverride w:ilvl="0">
      <w:startOverride w:val="1"/>
    </w:lvlOverride>
  </w:num>
  <w:num w:numId="6">
    <w:abstractNumId w:val="5"/>
  </w:num>
  <w:num w:numId="7">
    <w:abstractNumId w:val="14"/>
  </w:num>
  <w:num w:numId="8">
    <w:abstractNumId w:val="15"/>
  </w:num>
  <w:num w:numId="9">
    <w:abstractNumId w:val="13"/>
  </w:num>
  <w:num w:numId="10">
    <w:abstractNumId w:val="1"/>
  </w:num>
  <w:num w:numId="11">
    <w:abstractNumId w:val="2"/>
  </w:num>
  <w:num w:numId="12">
    <w:abstractNumId w:val="11"/>
  </w:num>
  <w:num w:numId="13">
    <w:abstractNumId w:val="8"/>
  </w:num>
  <w:num w:numId="14">
    <w:abstractNumId w:val="18"/>
  </w:num>
  <w:num w:numId="15">
    <w:abstractNumId w:val="17"/>
  </w:num>
  <w:num w:numId="16">
    <w:abstractNumId w:val="25"/>
  </w:num>
  <w:num w:numId="17">
    <w:abstractNumId w:val="23"/>
  </w:num>
  <w:num w:numId="18">
    <w:abstractNumId w:val="0"/>
    <w:lvlOverride w:ilvl="0">
      <w:lvl w:ilvl="0">
        <w:numFmt w:val="bullet"/>
        <w:lvlText w:val="•"/>
        <w:legacy w:legacy="1" w:legacySpace="0" w:legacyIndent="0"/>
        <w:lvlJc w:val="left"/>
        <w:rPr>
          <w:rFonts w:ascii="Helv" w:hAnsi="Helv" w:hint="default"/>
        </w:rPr>
      </w:lvl>
    </w:lvlOverride>
  </w:num>
  <w:num w:numId="19">
    <w:abstractNumId w:val="19"/>
  </w:num>
  <w:num w:numId="20">
    <w:abstractNumId w:val="21"/>
  </w:num>
  <w:num w:numId="21">
    <w:abstractNumId w:val="22"/>
  </w:num>
  <w:num w:numId="22">
    <w:abstractNumId w:val="16"/>
  </w:num>
  <w:num w:numId="23">
    <w:abstractNumId w:val="3"/>
  </w:num>
  <w:num w:numId="24">
    <w:abstractNumId w:val="10"/>
  </w:num>
  <w:num w:numId="25">
    <w:abstractNumId w:val="24"/>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82"/>
    <w:rsid w:val="00527265"/>
    <w:rsid w:val="006E2603"/>
    <w:rsid w:val="00704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Georgia" w:hAnsi="Georgia"/>
      <w:szCs w:val="22"/>
      <w:lang w:eastAsia="en-US"/>
    </w:rPr>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line="240" w:lineRule="auto"/>
    </w:pPr>
  </w:style>
  <w:style w:type="character" w:customStyle="1" w:styleId="FooterChar">
    <w:name w:val="Footer Char"/>
    <w:basedOn w:val="DefaultParagraphFont"/>
    <w:link w:val="Footer"/>
    <w:uiPriority w:val="99"/>
    <w:semiHidden/>
  </w:style>
  <w:style w:type="paragraph" w:styleId="BodyText">
    <w:name w:val="Body Text"/>
    <w:basedOn w:val="Normal"/>
    <w:link w:val="BodyTextChar"/>
    <w:uiPriority w:val="99"/>
    <w:unhideWhenUsed/>
    <w:pPr>
      <w:spacing w:after="240"/>
    </w:pPr>
  </w:style>
  <w:style w:type="character" w:customStyle="1" w:styleId="BodyTextChar">
    <w:name w:val="Body Text Char"/>
    <w:basedOn w:val="DefaultParagraphFont"/>
    <w:link w:val="BodyText"/>
    <w:uiPriority w:val="99"/>
    <w:rPr>
      <w:rFonts w:ascii="Georgia" w:hAnsi="Georgia"/>
      <w:sz w:val="20"/>
    </w:rPr>
  </w:style>
  <w:style w:type="paragraph" w:styleId="Title">
    <w:name w:val="Title"/>
    <w:basedOn w:val="Normal"/>
    <w:next w:val="Normal"/>
    <w:link w:val="TitleChar"/>
    <w:uiPriority w:val="10"/>
    <w:qFormat/>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pPr>
      <w:spacing w:line="200" w:lineRule="atLeast"/>
    </w:pPr>
    <w:rPr>
      <w:i/>
      <w:sz w:val="18"/>
    </w:rPr>
  </w:style>
  <w:style w:type="character" w:customStyle="1" w:styleId="AddressChar">
    <w:name w:val="Address Char"/>
    <w:basedOn w:val="DefaultParagraphFont"/>
    <w:link w:val="Address"/>
    <w:rPr>
      <w:rFonts w:ascii="Georgia" w:hAnsi="Georgia"/>
      <w:i/>
      <w:sz w:val="18"/>
    </w:rPr>
  </w:style>
  <w:style w:type="paragraph" w:customStyle="1" w:styleId="Disclaimer">
    <w:name w:val="Disclaimer"/>
    <w:basedOn w:val="Normal"/>
    <w:link w:val="DisclaimerChar"/>
    <w:pPr>
      <w:spacing w:line="140" w:lineRule="atLeast"/>
    </w:pPr>
    <w:rPr>
      <w:rFonts w:ascii="Arial" w:hAnsi="Arial" w:cs="Arial"/>
      <w:sz w:val="12"/>
    </w:rPr>
  </w:style>
  <w:style w:type="character" w:customStyle="1" w:styleId="DisclaimerChar">
    <w:name w:val="Disclaimer Char"/>
    <w:basedOn w:val="DefaultParagraphFont"/>
    <w:link w:val="Disclaimer"/>
    <w:rPr>
      <w:rFonts w:ascii="Arial" w:hAnsi="Arial" w:cs="Arial"/>
      <w:sz w:val="12"/>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customStyle="1" w:styleId="ReleaseBodyText">
    <w:name w:val="Release Body Text"/>
    <w:rPr>
      <w:rFonts w:ascii="Arial" w:eastAsia="Times New Roman" w:hAnsi="Arial" w:cs="Arial"/>
      <w:lang w:eastAsia="en-US"/>
    </w:rPr>
  </w:style>
  <w:style w:type="paragraph" w:customStyle="1" w:styleId="Heading">
    <w:name w:val="Heading"/>
    <w:basedOn w:val="Normal"/>
    <w:pPr>
      <w:spacing w:line="240" w:lineRule="auto"/>
    </w:pPr>
    <w:rPr>
      <w:rFonts w:ascii="Arial" w:eastAsia="Times New Roman" w:hAnsi="Arial"/>
      <w:b/>
      <w:sz w:val="24"/>
      <w:szCs w:val="20"/>
    </w:rPr>
  </w:style>
  <w:style w:type="paragraph" w:styleId="ListParagraph">
    <w:name w:val="List Paragraph"/>
    <w:basedOn w:val="Normal"/>
    <w:uiPriority w:val="34"/>
    <w:unhideWhenUsed/>
    <w:qFormat/>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style>
  <w:style w:type="paragraph" w:customStyle="1" w:styleId="ListNumbered">
    <w:name w:val="List Numbered"/>
    <w:basedOn w:val="Normal"/>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Pr>
      <w:strike w:val="0"/>
      <w:dstrike w:val="0"/>
      <w:color w:val="0097DC"/>
      <w:u w:val="none"/>
      <w:effect w:val="none"/>
    </w:rPr>
  </w:style>
  <w:style w:type="character" w:styleId="Strong">
    <w:name w:val="Strong"/>
    <w:basedOn w:val="DefaultParagraphFont"/>
    <w:uiPriority w:val="22"/>
    <w:qFormat/>
    <w:rPr>
      <w:b/>
      <w:bCs/>
    </w:rPr>
  </w:style>
  <w:style w:type="character" w:customStyle="1" w:styleId="date-display-single">
    <w:name w:val="date-display-single"/>
    <w:basedOn w:val="DefaultParagraphFont"/>
  </w:style>
  <w:style w:type="character" w:customStyle="1" w:styleId="date-display-start">
    <w:name w:val="date-display-start"/>
    <w:basedOn w:val="DefaultParagraphFont"/>
  </w:style>
  <w:style w:type="character" w:customStyle="1" w:styleId="date-display-end">
    <w:name w:val="date-display-end"/>
    <w:basedOn w:val="DefaultParagraphFont"/>
  </w:style>
  <w:style w:type="character" w:customStyle="1" w:styleId="date-display-separator">
    <w:name w:val="date-display-separator"/>
    <w:basedOn w:val="DefaultParagraphFont"/>
  </w:style>
  <w:style w:type="character" w:customStyle="1" w:styleId="field-content2">
    <w:name w:val="field-content2"/>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rFonts w:ascii="Georgia" w:hAnsi="Georgia"/>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Georgia" w:hAnsi="Georgia"/>
      <w:b/>
      <w:bCs/>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at5">
    <w:name w:val="a__t5"/>
    <w:basedOn w:val="DefaultParagraphFont"/>
  </w:style>
  <w:style w:type="paragraph" w:customStyle="1" w:styleId="PIText">
    <w:name w:val="PI Text"/>
    <w:basedOn w:val="BodyTextIndent"/>
    <w:link w:val="PITextZchn"/>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Georgia" w:hAnsi="Georgia"/>
      <w:szCs w:val="22"/>
      <w:lang w:eastAsia="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Pr>
      <w:i/>
      <w:iCs/>
    </w:rPr>
  </w:style>
  <w:style w:type="paragraph" w:styleId="FootnoteText">
    <w:name w:val="footnote text"/>
    <w:basedOn w:val="Normal"/>
    <w:link w:val="FootnoteTextChar"/>
    <w:uiPriority w:val="99"/>
    <w:semiHidden/>
    <w:unhideWhenUsed/>
    <w:pPr>
      <w:spacing w:line="240" w:lineRule="auto"/>
    </w:pPr>
    <w:rPr>
      <w:rFonts w:eastAsia="Arial"/>
      <w:szCs w:val="20"/>
    </w:rPr>
  </w:style>
  <w:style w:type="character" w:customStyle="1" w:styleId="FootnoteTextChar">
    <w:name w:val="Footnote Text Char"/>
    <w:basedOn w:val="DefaultParagraphFont"/>
    <w:link w:val="FootnoteText"/>
    <w:uiPriority w:val="99"/>
    <w:semiHidden/>
    <w:rPr>
      <w:rFonts w:ascii="Georgia" w:eastAsia="Arial" w:hAnsi="Georgia"/>
      <w:lang w:eastAsia="en-US"/>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Georgia" w:hAnsi="Georgia"/>
      <w:szCs w:val="22"/>
      <w:lang w:eastAsia="en-US"/>
    </w:rPr>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line="240" w:lineRule="auto"/>
    </w:pPr>
  </w:style>
  <w:style w:type="character" w:customStyle="1" w:styleId="FooterChar">
    <w:name w:val="Footer Char"/>
    <w:basedOn w:val="DefaultParagraphFont"/>
    <w:link w:val="Footer"/>
    <w:uiPriority w:val="99"/>
    <w:semiHidden/>
  </w:style>
  <w:style w:type="paragraph" w:styleId="BodyText">
    <w:name w:val="Body Text"/>
    <w:basedOn w:val="Normal"/>
    <w:link w:val="BodyTextChar"/>
    <w:uiPriority w:val="99"/>
    <w:unhideWhenUsed/>
    <w:pPr>
      <w:spacing w:after="240"/>
    </w:pPr>
  </w:style>
  <w:style w:type="character" w:customStyle="1" w:styleId="BodyTextChar">
    <w:name w:val="Body Text Char"/>
    <w:basedOn w:val="DefaultParagraphFont"/>
    <w:link w:val="BodyText"/>
    <w:uiPriority w:val="99"/>
    <w:rPr>
      <w:rFonts w:ascii="Georgia" w:hAnsi="Georgia"/>
      <w:sz w:val="20"/>
    </w:rPr>
  </w:style>
  <w:style w:type="paragraph" w:styleId="Title">
    <w:name w:val="Title"/>
    <w:basedOn w:val="Normal"/>
    <w:next w:val="Normal"/>
    <w:link w:val="TitleChar"/>
    <w:uiPriority w:val="10"/>
    <w:qFormat/>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pPr>
      <w:spacing w:line="200" w:lineRule="atLeast"/>
    </w:pPr>
    <w:rPr>
      <w:i/>
      <w:sz w:val="18"/>
    </w:rPr>
  </w:style>
  <w:style w:type="character" w:customStyle="1" w:styleId="AddressChar">
    <w:name w:val="Address Char"/>
    <w:basedOn w:val="DefaultParagraphFont"/>
    <w:link w:val="Address"/>
    <w:rPr>
      <w:rFonts w:ascii="Georgia" w:hAnsi="Georgia"/>
      <w:i/>
      <w:sz w:val="18"/>
    </w:rPr>
  </w:style>
  <w:style w:type="paragraph" w:customStyle="1" w:styleId="Disclaimer">
    <w:name w:val="Disclaimer"/>
    <w:basedOn w:val="Normal"/>
    <w:link w:val="DisclaimerChar"/>
    <w:pPr>
      <w:spacing w:line="140" w:lineRule="atLeast"/>
    </w:pPr>
    <w:rPr>
      <w:rFonts w:ascii="Arial" w:hAnsi="Arial" w:cs="Arial"/>
      <w:sz w:val="12"/>
    </w:rPr>
  </w:style>
  <w:style w:type="character" w:customStyle="1" w:styleId="DisclaimerChar">
    <w:name w:val="Disclaimer Char"/>
    <w:basedOn w:val="DefaultParagraphFont"/>
    <w:link w:val="Disclaimer"/>
    <w:rPr>
      <w:rFonts w:ascii="Arial" w:hAnsi="Arial" w:cs="Arial"/>
      <w:sz w:val="12"/>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customStyle="1" w:styleId="ReleaseBodyText">
    <w:name w:val="Release Body Text"/>
    <w:rPr>
      <w:rFonts w:ascii="Arial" w:eastAsia="Times New Roman" w:hAnsi="Arial" w:cs="Arial"/>
      <w:lang w:eastAsia="en-US"/>
    </w:rPr>
  </w:style>
  <w:style w:type="paragraph" w:customStyle="1" w:styleId="Heading">
    <w:name w:val="Heading"/>
    <w:basedOn w:val="Normal"/>
    <w:pPr>
      <w:spacing w:line="240" w:lineRule="auto"/>
    </w:pPr>
    <w:rPr>
      <w:rFonts w:ascii="Arial" w:eastAsia="Times New Roman" w:hAnsi="Arial"/>
      <w:b/>
      <w:sz w:val="24"/>
      <w:szCs w:val="20"/>
    </w:rPr>
  </w:style>
  <w:style w:type="paragraph" w:styleId="ListParagraph">
    <w:name w:val="List Paragraph"/>
    <w:basedOn w:val="Normal"/>
    <w:uiPriority w:val="34"/>
    <w:unhideWhenUsed/>
    <w:qFormat/>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style>
  <w:style w:type="paragraph" w:customStyle="1" w:styleId="ListNumbered">
    <w:name w:val="List Numbered"/>
    <w:basedOn w:val="Normal"/>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Pr>
      <w:strike w:val="0"/>
      <w:dstrike w:val="0"/>
      <w:color w:val="0097DC"/>
      <w:u w:val="none"/>
      <w:effect w:val="none"/>
    </w:rPr>
  </w:style>
  <w:style w:type="character" w:styleId="Strong">
    <w:name w:val="Strong"/>
    <w:basedOn w:val="DefaultParagraphFont"/>
    <w:uiPriority w:val="22"/>
    <w:qFormat/>
    <w:rPr>
      <w:b/>
      <w:bCs/>
    </w:rPr>
  </w:style>
  <w:style w:type="character" w:customStyle="1" w:styleId="date-display-single">
    <w:name w:val="date-display-single"/>
    <w:basedOn w:val="DefaultParagraphFont"/>
  </w:style>
  <w:style w:type="character" w:customStyle="1" w:styleId="date-display-start">
    <w:name w:val="date-display-start"/>
    <w:basedOn w:val="DefaultParagraphFont"/>
  </w:style>
  <w:style w:type="character" w:customStyle="1" w:styleId="date-display-end">
    <w:name w:val="date-display-end"/>
    <w:basedOn w:val="DefaultParagraphFont"/>
  </w:style>
  <w:style w:type="character" w:customStyle="1" w:styleId="date-display-separator">
    <w:name w:val="date-display-separator"/>
    <w:basedOn w:val="DefaultParagraphFont"/>
  </w:style>
  <w:style w:type="character" w:customStyle="1" w:styleId="field-content2">
    <w:name w:val="field-content2"/>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rFonts w:ascii="Georgia" w:hAnsi="Georgia"/>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Georgia" w:hAnsi="Georgia"/>
      <w:b/>
      <w:bCs/>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at5">
    <w:name w:val="a__t5"/>
    <w:basedOn w:val="DefaultParagraphFont"/>
  </w:style>
  <w:style w:type="paragraph" w:customStyle="1" w:styleId="PIText">
    <w:name w:val="PI Text"/>
    <w:basedOn w:val="BodyTextIndent"/>
    <w:link w:val="PITextZchn"/>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Georgia" w:hAnsi="Georgia"/>
      <w:szCs w:val="22"/>
      <w:lang w:eastAsia="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Pr>
      <w:i/>
      <w:iCs/>
    </w:rPr>
  </w:style>
  <w:style w:type="paragraph" w:styleId="FootnoteText">
    <w:name w:val="footnote text"/>
    <w:basedOn w:val="Normal"/>
    <w:link w:val="FootnoteTextChar"/>
    <w:uiPriority w:val="99"/>
    <w:semiHidden/>
    <w:unhideWhenUsed/>
    <w:pPr>
      <w:spacing w:line="240" w:lineRule="auto"/>
    </w:pPr>
    <w:rPr>
      <w:rFonts w:eastAsia="Arial"/>
      <w:szCs w:val="20"/>
    </w:rPr>
  </w:style>
  <w:style w:type="character" w:customStyle="1" w:styleId="FootnoteTextChar">
    <w:name w:val="Footnote Text Char"/>
    <w:basedOn w:val="DefaultParagraphFont"/>
    <w:link w:val="FootnoteText"/>
    <w:uiPriority w:val="99"/>
    <w:semiHidden/>
    <w:rPr>
      <w:rFonts w:ascii="Georgia" w:eastAsia="Arial" w:hAnsi="Georgia"/>
      <w:lang w:eastAsia="en-US"/>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0714">
      <w:bodyDiv w:val="1"/>
      <w:marLeft w:val="0"/>
      <w:marRight w:val="0"/>
      <w:marTop w:val="0"/>
      <w:marBottom w:val="0"/>
      <w:divBdr>
        <w:top w:val="none" w:sz="0" w:space="0" w:color="auto"/>
        <w:left w:val="none" w:sz="0" w:space="0" w:color="auto"/>
        <w:bottom w:val="none" w:sz="0" w:space="0" w:color="auto"/>
        <w:right w:val="none" w:sz="0" w:space="0" w:color="auto"/>
      </w:divBdr>
      <w:divsChild>
        <w:div w:id="1371372163">
          <w:marLeft w:val="0"/>
          <w:marRight w:val="0"/>
          <w:marTop w:val="0"/>
          <w:marBottom w:val="0"/>
          <w:divBdr>
            <w:top w:val="none" w:sz="0" w:space="0" w:color="auto"/>
            <w:left w:val="none" w:sz="0" w:space="0" w:color="auto"/>
            <w:bottom w:val="none" w:sz="0" w:space="0" w:color="auto"/>
            <w:right w:val="none" w:sz="0" w:space="0" w:color="auto"/>
          </w:divBdr>
          <w:divsChild>
            <w:div w:id="222103184">
              <w:marLeft w:val="0"/>
              <w:marRight w:val="0"/>
              <w:marTop w:val="0"/>
              <w:marBottom w:val="0"/>
              <w:divBdr>
                <w:top w:val="none" w:sz="0" w:space="0" w:color="auto"/>
                <w:left w:val="none" w:sz="0" w:space="0" w:color="auto"/>
                <w:bottom w:val="none" w:sz="0" w:space="0" w:color="auto"/>
                <w:right w:val="none" w:sz="0" w:space="0" w:color="auto"/>
              </w:divBdr>
              <w:divsChild>
                <w:div w:id="211622974">
                  <w:marLeft w:val="0"/>
                  <w:marRight w:val="0"/>
                  <w:marTop w:val="0"/>
                  <w:marBottom w:val="0"/>
                  <w:divBdr>
                    <w:top w:val="none" w:sz="0" w:space="0" w:color="auto"/>
                    <w:left w:val="none" w:sz="0" w:space="0" w:color="auto"/>
                    <w:bottom w:val="none" w:sz="0" w:space="0" w:color="auto"/>
                    <w:right w:val="none" w:sz="0" w:space="0" w:color="auto"/>
                  </w:divBdr>
                  <w:divsChild>
                    <w:div w:id="641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768">
      <w:bodyDiv w:val="1"/>
      <w:marLeft w:val="0"/>
      <w:marRight w:val="0"/>
      <w:marTop w:val="0"/>
      <w:marBottom w:val="0"/>
      <w:divBdr>
        <w:top w:val="none" w:sz="0" w:space="0" w:color="auto"/>
        <w:left w:val="none" w:sz="0" w:space="0" w:color="auto"/>
        <w:bottom w:val="none" w:sz="0" w:space="0" w:color="auto"/>
        <w:right w:val="none" w:sz="0" w:space="0" w:color="auto"/>
      </w:divBdr>
      <w:divsChild>
        <w:div w:id="956448697">
          <w:marLeft w:val="0"/>
          <w:marRight w:val="0"/>
          <w:marTop w:val="0"/>
          <w:marBottom w:val="0"/>
          <w:divBdr>
            <w:top w:val="none" w:sz="0" w:space="0" w:color="auto"/>
            <w:left w:val="none" w:sz="0" w:space="0" w:color="auto"/>
            <w:bottom w:val="none" w:sz="0" w:space="0" w:color="auto"/>
            <w:right w:val="none" w:sz="0" w:space="0" w:color="auto"/>
          </w:divBdr>
          <w:divsChild>
            <w:div w:id="239869755">
              <w:marLeft w:val="0"/>
              <w:marRight w:val="0"/>
              <w:marTop w:val="0"/>
              <w:marBottom w:val="0"/>
              <w:divBdr>
                <w:top w:val="none" w:sz="0" w:space="0" w:color="auto"/>
                <w:left w:val="none" w:sz="0" w:space="0" w:color="auto"/>
                <w:bottom w:val="none" w:sz="0" w:space="0" w:color="auto"/>
                <w:right w:val="none" w:sz="0" w:space="0" w:color="auto"/>
              </w:divBdr>
              <w:divsChild>
                <w:div w:id="1797094899">
                  <w:marLeft w:val="0"/>
                  <w:marRight w:val="0"/>
                  <w:marTop w:val="0"/>
                  <w:marBottom w:val="0"/>
                  <w:divBdr>
                    <w:top w:val="none" w:sz="0" w:space="0" w:color="auto"/>
                    <w:left w:val="none" w:sz="0" w:space="0" w:color="auto"/>
                    <w:bottom w:val="none" w:sz="0" w:space="0" w:color="auto"/>
                    <w:right w:val="none" w:sz="0" w:space="0" w:color="auto"/>
                  </w:divBdr>
                  <w:divsChild>
                    <w:div w:id="20548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1CFD-99B5-4199-A623-B6659459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3</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Brad Burnside</cp:lastModifiedBy>
  <cp:revision>2</cp:revision>
  <cp:lastPrinted>2012-03-01T14:43:00Z</cp:lastPrinted>
  <dcterms:created xsi:type="dcterms:W3CDTF">2012-03-06T19:06:00Z</dcterms:created>
  <dcterms:modified xsi:type="dcterms:W3CDTF">2012-03-06T19:06:00Z</dcterms:modified>
</cp:coreProperties>
</file>