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8" w:rsidRDefault="00926C08">
      <w:pPr>
        <w:tabs>
          <w:tab w:val="center" w:pos="4536"/>
        </w:tabs>
      </w:pPr>
    </w:p>
    <w:p w:rsidR="00926C08" w:rsidRDefault="00926C08">
      <w:pPr>
        <w:pStyle w:val="Title"/>
        <w:rPr>
          <w:rFonts w:ascii="Georgia" w:hAnsi="Georgia"/>
        </w:rPr>
      </w:pPr>
    </w:p>
    <w:p w:rsidR="00926C08" w:rsidRDefault="0016542C">
      <w:pPr>
        <w:pStyle w:val="Title"/>
        <w:rPr>
          <w:rFonts w:ascii="Georgia" w:hAnsi="Georgia"/>
        </w:rPr>
      </w:pPr>
      <w:r>
        <w:rPr>
          <w:rFonts w:ascii="Georgia" w:hAnsi="Georgia"/>
        </w:rPr>
        <w:t xml:space="preserve">Press release </w:t>
      </w:r>
    </w:p>
    <w:tbl>
      <w:tblPr>
        <w:tblW w:w="0" w:type="auto"/>
        <w:tblLayout w:type="fixed"/>
        <w:tblLook w:val="04A0" w:firstRow="1" w:lastRow="0" w:firstColumn="1" w:lastColumn="0" w:noHBand="0" w:noVBand="1"/>
      </w:tblPr>
      <w:tblGrid>
        <w:gridCol w:w="2268"/>
        <w:gridCol w:w="4645"/>
      </w:tblGrid>
      <w:tr w:rsidR="00926C08">
        <w:tc>
          <w:tcPr>
            <w:tcW w:w="2268" w:type="dxa"/>
            <w:hideMark/>
          </w:tcPr>
          <w:p w:rsidR="00926C08" w:rsidRDefault="0016542C">
            <w:pPr>
              <w:rPr>
                <w:i/>
              </w:rPr>
            </w:pPr>
            <w:r>
              <w:rPr>
                <w:i/>
              </w:rPr>
              <w:t>Date</w:t>
            </w:r>
          </w:p>
        </w:tc>
        <w:tc>
          <w:tcPr>
            <w:tcW w:w="4645" w:type="dxa"/>
            <w:hideMark/>
          </w:tcPr>
          <w:p w:rsidR="00926C08" w:rsidRDefault="0016542C">
            <w:r>
              <w:t>14 February 2012</w:t>
            </w:r>
          </w:p>
        </w:tc>
      </w:tr>
      <w:tr w:rsidR="00926C08">
        <w:tc>
          <w:tcPr>
            <w:tcW w:w="2268" w:type="dxa"/>
          </w:tcPr>
          <w:p w:rsidR="00926C08" w:rsidRDefault="00926C08" w:rsidP="009218C3">
            <w:pPr>
              <w:jc w:val="center"/>
              <w:rPr>
                <w:i/>
              </w:rPr>
            </w:pPr>
            <w:bookmarkStart w:id="0" w:name="_GoBack"/>
            <w:bookmarkEnd w:id="0"/>
          </w:p>
          <w:p w:rsidR="00926C08" w:rsidRDefault="0016542C">
            <w:pPr>
              <w:rPr>
                <w:i/>
              </w:rPr>
            </w:pPr>
            <w:r>
              <w:rPr>
                <w:i/>
              </w:rPr>
              <w:t>Contact</w:t>
            </w:r>
          </w:p>
          <w:p w:rsidR="00926C08" w:rsidRDefault="00926C08">
            <w:pPr>
              <w:rPr>
                <w:i/>
              </w:rPr>
            </w:pPr>
          </w:p>
          <w:p w:rsidR="00926C08" w:rsidRDefault="00926C08">
            <w:pPr>
              <w:rPr>
                <w:i/>
              </w:rPr>
            </w:pPr>
          </w:p>
          <w:p w:rsidR="00926C08" w:rsidRDefault="00926C08">
            <w:pPr>
              <w:rPr>
                <w:i/>
              </w:rPr>
            </w:pPr>
          </w:p>
          <w:p w:rsidR="00926C08" w:rsidRDefault="00926C08">
            <w:pPr>
              <w:rPr>
                <w:i/>
              </w:rPr>
            </w:pPr>
          </w:p>
          <w:p w:rsidR="00926C08" w:rsidRDefault="00926C08">
            <w:pPr>
              <w:rPr>
                <w:i/>
              </w:rPr>
            </w:pPr>
          </w:p>
          <w:p w:rsidR="00926C08" w:rsidRDefault="0016542C">
            <w:pPr>
              <w:rPr>
                <w:i/>
              </w:rPr>
            </w:pPr>
            <w:r>
              <w:rPr>
                <w:i/>
              </w:rPr>
              <w:t>Pages</w:t>
            </w:r>
          </w:p>
        </w:tc>
        <w:tc>
          <w:tcPr>
            <w:tcW w:w="4645" w:type="dxa"/>
          </w:tcPr>
          <w:p w:rsidR="00926C08" w:rsidRDefault="00926C08">
            <w:pPr>
              <w:tabs>
                <w:tab w:val="left" w:pos="1440"/>
              </w:tabs>
              <w:ind w:left="1440" w:hanging="1440"/>
              <w:rPr>
                <w:rFonts w:cs="Arial"/>
                <w:bCs/>
                <w:color w:val="000000"/>
              </w:rPr>
            </w:pPr>
          </w:p>
          <w:p w:rsidR="00926C08" w:rsidRDefault="0016542C">
            <w:pPr>
              <w:tabs>
                <w:tab w:val="left" w:pos="1440"/>
              </w:tabs>
              <w:ind w:left="1440" w:hanging="1440"/>
              <w:rPr>
                <w:rFonts w:cs="Arial"/>
                <w:bCs/>
                <w:color w:val="000000"/>
              </w:rPr>
            </w:pPr>
            <w:r>
              <w:rPr>
                <w:rFonts w:cs="Arial"/>
                <w:bCs/>
                <w:color w:val="000000"/>
              </w:rPr>
              <w:t>Mike Davies + 44</w:t>
            </w:r>
            <w:r>
              <w:rPr>
                <w:rFonts w:eastAsiaTheme="minorHAnsi" w:cs="Tms Rmn"/>
                <w:color w:val="000000"/>
                <w:szCs w:val="20"/>
                <w:lang w:val="en-US"/>
              </w:rPr>
              <w:t xml:space="preserve"> (0) 7803 974136</w:t>
            </w:r>
          </w:p>
          <w:p w:rsidR="00926C08" w:rsidRDefault="009218C3">
            <w:pPr>
              <w:tabs>
                <w:tab w:val="left" w:pos="1440"/>
              </w:tabs>
              <w:ind w:left="1440" w:hanging="1440"/>
              <w:rPr>
                <w:rFonts w:cs="Arial"/>
                <w:bCs/>
                <w:color w:val="000000"/>
              </w:rPr>
            </w:pPr>
            <w:hyperlink r:id="rId8" w:history="1">
              <w:r w:rsidR="0016542C">
                <w:rPr>
                  <w:rStyle w:val="Hyperlink"/>
                  <w:rFonts w:cs="Arial"/>
                  <w:bCs/>
                </w:rPr>
                <w:t>mike.davies@uk.pwc.com</w:t>
              </w:r>
            </w:hyperlink>
          </w:p>
          <w:p w:rsidR="00926C08" w:rsidRDefault="00926C08">
            <w:pPr>
              <w:tabs>
                <w:tab w:val="left" w:pos="1440"/>
              </w:tabs>
              <w:ind w:left="1440" w:hanging="1440"/>
              <w:rPr>
                <w:rFonts w:cs="Arial"/>
                <w:bCs/>
                <w:color w:val="000000"/>
              </w:rPr>
            </w:pPr>
          </w:p>
          <w:p w:rsidR="00926C08" w:rsidRDefault="0016542C">
            <w:pPr>
              <w:tabs>
                <w:tab w:val="left" w:pos="1440"/>
              </w:tabs>
              <w:ind w:left="1440" w:hanging="1440"/>
              <w:rPr>
                <w:rFonts w:cs="Arial"/>
                <w:bCs/>
                <w:color w:val="000000"/>
                <w:lang w:val="it-IT"/>
              </w:rPr>
            </w:pPr>
            <w:r>
              <w:rPr>
                <w:rFonts w:cs="Arial"/>
                <w:bCs/>
                <w:color w:val="000000"/>
                <w:lang w:val="it-IT"/>
              </w:rPr>
              <w:t xml:space="preserve">Nandini Chatterjee </w:t>
            </w:r>
            <w:r>
              <w:rPr>
                <w:rFonts w:cs="Georgia"/>
                <w:color w:val="000000"/>
                <w:szCs w:val="20"/>
                <w:lang w:val="en-US" w:eastAsia="en-GB"/>
              </w:rPr>
              <w:t>+91 (124) 4620756</w:t>
            </w:r>
            <w:r>
              <w:rPr>
                <w:rFonts w:cs="Arial"/>
                <w:bCs/>
                <w:color w:val="000000"/>
                <w:lang w:val="it-IT"/>
              </w:rPr>
              <w:t xml:space="preserve"> </w:t>
            </w:r>
          </w:p>
          <w:p w:rsidR="00926C08" w:rsidRDefault="009218C3">
            <w:pPr>
              <w:tabs>
                <w:tab w:val="left" w:pos="1440"/>
              </w:tabs>
            </w:pPr>
            <w:hyperlink r:id="rId9" w:history="1">
              <w:r w:rsidR="0016542C">
                <w:rPr>
                  <w:rStyle w:val="Hyperlink"/>
                </w:rPr>
                <w:t>nandini.chatterjee@in.pwc.com</w:t>
              </w:r>
            </w:hyperlink>
          </w:p>
          <w:p w:rsidR="00926C08" w:rsidRDefault="00926C08">
            <w:pPr>
              <w:tabs>
                <w:tab w:val="left" w:pos="1440"/>
              </w:tabs>
              <w:rPr>
                <w:rFonts w:cs="Arial"/>
                <w:bCs/>
                <w:color w:val="000000"/>
                <w:lang w:val="it-IT"/>
              </w:rPr>
            </w:pPr>
          </w:p>
          <w:p w:rsidR="00926C08" w:rsidRDefault="0016542C">
            <w:pPr>
              <w:tabs>
                <w:tab w:val="left" w:pos="1440"/>
              </w:tabs>
              <w:ind w:left="1440" w:hanging="1440"/>
              <w:rPr>
                <w:rFonts w:cs="Arial"/>
                <w:bCs/>
                <w:color w:val="000000"/>
                <w:lang w:val="it-IT"/>
              </w:rPr>
            </w:pPr>
            <w:r>
              <w:rPr>
                <w:rFonts w:cs="Arial"/>
                <w:bCs/>
                <w:color w:val="000000"/>
                <w:lang w:val="it-IT"/>
              </w:rPr>
              <w:t>3</w:t>
            </w:r>
          </w:p>
          <w:p w:rsidR="00926C08" w:rsidRDefault="00926C08">
            <w:pPr>
              <w:tabs>
                <w:tab w:val="left" w:pos="1440"/>
              </w:tabs>
            </w:pPr>
          </w:p>
          <w:p w:rsidR="00926C08" w:rsidRDefault="00926C08">
            <w:pPr>
              <w:tabs>
                <w:tab w:val="left" w:pos="1440"/>
              </w:tabs>
            </w:pPr>
          </w:p>
        </w:tc>
      </w:tr>
      <w:tr w:rsidR="00926C08">
        <w:tc>
          <w:tcPr>
            <w:tcW w:w="2268" w:type="dxa"/>
          </w:tcPr>
          <w:p w:rsidR="00926C08" w:rsidRDefault="00926C08">
            <w:pPr>
              <w:spacing w:line="240" w:lineRule="auto"/>
              <w:rPr>
                <w:i/>
              </w:rPr>
            </w:pPr>
          </w:p>
        </w:tc>
        <w:tc>
          <w:tcPr>
            <w:tcW w:w="4645" w:type="dxa"/>
          </w:tcPr>
          <w:p w:rsidR="00926C08" w:rsidRDefault="00926C08">
            <w:pPr>
              <w:tabs>
                <w:tab w:val="left" w:pos="1440"/>
              </w:tabs>
              <w:ind w:left="1440" w:hanging="1440"/>
              <w:rPr>
                <w:rFonts w:cs="Arial"/>
                <w:bCs/>
                <w:color w:val="000000"/>
              </w:rPr>
            </w:pPr>
          </w:p>
        </w:tc>
      </w:tr>
    </w:tbl>
    <w:p w:rsidR="00926C08" w:rsidRPr="008B6377" w:rsidRDefault="00926C08">
      <w:pPr>
        <w:pStyle w:val="Title"/>
        <w:rPr>
          <w:rFonts w:ascii="Georgia" w:hAnsi="Georgia"/>
          <w:i w:val="0"/>
        </w:rPr>
      </w:pPr>
    </w:p>
    <w:p w:rsidR="00926C08" w:rsidRDefault="0016542C">
      <w:pPr>
        <w:autoSpaceDE w:val="0"/>
        <w:autoSpaceDN w:val="0"/>
        <w:adjustRightInd w:val="0"/>
        <w:rPr>
          <w:rFonts w:cs="Arial"/>
          <w:b/>
          <w:color w:val="000000"/>
          <w:sz w:val="24"/>
          <w:szCs w:val="24"/>
          <w:lang w:eastAsia="en-GB"/>
        </w:rPr>
      </w:pPr>
      <w:r>
        <w:rPr>
          <w:rFonts w:cs="Arial"/>
          <w:b/>
          <w:color w:val="000000"/>
          <w:sz w:val="24"/>
          <w:szCs w:val="24"/>
          <w:lang w:eastAsia="en-GB"/>
        </w:rPr>
        <w:t xml:space="preserve">Global Emerging Middle (GEM) is the next big market, says PwC </w:t>
      </w:r>
    </w:p>
    <w:p w:rsidR="00926C08" w:rsidRDefault="00926C08">
      <w:pPr>
        <w:autoSpaceDE w:val="0"/>
        <w:autoSpaceDN w:val="0"/>
        <w:adjustRightInd w:val="0"/>
        <w:rPr>
          <w:rFonts w:cs="Arial"/>
          <w:b/>
          <w:color w:val="000000"/>
          <w:sz w:val="24"/>
          <w:szCs w:val="24"/>
          <w:lang w:eastAsia="en-GB"/>
        </w:rPr>
      </w:pPr>
    </w:p>
    <w:p w:rsidR="00926C08" w:rsidRDefault="0016542C">
      <w:pPr>
        <w:autoSpaceDE w:val="0"/>
        <w:autoSpaceDN w:val="0"/>
        <w:adjustRightInd w:val="0"/>
        <w:spacing w:line="240" w:lineRule="auto"/>
        <w:rPr>
          <w:rFonts w:cs="Helv"/>
          <w:i/>
          <w:iCs/>
          <w:color w:val="000000"/>
          <w:sz w:val="22"/>
          <w:lang w:eastAsia="en-GB"/>
        </w:rPr>
      </w:pPr>
      <w:r>
        <w:rPr>
          <w:rFonts w:cs="Helv"/>
          <w:i/>
          <w:iCs/>
          <w:color w:val="000000"/>
          <w:sz w:val="22"/>
          <w:lang w:eastAsia="en-GB"/>
        </w:rPr>
        <w:t>Globally this segment is expected to be in excess of USD 6 trillion by 2021</w:t>
      </w:r>
    </w:p>
    <w:p w:rsidR="00926C08" w:rsidRDefault="00926C08">
      <w:pPr>
        <w:autoSpaceDE w:val="0"/>
        <w:autoSpaceDN w:val="0"/>
        <w:adjustRightInd w:val="0"/>
        <w:spacing w:line="240" w:lineRule="auto"/>
        <w:rPr>
          <w:rFonts w:ascii="Helv" w:hAnsi="Helv" w:cs="Helv"/>
          <w:i/>
          <w:iCs/>
          <w:color w:val="000000"/>
          <w:szCs w:val="20"/>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b/>
          <w:iCs/>
          <w:color w:val="000000"/>
          <w:sz w:val="22"/>
          <w:lang w:eastAsia="en-GB"/>
        </w:rPr>
        <w:t>14 February 2012:</w:t>
      </w:r>
      <w:r>
        <w:rPr>
          <w:rFonts w:cs="Helv"/>
          <w:iCs/>
          <w:color w:val="000000"/>
          <w:sz w:val="22"/>
          <w:lang w:eastAsia="en-GB"/>
        </w:rPr>
        <w:t xml:space="preserve"> Globally, businesses are now looking at the ‘Next 4 Billion’ nations for growth, especially given the slowdown in growth in mature economies. This group, which includes India, China, Indonesia parts of Africa and Latin America, is where over 4 billion of </w:t>
      </w:r>
      <w:proofErr w:type="gramStart"/>
      <w:r>
        <w:rPr>
          <w:rFonts w:cs="Helv"/>
          <w:iCs/>
          <w:color w:val="000000"/>
          <w:sz w:val="22"/>
          <w:lang w:eastAsia="en-GB"/>
        </w:rPr>
        <w:t>the</w:t>
      </w:r>
      <w:proofErr w:type="gramEnd"/>
      <w:r>
        <w:rPr>
          <w:rFonts w:cs="Helv"/>
          <w:iCs/>
          <w:color w:val="000000"/>
          <w:sz w:val="22"/>
          <w:lang w:eastAsia="en-GB"/>
        </w:rPr>
        <w:t xml:space="preserve"> world's 7 billion reside.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In these markets businesses have traditionally focused on the middle and upper middle income tiers.</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But the next big  opportunity will come from the Global Emerging Middle (GEM) - just below the middle income segment, according to PwC’s new report titled ‘Profitable growth strategies for the Global Emerging Middle – </w:t>
      </w:r>
      <w:r>
        <w:rPr>
          <w:rFonts w:cs="Helv"/>
          <w:i/>
          <w:iCs/>
          <w:color w:val="000000"/>
          <w:sz w:val="22"/>
          <w:lang w:eastAsia="en-GB"/>
        </w:rPr>
        <w:t>Learning from the ‘Next 4 Billion’ markets</w:t>
      </w:r>
      <w:r>
        <w:rPr>
          <w:rFonts w:cs="Helv"/>
          <w:iCs/>
          <w:color w:val="000000"/>
          <w:sz w:val="22"/>
          <w:lang w:eastAsia="en-GB"/>
        </w:rPr>
        <w:t xml:space="preserve">’.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This market already accounts for 2.3 billion people globally and is growing fast as more people emerge from poverty. The report shows that globally it will represent annual spending power in excess of USD 6 trillion by 2021. In India alone, it is expected to cross the USD 1 trillion </w:t>
      </w:r>
      <w:proofErr w:type="gramStart"/>
      <w:r>
        <w:rPr>
          <w:rFonts w:cs="Helv"/>
          <w:iCs/>
          <w:color w:val="000000"/>
          <w:sz w:val="22"/>
          <w:lang w:eastAsia="en-GB"/>
        </w:rPr>
        <w:t>threshold</w:t>
      </w:r>
      <w:proofErr w:type="gramEnd"/>
      <w:r>
        <w:rPr>
          <w:rFonts w:cs="Helv"/>
          <w:iCs/>
          <w:color w:val="000000"/>
          <w:sz w:val="22"/>
          <w:lang w:eastAsia="en-GB"/>
        </w:rPr>
        <w:t xml:space="preserve"> by 2021. Companies seeking growth can't afford to ignore the opportunity offered by this Emerging Middle segment but need to innovate to meet customer requirements and serve them profitably.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Tony </w:t>
      </w:r>
      <w:proofErr w:type="spellStart"/>
      <w:r>
        <w:rPr>
          <w:rFonts w:cs="Helv"/>
          <w:iCs/>
          <w:color w:val="000000"/>
          <w:sz w:val="22"/>
          <w:lang w:eastAsia="en-GB"/>
        </w:rPr>
        <w:t>Poulter</w:t>
      </w:r>
      <w:proofErr w:type="spellEnd"/>
      <w:r>
        <w:rPr>
          <w:rFonts w:cs="Helv"/>
          <w:iCs/>
          <w:color w:val="000000"/>
          <w:sz w:val="22"/>
          <w:lang w:eastAsia="en-GB"/>
        </w:rPr>
        <w:t xml:space="preserve">, Global Consulting </w:t>
      </w:r>
      <w:proofErr w:type="gramStart"/>
      <w:r>
        <w:rPr>
          <w:rFonts w:cs="Helv"/>
          <w:iCs/>
          <w:color w:val="000000"/>
          <w:sz w:val="22"/>
          <w:lang w:eastAsia="en-GB"/>
        </w:rPr>
        <w:t>Leader ,PwC</w:t>
      </w:r>
      <w:proofErr w:type="gramEnd"/>
      <w:r>
        <w:rPr>
          <w:rFonts w:cs="Helv"/>
          <w:iCs/>
          <w:color w:val="000000"/>
          <w:sz w:val="22"/>
          <w:lang w:eastAsia="en-GB"/>
        </w:rPr>
        <w:t xml:space="preserve"> said:</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ind w:left="720"/>
        <w:rPr>
          <w:rFonts w:cs="Helv"/>
          <w:iCs/>
          <w:color w:val="000000"/>
          <w:sz w:val="22"/>
          <w:lang w:eastAsia="en-GB"/>
        </w:rPr>
      </w:pPr>
      <w:r>
        <w:rPr>
          <w:rFonts w:cs="Helv"/>
          <w:iCs/>
          <w:color w:val="000000"/>
          <w:sz w:val="22"/>
          <w:lang w:eastAsia="en-GB"/>
        </w:rPr>
        <w:t>“The research shows that once a company has established itself in the Emerging Middle, customers will carry their loyalty with them as they continue to increase their income. Companies can also use the capabilities they have built in the Emerging Middle in one country to compete in other Next 4 Billion markets with similar segments.</w:t>
      </w:r>
    </w:p>
    <w:p w:rsidR="00926C08" w:rsidRDefault="00926C08">
      <w:pPr>
        <w:autoSpaceDE w:val="0"/>
        <w:autoSpaceDN w:val="0"/>
        <w:adjustRightInd w:val="0"/>
        <w:spacing w:line="240" w:lineRule="auto"/>
        <w:ind w:left="720"/>
        <w:rPr>
          <w:rFonts w:cs="Helv"/>
          <w:iCs/>
          <w:color w:val="000000"/>
          <w:sz w:val="22"/>
          <w:lang w:eastAsia="en-GB"/>
        </w:rPr>
      </w:pPr>
    </w:p>
    <w:p w:rsidR="00926C08" w:rsidRDefault="00926C08">
      <w:pPr>
        <w:autoSpaceDE w:val="0"/>
        <w:autoSpaceDN w:val="0"/>
        <w:adjustRightInd w:val="0"/>
        <w:spacing w:line="240" w:lineRule="auto"/>
        <w:ind w:left="720"/>
        <w:rPr>
          <w:rFonts w:cs="Helv"/>
          <w:iCs/>
          <w:color w:val="000000"/>
          <w:sz w:val="22"/>
          <w:lang w:eastAsia="en-GB"/>
        </w:rPr>
      </w:pPr>
    </w:p>
    <w:p w:rsidR="00926C08" w:rsidRDefault="00926C08">
      <w:pPr>
        <w:autoSpaceDE w:val="0"/>
        <w:autoSpaceDN w:val="0"/>
        <w:adjustRightInd w:val="0"/>
        <w:spacing w:line="240" w:lineRule="auto"/>
        <w:ind w:left="720"/>
        <w:rPr>
          <w:rFonts w:cs="Helv"/>
          <w:iCs/>
          <w:color w:val="000000"/>
          <w:sz w:val="22"/>
          <w:lang w:eastAsia="en-GB"/>
        </w:rPr>
      </w:pPr>
    </w:p>
    <w:p w:rsidR="00926C08" w:rsidRDefault="0016542C">
      <w:pPr>
        <w:autoSpaceDE w:val="0"/>
        <w:autoSpaceDN w:val="0"/>
        <w:adjustRightInd w:val="0"/>
        <w:spacing w:line="240" w:lineRule="auto"/>
        <w:ind w:left="720"/>
        <w:rPr>
          <w:rFonts w:cs="Helv"/>
          <w:iCs/>
          <w:color w:val="000000"/>
          <w:sz w:val="22"/>
          <w:lang w:eastAsia="en-GB"/>
        </w:rPr>
      </w:pPr>
      <w:r>
        <w:rPr>
          <w:rFonts w:cs="Helv"/>
          <w:iCs/>
          <w:color w:val="000000"/>
          <w:sz w:val="22"/>
          <w:lang w:eastAsia="en-GB"/>
        </w:rPr>
        <w:t>“Innovations developed in Next 4 Billion countries can also be exported to mature economies to spur growth and increase efficiency. Many companies will have to enter this increasingly important sector during the coming decade</w:t>
      </w:r>
      <w:proofErr w:type="gramStart"/>
      <w:r>
        <w:rPr>
          <w:rFonts w:cs="Helv"/>
          <w:iCs/>
          <w:color w:val="000000"/>
          <w:sz w:val="22"/>
          <w:lang w:eastAsia="en-GB"/>
        </w:rPr>
        <w:t>..”</w:t>
      </w:r>
      <w:proofErr w:type="gramEnd"/>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pPr>
      <w:r>
        <w:rPr>
          <w:rFonts w:cs="Helv"/>
          <w:iCs/>
          <w:color w:val="000000"/>
          <w:sz w:val="22"/>
          <w:lang w:eastAsia="en-GB"/>
        </w:rPr>
        <w:t xml:space="preserve"> PwC conducted in-depth interviews with a number of CEOs and leaders of major corporations, as well as grass-roots organisations and innovation experts. Additionally, a structured consumer study was also conducted with individuals and families from the Emerging Middle class to develop a deep understanding of their needs and demands.</w:t>
      </w:r>
      <w:r>
        <w:t xml:space="preserve">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According to the report, companies seeking to succeed in this challenging environment</w:t>
      </w:r>
      <w:proofErr w:type="gramStart"/>
      <w:r>
        <w:rPr>
          <w:rFonts w:cs="Helv"/>
          <w:iCs/>
          <w:color w:val="000000"/>
          <w:sz w:val="22"/>
          <w:lang w:eastAsia="en-GB"/>
        </w:rPr>
        <w:t>,  should</w:t>
      </w:r>
      <w:proofErr w:type="gramEnd"/>
      <w:r>
        <w:rPr>
          <w:rFonts w:cs="Helv"/>
          <w:iCs/>
          <w:color w:val="000000"/>
          <w:sz w:val="22"/>
          <w:lang w:eastAsia="en-GB"/>
        </w:rPr>
        <w:t xml:space="preserve"> consider three important factors: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b/>
          <w:iCs/>
          <w:color w:val="000000"/>
          <w:sz w:val="22"/>
          <w:lang w:eastAsia="en-GB"/>
        </w:rPr>
        <w:t>Value propositions:</w:t>
      </w:r>
      <w:r>
        <w:rPr>
          <w:rFonts w:cs="Helv"/>
          <w:iCs/>
          <w:color w:val="000000"/>
          <w:sz w:val="22"/>
          <w:lang w:eastAsia="en-GB"/>
        </w:rPr>
        <w:t xml:space="preserve"> They have to develop a nuanced understanding of the aspirations and </w:t>
      </w:r>
      <w:proofErr w:type="spellStart"/>
      <w:r>
        <w:rPr>
          <w:rFonts w:cs="Helv"/>
          <w:iCs/>
          <w:color w:val="000000"/>
          <w:sz w:val="22"/>
          <w:lang w:eastAsia="en-GB"/>
        </w:rPr>
        <w:t>tradeoffs</w:t>
      </w:r>
      <w:proofErr w:type="spellEnd"/>
      <w:r>
        <w:rPr>
          <w:rFonts w:cs="Helv"/>
          <w:iCs/>
          <w:color w:val="000000"/>
          <w:sz w:val="22"/>
          <w:lang w:eastAsia="en-GB"/>
        </w:rPr>
        <w:t xml:space="preserve"> of customers in this segment and develop solutions to meet these needs. While low-cost is important, solutions must be positioned beyond low cost. Companies must also design “platform” products which can be customized to cater to the wide diversity of the GEM.</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b/>
          <w:iCs/>
          <w:color w:val="000000"/>
          <w:sz w:val="22"/>
          <w:lang w:eastAsia="en-GB"/>
        </w:rPr>
        <w:t>Innovative Business models:</w:t>
      </w:r>
      <w:r>
        <w:rPr>
          <w:rFonts w:cs="Helv"/>
          <w:iCs/>
          <w:color w:val="000000"/>
          <w:sz w:val="22"/>
          <w:lang w:eastAsia="en-GB"/>
        </w:rPr>
        <w:t xml:space="preserve"> Companies need innovative business models and processes to address this segment profitably, to overcome institutional weaknesses and gaps - in everything from credit systems to supply chains. The report argues that while smart technology-based reach is essential to penetrate this market, businesses must still focus on offline interventions and achieving scale from the beginning..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b/>
          <w:iCs/>
          <w:color w:val="000000"/>
          <w:sz w:val="22"/>
          <w:lang w:eastAsia="en-GB"/>
        </w:rPr>
        <w:t xml:space="preserve">Shift in </w:t>
      </w:r>
      <w:proofErr w:type="spellStart"/>
      <w:r>
        <w:rPr>
          <w:rFonts w:cs="Helv"/>
          <w:b/>
          <w:iCs/>
          <w:color w:val="000000"/>
          <w:sz w:val="22"/>
          <w:lang w:eastAsia="en-GB"/>
        </w:rPr>
        <w:t>mindset</w:t>
      </w:r>
      <w:proofErr w:type="spellEnd"/>
      <w:r>
        <w:rPr>
          <w:rFonts w:cs="Helv"/>
          <w:b/>
          <w:iCs/>
          <w:color w:val="000000"/>
          <w:sz w:val="22"/>
          <w:lang w:eastAsia="en-GB"/>
        </w:rPr>
        <w:t>:</w:t>
      </w:r>
      <w:r>
        <w:rPr>
          <w:rFonts w:cs="Helv"/>
          <w:iCs/>
          <w:color w:val="000000"/>
          <w:sz w:val="22"/>
          <w:lang w:eastAsia="en-GB"/>
        </w:rPr>
        <w:t xml:space="preserve"> Companies need to adjust both in their external approach to the market, and internally. Often this requires a strong leadership presence, a bold approach that embraces disruptive solutions, and a willingness to adopt new values and metrics to drive growth and measure success.</w:t>
      </w:r>
    </w:p>
    <w:p w:rsidR="00926C08" w:rsidRDefault="00926C08">
      <w:pPr>
        <w:autoSpaceDE w:val="0"/>
        <w:autoSpaceDN w:val="0"/>
        <w:adjustRightInd w:val="0"/>
        <w:spacing w:line="240" w:lineRule="auto"/>
        <w:rPr>
          <w:rFonts w:cs="Helv"/>
          <w:iCs/>
          <w:color w:val="000000"/>
          <w:sz w:val="22"/>
          <w:lang w:eastAsia="en-GB"/>
        </w:rPr>
      </w:pPr>
    </w:p>
    <w:p w:rsidR="00926C08" w:rsidRDefault="00926C08">
      <w:pPr>
        <w:autoSpaceDE w:val="0"/>
        <w:autoSpaceDN w:val="0"/>
        <w:adjustRightInd w:val="0"/>
        <w:spacing w:line="240" w:lineRule="auto"/>
        <w:rPr>
          <w:rFonts w:cs="Helv"/>
          <w:iCs/>
          <w:color w:val="000000"/>
          <w:sz w:val="22"/>
          <w:lang w:eastAsia="en-GB"/>
        </w:rPr>
      </w:pP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rPr>
          <w:rFonts w:cs="Arial"/>
          <w:b/>
          <w:color w:val="000000"/>
          <w:szCs w:val="20"/>
          <w:lang w:eastAsia="en-GB"/>
        </w:rPr>
      </w:pPr>
      <w:r>
        <w:rPr>
          <w:rFonts w:cs="Arial"/>
          <w:b/>
          <w:color w:val="000000"/>
          <w:szCs w:val="20"/>
          <w:lang w:eastAsia="en-GB"/>
        </w:rPr>
        <w:t>ENDS</w:t>
      </w:r>
    </w:p>
    <w:p w:rsidR="00926C08" w:rsidRDefault="00926C08">
      <w:pPr>
        <w:pStyle w:val="Standardheading"/>
        <w:tabs>
          <w:tab w:val="left" w:pos="6540"/>
        </w:tabs>
        <w:rPr>
          <w:rFonts w:ascii="Georgia" w:hAnsi="Georgia"/>
        </w:rPr>
      </w:pPr>
    </w:p>
    <w:p w:rsidR="00926C08" w:rsidRDefault="00926C08">
      <w:pPr>
        <w:rPr>
          <w:rFonts w:cs="Arial"/>
          <w:szCs w:val="20"/>
          <w:lang w:val="fr-FR"/>
        </w:rPr>
      </w:pPr>
    </w:p>
    <w:p w:rsidR="00926C08" w:rsidRDefault="0016542C">
      <w:pPr>
        <w:pStyle w:val="Standardheading"/>
        <w:rPr>
          <w:rFonts w:ascii="Georgia" w:hAnsi="Georgia"/>
        </w:rPr>
      </w:pPr>
      <w:r>
        <w:rPr>
          <w:rFonts w:ascii="Georgia" w:hAnsi="Georgia"/>
        </w:rPr>
        <w:t>Notes to editor:</w:t>
      </w:r>
    </w:p>
    <w:p w:rsidR="00926C08" w:rsidRDefault="00926C08">
      <w:pPr>
        <w:pStyle w:val="Standardheading"/>
        <w:rPr>
          <w:rFonts w:ascii="Georgia" w:hAnsi="Georgia"/>
        </w:rPr>
      </w:pPr>
    </w:p>
    <w:p w:rsidR="00926C08" w:rsidRDefault="0016542C">
      <w:pPr>
        <w:pStyle w:val="Standardheading"/>
        <w:numPr>
          <w:ilvl w:val="0"/>
          <w:numId w:val="3"/>
        </w:numPr>
        <w:rPr>
          <w:rFonts w:ascii="Georgia" w:hAnsi="Georgia" w:cs="Helv"/>
          <w:b w:val="0"/>
          <w:iCs/>
          <w:color w:val="000000"/>
          <w:sz w:val="22"/>
          <w:lang w:eastAsia="en-GB"/>
        </w:rPr>
      </w:pPr>
      <w:r>
        <w:rPr>
          <w:rFonts w:ascii="Georgia" w:hAnsi="Georgia" w:cs="Helv"/>
          <w:b w:val="0"/>
          <w:iCs/>
          <w:color w:val="000000"/>
          <w:sz w:val="22"/>
          <w:lang w:eastAsia="en-GB"/>
        </w:rPr>
        <w:t>The Next 4 Billion nations are defined as having average per capita income of between USD 1000 and USD 4000 per year and are home to 4 Billion people or more than half of the world’s total population of 7 billion.</w:t>
      </w:r>
    </w:p>
    <w:p w:rsidR="00926C08" w:rsidRDefault="00926C08">
      <w:pPr>
        <w:pStyle w:val="Standardheading"/>
        <w:rPr>
          <w:rFonts w:ascii="Georgia" w:hAnsi="Georgia" w:cs="Helv"/>
          <w:b w:val="0"/>
          <w:iCs/>
          <w:color w:val="000000"/>
          <w:sz w:val="22"/>
          <w:lang w:eastAsia="en-GB"/>
        </w:rPr>
      </w:pPr>
    </w:p>
    <w:p w:rsidR="00926C08" w:rsidRDefault="0016542C">
      <w:pPr>
        <w:pStyle w:val="ListParagraph"/>
        <w:numPr>
          <w:ilvl w:val="0"/>
          <w:numId w:val="3"/>
        </w:numPr>
        <w:autoSpaceDE w:val="0"/>
        <w:autoSpaceDN w:val="0"/>
        <w:adjustRightInd w:val="0"/>
        <w:spacing w:line="240" w:lineRule="auto"/>
        <w:rPr>
          <w:rFonts w:eastAsiaTheme="minorHAnsi" w:cs="ITCCharterCom-Regular"/>
          <w:sz w:val="22"/>
          <w:lang w:val="en-US"/>
        </w:rPr>
      </w:pPr>
      <w:r>
        <w:rPr>
          <w:rFonts w:eastAsiaTheme="minorHAnsi" w:cs="ITCCharterCom-Regular"/>
          <w:sz w:val="22"/>
          <w:lang w:val="en-US"/>
        </w:rPr>
        <w:t>Large numbers of consumers are making their way up from the bottom of the economic pyramid to form an Emerging Middle class. Though they still earn modest sums -- $1.70 to $5 per capita per day in India, for example – these consumers collectively have large purchasing power.</w:t>
      </w:r>
    </w:p>
    <w:p w:rsidR="00926C08" w:rsidRDefault="00926C08">
      <w:pPr>
        <w:autoSpaceDE w:val="0"/>
        <w:autoSpaceDN w:val="0"/>
        <w:adjustRightInd w:val="0"/>
        <w:spacing w:line="240" w:lineRule="auto"/>
        <w:rPr>
          <w:rFonts w:eastAsiaTheme="minorHAnsi" w:cs="ITCCharterCom-Regular"/>
          <w:sz w:val="22"/>
          <w:lang w:val="en-US"/>
        </w:rPr>
      </w:pPr>
    </w:p>
    <w:p w:rsidR="00926C08" w:rsidRDefault="0016542C">
      <w:pPr>
        <w:pStyle w:val="ListParagraph"/>
        <w:numPr>
          <w:ilvl w:val="0"/>
          <w:numId w:val="3"/>
        </w:numPr>
        <w:autoSpaceDE w:val="0"/>
        <w:autoSpaceDN w:val="0"/>
        <w:adjustRightInd w:val="0"/>
        <w:spacing w:line="240" w:lineRule="auto"/>
        <w:rPr>
          <w:rFonts w:cs="Helv"/>
          <w:b/>
          <w:iCs/>
          <w:color w:val="000000"/>
          <w:sz w:val="22"/>
          <w:lang w:eastAsia="en-GB"/>
        </w:rPr>
      </w:pPr>
      <w:r>
        <w:rPr>
          <w:rFonts w:eastAsiaTheme="minorHAnsi" w:cs="ITCCharterCom-Regular"/>
          <w:sz w:val="22"/>
          <w:lang w:val="en-US"/>
        </w:rPr>
        <w:t>In India, for example, about 470 million people were in the Emerging Middle class in 2010. We estimate that this segment will grow to 570 million by 2021. At that time, the segment, sandwiched between the lowest-income group and the middle class, will constitute about 42% of India’s total population.</w:t>
      </w:r>
    </w:p>
    <w:p w:rsidR="00926C08" w:rsidRDefault="00926C08">
      <w:pPr>
        <w:pStyle w:val="Standardheading"/>
        <w:rPr>
          <w:rFonts w:ascii="Georgia" w:hAnsi="Georgia"/>
          <w:b w:val="0"/>
          <w:sz w:val="22"/>
          <w:szCs w:val="22"/>
        </w:rPr>
      </w:pPr>
    </w:p>
    <w:p w:rsidR="00926C08" w:rsidRPr="008B6377" w:rsidRDefault="00926C08" w:rsidP="008B6377">
      <w:pPr>
        <w:autoSpaceDE w:val="0"/>
        <w:autoSpaceDN w:val="0"/>
        <w:adjustRightInd w:val="0"/>
        <w:spacing w:line="240" w:lineRule="auto"/>
        <w:rPr>
          <w:b/>
        </w:rPr>
      </w:pPr>
    </w:p>
    <w:p w:rsidR="00926C08" w:rsidRDefault="00926C08">
      <w:pPr>
        <w:pStyle w:val="Standardheading"/>
        <w:rPr>
          <w:rFonts w:ascii="Georgia" w:hAnsi="Georgia"/>
        </w:rPr>
      </w:pPr>
    </w:p>
    <w:p w:rsidR="00926C08" w:rsidRDefault="0016542C">
      <w:pPr>
        <w:autoSpaceDE w:val="0"/>
        <w:autoSpaceDN w:val="0"/>
        <w:adjustRightInd w:val="0"/>
        <w:spacing w:line="240" w:lineRule="auto"/>
        <w:rPr>
          <w:rFonts w:cs="Helv"/>
          <w:b/>
          <w:szCs w:val="20"/>
        </w:rPr>
      </w:pPr>
      <w:r>
        <w:rPr>
          <w:rFonts w:cs="Helv"/>
          <w:b/>
          <w:szCs w:val="20"/>
        </w:rPr>
        <w:t>About PwC</w:t>
      </w:r>
    </w:p>
    <w:p w:rsidR="00926C08" w:rsidRDefault="00926C08">
      <w:pPr>
        <w:spacing w:line="240" w:lineRule="auto"/>
        <w:rPr>
          <w:rFonts w:cs="Arial"/>
          <w:color w:val="000000"/>
          <w:szCs w:val="20"/>
          <w:lang w:val="en-US"/>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PwC firms help organisations and individuals create the value they’re looking for.  We’re a network of firms in 158 countries with close to 169,000 people who are committed to delivering quality in assurance, tax and advisory services.  Tell us what matters to you and find out more by visiting us at</w:t>
      </w:r>
      <w:hyperlink r:id="rId10" w:history="1">
        <w:r>
          <w:rPr>
            <w:rFonts w:cs="Helv"/>
            <w:iCs/>
            <w:color w:val="000000"/>
            <w:sz w:val="22"/>
            <w:lang w:eastAsia="en-GB"/>
          </w:rPr>
          <w:t xml:space="preserve"> www.pwc.com</w:t>
        </w:r>
      </w:hyperlink>
      <w:r>
        <w:rPr>
          <w:rFonts w:cs="Helv"/>
          <w:iCs/>
          <w:color w:val="000000"/>
          <w:sz w:val="22"/>
          <w:lang w:eastAsia="en-GB"/>
        </w:rPr>
        <w:t xml:space="preserve">. </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cs="Helv"/>
          <w:iCs/>
          <w:color w:val="000000"/>
          <w:sz w:val="22"/>
          <w:lang w:eastAsia="en-GB"/>
        </w:rPr>
      </w:pPr>
      <w:r>
        <w:rPr>
          <w:rFonts w:cs="Helv"/>
          <w:iCs/>
          <w:color w:val="000000"/>
          <w:sz w:val="22"/>
          <w:lang w:eastAsia="en-GB"/>
        </w:rPr>
        <w:t>PwC has changed its brand name from PricewaterhouseCoopers to PwC.  'PwC' is written in text with a capital 'P' and capital 'C'.  Only when you use the PwC logo is the name represented in lower case.</w:t>
      </w:r>
    </w:p>
    <w:p w:rsidR="00926C08" w:rsidRDefault="00926C08">
      <w:pPr>
        <w:autoSpaceDE w:val="0"/>
        <w:autoSpaceDN w:val="0"/>
        <w:adjustRightInd w:val="0"/>
        <w:spacing w:line="240" w:lineRule="auto"/>
        <w:rPr>
          <w:rFonts w:cs="Helv"/>
          <w:iCs/>
          <w:color w:val="000000"/>
          <w:sz w:val="22"/>
          <w:lang w:eastAsia="en-GB"/>
        </w:rPr>
      </w:pPr>
    </w:p>
    <w:p w:rsidR="00926C08" w:rsidRDefault="0016542C">
      <w:pPr>
        <w:autoSpaceDE w:val="0"/>
        <w:autoSpaceDN w:val="0"/>
        <w:adjustRightInd w:val="0"/>
        <w:spacing w:line="240" w:lineRule="auto"/>
        <w:rPr>
          <w:rFonts w:eastAsiaTheme="minorHAnsi" w:cs="Georgia"/>
          <w:color w:val="000000"/>
          <w:szCs w:val="20"/>
        </w:rPr>
      </w:pPr>
      <w:r>
        <w:rPr>
          <w:rFonts w:cs="Helv"/>
          <w:iCs/>
          <w:color w:val="000000"/>
          <w:sz w:val="22"/>
          <w:lang w:eastAsia="en-GB"/>
        </w:rPr>
        <w:t>"PwC" is the brand under which member firms of PricewaterhouseCoopers International Limited (</w:t>
      </w:r>
      <w:proofErr w:type="spellStart"/>
      <w:r>
        <w:rPr>
          <w:rFonts w:cs="Helv"/>
          <w:iCs/>
          <w:color w:val="000000"/>
          <w:sz w:val="22"/>
          <w:lang w:eastAsia="en-GB"/>
        </w:rPr>
        <w:t>PwCIL</w:t>
      </w:r>
      <w:proofErr w:type="spellEnd"/>
      <w:r>
        <w:rPr>
          <w:rFonts w:cs="Helv"/>
          <w:iCs/>
          <w:color w:val="000000"/>
          <w:sz w:val="22"/>
          <w:lang w:eastAsia="en-GB"/>
        </w:rPr>
        <w:t xml:space="preserve">) operate and provide services. Together, these firms form the PwC network. Each firm in the network is a separate legal entity and does not act as agent of </w:t>
      </w:r>
      <w:proofErr w:type="spellStart"/>
      <w:r>
        <w:rPr>
          <w:rFonts w:cs="Helv"/>
          <w:iCs/>
          <w:color w:val="000000"/>
          <w:sz w:val="22"/>
          <w:lang w:eastAsia="en-GB"/>
        </w:rPr>
        <w:t>PwCIL</w:t>
      </w:r>
      <w:proofErr w:type="spellEnd"/>
      <w:r>
        <w:rPr>
          <w:rFonts w:cs="Helv"/>
          <w:iCs/>
          <w:color w:val="000000"/>
          <w:sz w:val="22"/>
          <w:lang w:eastAsia="en-GB"/>
        </w:rPr>
        <w:t xml:space="preserve"> or any other member firm. </w:t>
      </w:r>
      <w:proofErr w:type="spellStart"/>
      <w:r>
        <w:rPr>
          <w:rFonts w:cs="Helv"/>
          <w:iCs/>
          <w:color w:val="000000"/>
          <w:sz w:val="22"/>
          <w:lang w:eastAsia="en-GB"/>
        </w:rPr>
        <w:t>PwCIL</w:t>
      </w:r>
      <w:proofErr w:type="spellEnd"/>
      <w:r>
        <w:rPr>
          <w:rFonts w:cs="Helv"/>
          <w:iCs/>
          <w:color w:val="000000"/>
          <w:sz w:val="22"/>
          <w:lang w:eastAsia="en-GB"/>
        </w:rPr>
        <w:t xml:space="preserve"> does not provide any services to clients. </w:t>
      </w:r>
      <w:proofErr w:type="spellStart"/>
      <w:r>
        <w:rPr>
          <w:rFonts w:cs="Helv"/>
          <w:iCs/>
          <w:color w:val="000000"/>
          <w:sz w:val="22"/>
          <w:lang w:eastAsia="en-GB"/>
        </w:rPr>
        <w:t>PwCIL</w:t>
      </w:r>
      <w:proofErr w:type="spellEnd"/>
      <w:r>
        <w:rPr>
          <w:rFonts w:cs="Helv"/>
          <w:iCs/>
          <w:color w:val="000000"/>
          <w:sz w:val="22"/>
          <w:lang w:eastAsia="en-GB"/>
        </w:rPr>
        <w:t xml:space="preserve"> is not responsible or liable for the acts or omissions of any of its member firms nor can it control the exercise of their professional judgment or bind them in any way. </w:t>
      </w:r>
    </w:p>
    <w:p w:rsidR="00926C08" w:rsidRDefault="00926C08">
      <w:pPr>
        <w:autoSpaceDE w:val="0"/>
        <w:autoSpaceDN w:val="0"/>
        <w:adjustRightInd w:val="0"/>
        <w:spacing w:line="240" w:lineRule="auto"/>
        <w:rPr>
          <w:rFonts w:eastAsiaTheme="minorHAnsi" w:cs="Georgia"/>
          <w:color w:val="000000"/>
          <w:szCs w:val="20"/>
        </w:rPr>
      </w:pPr>
    </w:p>
    <w:sectPr w:rsidR="00926C08" w:rsidSect="00926C08">
      <w:headerReference w:type="even" r:id="rId11"/>
      <w:headerReference w:type="default" r:id="rId12"/>
      <w:footerReference w:type="even" r:id="rId13"/>
      <w:footerReference w:type="default" r:id="rId14"/>
      <w:headerReference w:type="first" r:id="rId15"/>
      <w:pgSz w:w="11907" w:h="16839"/>
      <w:pgMar w:top="2694"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2C" w:rsidRDefault="0016542C">
      <w:pPr>
        <w:spacing w:line="240" w:lineRule="auto"/>
      </w:pPr>
      <w:r>
        <w:separator/>
      </w:r>
    </w:p>
  </w:endnote>
  <w:endnote w:type="continuationSeparator" w:id="0">
    <w:p w:rsidR="0016542C" w:rsidRDefault="00165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ITCCharterCom-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08" w:rsidRDefault="009218C3">
    <w:pPr>
      <w:pStyle w:val="Footer"/>
    </w:pPr>
    <w:r>
      <w:fldChar w:fldCharType="begin"/>
    </w:r>
    <w:r>
      <w:instrText xml:space="preserve"> PAGE  \* MERGEFORMAT </w:instrText>
    </w:r>
    <w:r>
      <w:fldChar w:fldCharType="separate"/>
    </w:r>
    <w:r w:rsidR="0016542C">
      <w:rPr>
        <w:noProof/>
      </w:rPr>
      <w:t>3</w:t>
    </w:r>
    <w:r>
      <w:rPr>
        <w:noProof/>
      </w:rPr>
      <w:fldChar w:fldCharType="end"/>
    </w:r>
    <w:r w:rsidR="0016542C">
      <w:t xml:space="preserve"> of </w:t>
    </w:r>
    <w:r>
      <w:fldChar w:fldCharType="begin"/>
    </w:r>
    <w:r>
      <w:instrText xml:space="preserve"> NUMPAGES  \* MERGEFORMAT </w:instrText>
    </w:r>
    <w:r>
      <w:fldChar w:fldCharType="separate"/>
    </w:r>
    <w:r w:rsidR="007B6F84">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08" w:rsidRDefault="009218C3">
    <w:pPr>
      <w:pStyle w:val="Footer"/>
    </w:pPr>
    <w:r>
      <w:fldChar w:fldCharType="begin"/>
    </w:r>
    <w:r>
      <w:instrText xml:space="preserve"> PAGE  \* MERGEFORMAT </w:instrText>
    </w:r>
    <w:r>
      <w:fldChar w:fldCharType="separate"/>
    </w:r>
    <w:r>
      <w:rPr>
        <w:noProof/>
      </w:rPr>
      <w:t>3</w:t>
    </w:r>
    <w:r>
      <w:rPr>
        <w:noProof/>
      </w:rPr>
      <w:fldChar w:fldCharType="end"/>
    </w:r>
    <w:r w:rsidR="0016542C">
      <w:t xml:space="preserve"> of </w:t>
    </w:r>
    <w:r>
      <w:fldChar w:fldCharType="begin"/>
    </w:r>
    <w:r>
      <w:instrText xml:space="preserve"> NUMPAGES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2C" w:rsidRDefault="0016542C">
      <w:pPr>
        <w:spacing w:line="240" w:lineRule="auto"/>
      </w:pPr>
      <w:r>
        <w:separator/>
      </w:r>
    </w:p>
  </w:footnote>
  <w:footnote w:type="continuationSeparator" w:id="0">
    <w:p w:rsidR="0016542C" w:rsidRDefault="00165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08" w:rsidRDefault="0016542C">
    <w:pPr>
      <w:pStyle w:val="Header"/>
    </w:pPr>
    <w:r>
      <w:rPr>
        <w:noProof/>
        <w:lang w:val="en-US"/>
      </w:rPr>
      <w:drawing>
        <wp:anchor distT="0" distB="0" distL="114300" distR="114300" simplePos="0" relativeHeight="25166131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26C08" w:rsidRDefault="0092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08" w:rsidRDefault="0016542C">
    <w:pPr>
      <w:pStyle w:val="Header"/>
    </w:pPr>
    <w:r>
      <w:rPr>
        <w:noProof/>
        <w:lang w:val="en-US"/>
      </w:rPr>
      <w:drawing>
        <wp:anchor distT="0" distB="0" distL="114300" distR="114300" simplePos="0" relativeHeight="25166028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26C08" w:rsidRDefault="00926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08" w:rsidRDefault="0016542C">
    <w:pPr>
      <w:pStyle w:val="Header"/>
    </w:pPr>
    <w:r>
      <w:rPr>
        <w:noProof/>
        <w:lang w:val="en-US"/>
      </w:rPr>
      <w:drawing>
        <wp:anchor distT="0" distB="0" distL="114300" distR="114300" simplePos="0" relativeHeight="25165926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80"/>
    <w:multiLevelType w:val="hybridMultilevel"/>
    <w:tmpl w:val="1264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926E7"/>
    <w:multiLevelType w:val="hybridMultilevel"/>
    <w:tmpl w:val="355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E7BE2"/>
    <w:multiLevelType w:val="hybridMultilevel"/>
    <w:tmpl w:val="B4C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6C08"/>
    <w:rsid w:val="0016542C"/>
    <w:rsid w:val="007B6F84"/>
    <w:rsid w:val="008B6377"/>
    <w:rsid w:val="009218C3"/>
    <w:rsid w:val="0092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08"/>
    <w:pPr>
      <w:spacing w:after="0" w:line="240" w:lineRule="atLeast"/>
    </w:pPr>
    <w:rPr>
      <w:rFonts w:ascii="Georgia" w:eastAsia="Calibri" w:hAnsi="Georgi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6C0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26C08"/>
    <w:rPr>
      <w:rFonts w:ascii="Georgia" w:eastAsia="Calibri" w:hAnsi="Georgia" w:cs="Times New Roman"/>
      <w:sz w:val="20"/>
      <w:lang w:val="en-GB"/>
    </w:rPr>
  </w:style>
  <w:style w:type="paragraph" w:styleId="Footer">
    <w:name w:val="footer"/>
    <w:basedOn w:val="Normal"/>
    <w:link w:val="FooterChar"/>
    <w:uiPriority w:val="99"/>
    <w:semiHidden/>
    <w:rsid w:val="00926C0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26C08"/>
    <w:rPr>
      <w:rFonts w:ascii="Georgia" w:eastAsia="Calibri" w:hAnsi="Georgia" w:cs="Times New Roman"/>
      <w:sz w:val="20"/>
      <w:lang w:val="en-GB"/>
    </w:rPr>
  </w:style>
  <w:style w:type="paragraph" w:styleId="Title">
    <w:name w:val="Title"/>
    <w:basedOn w:val="Normal"/>
    <w:next w:val="Normal"/>
    <w:link w:val="TitleChar"/>
    <w:uiPriority w:val="10"/>
    <w:qFormat/>
    <w:rsid w:val="00926C08"/>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26C08"/>
    <w:rPr>
      <w:rFonts w:ascii="Cambria" w:eastAsia="Times New Roman" w:hAnsi="Cambria" w:cs="Times New Roman"/>
      <w:b/>
      <w:i/>
      <w:color w:val="000000"/>
      <w:spacing w:val="5"/>
      <w:kern w:val="28"/>
      <w:sz w:val="24"/>
      <w:szCs w:val="52"/>
      <w:lang w:val="en-GB"/>
    </w:rPr>
  </w:style>
  <w:style w:type="paragraph" w:customStyle="1" w:styleId="Heading">
    <w:name w:val="Heading"/>
    <w:basedOn w:val="Normal"/>
    <w:uiPriority w:val="99"/>
    <w:rsid w:val="00926C08"/>
    <w:pPr>
      <w:spacing w:line="240" w:lineRule="auto"/>
    </w:pPr>
    <w:rPr>
      <w:rFonts w:ascii="Arial" w:eastAsia="Times New Roman" w:hAnsi="Arial"/>
      <w:b/>
      <w:sz w:val="24"/>
      <w:szCs w:val="20"/>
    </w:rPr>
  </w:style>
  <w:style w:type="paragraph" w:customStyle="1" w:styleId="Standardheading">
    <w:name w:val="Standard heading"/>
    <w:basedOn w:val="Normal"/>
    <w:uiPriority w:val="99"/>
    <w:rsid w:val="00926C08"/>
    <w:pPr>
      <w:spacing w:line="240" w:lineRule="auto"/>
    </w:pPr>
    <w:rPr>
      <w:rFonts w:ascii="Arial" w:eastAsia="Times New Roman" w:hAnsi="Arial" w:cs="Arial"/>
      <w:b/>
      <w:szCs w:val="20"/>
    </w:rPr>
  </w:style>
  <w:style w:type="character" w:styleId="Hyperlink">
    <w:name w:val="Hyperlink"/>
    <w:basedOn w:val="DefaultParagraphFont"/>
    <w:uiPriority w:val="99"/>
    <w:rsid w:val="00926C08"/>
    <w:rPr>
      <w:rFonts w:cs="Times New Roman"/>
      <w:color w:val="0000FF"/>
      <w:u w:val="single"/>
    </w:rPr>
  </w:style>
  <w:style w:type="paragraph" w:styleId="FootnoteText">
    <w:name w:val="footnote text"/>
    <w:basedOn w:val="Normal"/>
    <w:link w:val="FootnoteTextChar"/>
    <w:uiPriority w:val="99"/>
    <w:semiHidden/>
    <w:unhideWhenUsed/>
    <w:rsid w:val="00926C08"/>
    <w:pPr>
      <w:spacing w:line="240" w:lineRule="auto"/>
    </w:pPr>
    <w:rPr>
      <w:szCs w:val="20"/>
    </w:rPr>
  </w:style>
  <w:style w:type="character" w:customStyle="1" w:styleId="FootnoteTextChar">
    <w:name w:val="Footnote Text Char"/>
    <w:basedOn w:val="DefaultParagraphFont"/>
    <w:link w:val="FootnoteText"/>
    <w:uiPriority w:val="99"/>
    <w:semiHidden/>
    <w:rsid w:val="00926C08"/>
    <w:rPr>
      <w:rFonts w:ascii="Georgia" w:eastAsia="Calibri" w:hAnsi="Georgia" w:cs="Times New Roman"/>
      <w:sz w:val="20"/>
      <w:szCs w:val="20"/>
      <w:lang w:val="en-GB"/>
    </w:rPr>
  </w:style>
  <w:style w:type="character" w:styleId="FootnoteReference">
    <w:name w:val="footnote reference"/>
    <w:basedOn w:val="DefaultParagraphFont"/>
    <w:uiPriority w:val="99"/>
    <w:semiHidden/>
    <w:unhideWhenUsed/>
    <w:rsid w:val="00926C08"/>
    <w:rPr>
      <w:vertAlign w:val="superscript"/>
    </w:rPr>
  </w:style>
  <w:style w:type="paragraph" w:styleId="ListParagraph">
    <w:name w:val="List Paragraph"/>
    <w:basedOn w:val="Normal"/>
    <w:uiPriority w:val="34"/>
    <w:qFormat/>
    <w:rsid w:val="00926C08"/>
    <w:pPr>
      <w:ind w:left="720"/>
      <w:contextualSpacing/>
    </w:pPr>
  </w:style>
  <w:style w:type="paragraph" w:styleId="CommentText">
    <w:name w:val="annotation text"/>
    <w:basedOn w:val="Normal"/>
    <w:uiPriority w:val="99"/>
    <w:semiHidden/>
    <w:unhideWhenUsed/>
    <w:rsid w:val="00926C08"/>
    <w:pPr>
      <w:spacing w:line="24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6750">
      <w:bodyDiv w:val="1"/>
      <w:marLeft w:val="0"/>
      <w:marRight w:val="0"/>
      <w:marTop w:val="0"/>
      <w:marBottom w:val="0"/>
      <w:divBdr>
        <w:top w:val="none" w:sz="0" w:space="0" w:color="auto"/>
        <w:left w:val="none" w:sz="0" w:space="0" w:color="auto"/>
        <w:bottom w:val="none" w:sz="0" w:space="0" w:color="auto"/>
        <w:right w:val="none" w:sz="0" w:space="0" w:color="auto"/>
      </w:divBdr>
    </w:div>
    <w:div w:id="520776075">
      <w:bodyDiv w:val="1"/>
      <w:marLeft w:val="0"/>
      <w:marRight w:val="0"/>
      <w:marTop w:val="0"/>
      <w:marBottom w:val="0"/>
      <w:divBdr>
        <w:top w:val="none" w:sz="0" w:space="0" w:color="auto"/>
        <w:left w:val="none" w:sz="0" w:space="0" w:color="auto"/>
        <w:bottom w:val="none" w:sz="0" w:space="0" w:color="auto"/>
        <w:right w:val="none" w:sz="0" w:space="0" w:color="auto"/>
      </w:divBdr>
    </w:div>
    <w:div w:id="15991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openxmlformats.org/officeDocument/2006/relationships/settings" Target="settings.xml"/><Relationship Id="rId9" Type="http://schemas.openxmlformats.org/officeDocument/2006/relationships/hyperlink" Target="mailto:nandini.chatterjee@in.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gautam virkar</dc:creator>
  <cp:keywords/>
  <dc:description/>
  <cp:lastModifiedBy>Brad Burnside</cp:lastModifiedBy>
  <cp:revision>4</cp:revision>
  <cp:lastPrinted>2012-02-09T15:23:00Z</cp:lastPrinted>
  <dcterms:created xsi:type="dcterms:W3CDTF">2012-02-09T15:23:00Z</dcterms:created>
  <dcterms:modified xsi:type="dcterms:W3CDTF">2012-02-20T14:49:00Z</dcterms:modified>
</cp:coreProperties>
</file>