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10AE6" w14:textId="77777777" w:rsidR="003F3583" w:rsidRPr="00924BC4" w:rsidRDefault="003F3583" w:rsidP="003F3583">
      <w:pPr>
        <w:spacing w:line="240" w:lineRule="auto"/>
        <w:ind w:left="-187" w:right="-187"/>
        <w:jc w:val="center"/>
        <w:rPr>
          <w:rFonts w:ascii="Calibri" w:eastAsia="Calibri" w:hAnsi="Calibri" w:cs="Calibri"/>
          <w:b/>
          <w:sz w:val="40"/>
          <w:szCs w:val="40"/>
        </w:rPr>
      </w:pPr>
      <w:r w:rsidRPr="00924BC4">
        <w:rPr>
          <w:rFonts w:ascii="Calibri" w:eastAsia="Calibri" w:hAnsi="Calibri" w:cs="Calibri"/>
          <w:b/>
          <w:sz w:val="40"/>
          <w:szCs w:val="40"/>
        </w:rPr>
        <w:t xml:space="preserve">MRI Exposure During Early Pregnancy </w:t>
      </w:r>
    </w:p>
    <w:p w14:paraId="0B8C10D8" w14:textId="77777777" w:rsidR="003F3583" w:rsidRDefault="003F3583" w:rsidP="003F3583">
      <w:pPr>
        <w:spacing w:line="240" w:lineRule="auto"/>
        <w:ind w:left="-187" w:right="-187"/>
        <w:jc w:val="center"/>
      </w:pPr>
      <w:r w:rsidRPr="00924BC4">
        <w:rPr>
          <w:rFonts w:ascii="Calibri" w:eastAsia="Calibri" w:hAnsi="Calibri" w:cs="Calibri"/>
          <w:b/>
          <w:sz w:val="40"/>
          <w:szCs w:val="40"/>
        </w:rPr>
        <w:t>Not Associated with Increased Fetal Harm</w:t>
      </w:r>
    </w:p>
    <w:p w14:paraId="176EE88A" w14:textId="77777777" w:rsidR="003F3583" w:rsidRDefault="003F3583" w:rsidP="003F3583">
      <w:pPr>
        <w:jc w:val="both"/>
      </w:pPr>
    </w:p>
    <w:p w14:paraId="14DBC735" w14:textId="77777777" w:rsidR="003F3583" w:rsidRDefault="003F3583" w:rsidP="003F3583">
      <w:pPr>
        <w:jc w:val="both"/>
      </w:pPr>
      <w:r>
        <w:t xml:space="preserve">Synaptic Digital ANR Script </w:t>
      </w:r>
    </w:p>
    <w:p w14:paraId="4E760442" w14:textId="77777777" w:rsidR="003F3583" w:rsidRDefault="003F3583" w:rsidP="003F3583">
      <w:pPr>
        <w:jc w:val="both"/>
      </w:pPr>
      <w:r>
        <w:t>FINAL VERSION</w:t>
      </w:r>
    </w:p>
    <w:p w14:paraId="208E472C" w14:textId="77777777" w:rsidR="003F3583" w:rsidRDefault="003F3583" w:rsidP="003F3583">
      <w:pPr>
        <w:jc w:val="both"/>
      </w:pPr>
      <w:r>
        <w:t>60 seconds</w:t>
      </w:r>
    </w:p>
    <w:tbl>
      <w:tblPr>
        <w:tblW w:w="944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44"/>
      </w:tblGrid>
      <w:tr w:rsidR="003F3583" w14:paraId="6493D9CF" w14:textId="77777777" w:rsidTr="00935CB2">
        <w:trPr>
          <w:trHeight w:val="248"/>
        </w:trPr>
        <w:tc>
          <w:tcPr>
            <w:tcW w:w="9444" w:type="dxa"/>
            <w:shd w:val="clear" w:color="auto" w:fill="55B243"/>
            <w:tcMar>
              <w:top w:w="100" w:type="dxa"/>
              <w:left w:w="100" w:type="dxa"/>
              <w:bottom w:w="100" w:type="dxa"/>
              <w:right w:w="100" w:type="dxa"/>
            </w:tcMar>
          </w:tcPr>
          <w:p w14:paraId="0D4D2BBE" w14:textId="77777777" w:rsidR="003F3583" w:rsidRDefault="003F3583" w:rsidP="00935CB2">
            <w:pPr>
              <w:widowControl w:val="0"/>
              <w:spacing w:line="240" w:lineRule="auto"/>
              <w:jc w:val="both"/>
            </w:pPr>
            <w:r>
              <w:rPr>
                <w:b/>
              </w:rPr>
              <w:t>Audio:</w:t>
            </w:r>
          </w:p>
        </w:tc>
      </w:tr>
      <w:tr w:rsidR="003F3583" w14:paraId="58ED45C9" w14:textId="77777777" w:rsidTr="00935CB2">
        <w:trPr>
          <w:trHeight w:val="2213"/>
        </w:trPr>
        <w:tc>
          <w:tcPr>
            <w:tcW w:w="9444" w:type="dxa"/>
            <w:tcMar>
              <w:top w:w="100" w:type="dxa"/>
              <w:left w:w="100" w:type="dxa"/>
              <w:bottom w:w="100" w:type="dxa"/>
              <w:right w:w="100" w:type="dxa"/>
            </w:tcMar>
          </w:tcPr>
          <w:p w14:paraId="1717C679" w14:textId="77777777" w:rsidR="003F3583" w:rsidRPr="00636295" w:rsidRDefault="003F3583" w:rsidP="00935CB2">
            <w:pPr>
              <w:jc w:val="both"/>
              <w:rPr>
                <w:b/>
              </w:rPr>
            </w:pPr>
            <w:r w:rsidRPr="00636295">
              <w:rPr>
                <w:b/>
              </w:rPr>
              <w:t>VO:</w:t>
            </w:r>
          </w:p>
          <w:p w14:paraId="0625D57F" w14:textId="77777777" w:rsidR="003F3583" w:rsidRDefault="003F3583" w:rsidP="00935CB2">
            <w:pPr>
              <w:jc w:val="both"/>
            </w:pPr>
            <w:r>
              <w:t xml:space="preserve">Should women take a pregnancy test before having an MRI? That question was addressed in a new study published in The </w:t>
            </w:r>
            <w:r w:rsidRPr="00D01966">
              <w:t>Journal of the American Medical Association</w:t>
            </w:r>
            <w:r>
              <w:t>. The study looked at the safety of magnetic resonance imaging during pregnancy, especially during the first trimester. Dr. Joel Ray of Saint Michael’s Hospital in Toronto analyzed data collected over 12 years and concluded that MRI in the first trimester was not harmful to the developing fetus.</w:t>
            </w:r>
          </w:p>
          <w:p w14:paraId="747C0BD3" w14:textId="77777777" w:rsidR="003F3583" w:rsidRDefault="003F3583" w:rsidP="00935CB2">
            <w:pPr>
              <w:jc w:val="both"/>
            </w:pPr>
          </w:p>
          <w:p w14:paraId="55DEA1AD" w14:textId="7AFAAB15" w:rsidR="003F3583" w:rsidRDefault="003F3583" w:rsidP="00935CB2">
            <w:pPr>
              <w:jc w:val="both"/>
            </w:pPr>
          </w:p>
        </w:tc>
      </w:tr>
      <w:tr w:rsidR="003F3583" w14:paraId="02B2A8C3" w14:textId="77777777" w:rsidTr="00935CB2">
        <w:trPr>
          <w:trHeight w:val="1752"/>
        </w:trPr>
        <w:tc>
          <w:tcPr>
            <w:tcW w:w="9444" w:type="dxa"/>
            <w:tcMar>
              <w:top w:w="100" w:type="dxa"/>
              <w:left w:w="100" w:type="dxa"/>
              <w:bottom w:w="100" w:type="dxa"/>
              <w:right w:w="100" w:type="dxa"/>
            </w:tcMar>
          </w:tcPr>
          <w:p w14:paraId="219B04FE" w14:textId="77777777" w:rsidR="003F3583" w:rsidRDefault="003F3583" w:rsidP="00935CB2">
            <w:pPr>
              <w:widowControl w:val="0"/>
              <w:spacing w:line="240" w:lineRule="auto"/>
              <w:jc w:val="both"/>
              <w:rPr>
                <w:b/>
              </w:rPr>
            </w:pPr>
            <w:r>
              <w:rPr>
                <w:b/>
              </w:rPr>
              <w:t>SOT:</w:t>
            </w:r>
          </w:p>
          <w:p w14:paraId="531B3700" w14:textId="77777777" w:rsidR="003F3583" w:rsidRDefault="003F3583" w:rsidP="00935CB2">
            <w:pPr>
              <w:jc w:val="both"/>
              <w:rPr>
                <w:rFonts w:eastAsia="Calibri" w:cs="Times New Roman"/>
                <w:iCs/>
                <w:szCs w:val="29"/>
              </w:rPr>
            </w:pPr>
            <w:r w:rsidRPr="00636295">
              <w:rPr>
                <w:rFonts w:eastAsia="Calibri" w:cs="Times New Roman"/>
                <w:iCs/>
                <w:szCs w:val="29"/>
              </w:rPr>
              <w:t xml:space="preserve">first trimester </w:t>
            </w:r>
            <w:r>
              <w:rPr>
                <w:rFonts w:eastAsia="Calibri" w:cs="Times New Roman"/>
                <w:iCs/>
                <w:szCs w:val="29"/>
              </w:rPr>
              <w:t xml:space="preserve">MRI </w:t>
            </w:r>
            <w:r w:rsidRPr="00636295">
              <w:rPr>
                <w:rFonts w:eastAsia="Calibri" w:cs="Times New Roman"/>
                <w:iCs/>
                <w:szCs w:val="29"/>
              </w:rPr>
              <w:t>is unlikely to be harmful, so special pregnancy testing or measures are u</w:t>
            </w:r>
            <w:r>
              <w:rPr>
                <w:rFonts w:eastAsia="Calibri" w:cs="Times New Roman"/>
                <w:iCs/>
                <w:szCs w:val="29"/>
              </w:rPr>
              <w:t>nlik</w:t>
            </w:r>
            <w:r w:rsidRPr="00636295">
              <w:rPr>
                <w:rFonts w:eastAsia="Calibri" w:cs="Times New Roman"/>
                <w:iCs/>
                <w:szCs w:val="29"/>
              </w:rPr>
              <w:t>ely to be required.”</w:t>
            </w:r>
            <w:r>
              <w:rPr>
                <w:rFonts w:eastAsia="Calibri" w:cs="Times New Roman"/>
                <w:iCs/>
                <w:szCs w:val="29"/>
              </w:rPr>
              <w:t xml:space="preserve"> </w:t>
            </w:r>
          </w:p>
          <w:p w14:paraId="5619D3B7" w14:textId="77777777" w:rsidR="003F3583" w:rsidRDefault="003F3583" w:rsidP="00935CB2">
            <w:pPr>
              <w:jc w:val="both"/>
              <w:rPr>
                <w:rFonts w:eastAsia="Calibri" w:cs="Times New Roman"/>
                <w:iCs/>
                <w:szCs w:val="29"/>
              </w:rPr>
            </w:pPr>
          </w:p>
          <w:p w14:paraId="0B883053" w14:textId="19B45654" w:rsidR="003F3583" w:rsidRPr="00636295" w:rsidRDefault="003F3583" w:rsidP="00935CB2">
            <w:pPr>
              <w:jc w:val="both"/>
              <w:rPr>
                <w:rFonts w:eastAsia="Calibri" w:cs="Times New Roman"/>
                <w:iCs/>
                <w:szCs w:val="29"/>
              </w:rPr>
            </w:pPr>
          </w:p>
        </w:tc>
      </w:tr>
      <w:tr w:rsidR="003F3583" w14:paraId="389D8D1B" w14:textId="77777777" w:rsidTr="00935CB2">
        <w:trPr>
          <w:trHeight w:val="1744"/>
        </w:trPr>
        <w:tc>
          <w:tcPr>
            <w:tcW w:w="9444" w:type="dxa"/>
            <w:tcMar>
              <w:top w:w="100" w:type="dxa"/>
              <w:left w:w="100" w:type="dxa"/>
              <w:bottom w:w="100" w:type="dxa"/>
              <w:right w:w="100" w:type="dxa"/>
            </w:tcMar>
          </w:tcPr>
          <w:p w14:paraId="1B00F4B1" w14:textId="77777777" w:rsidR="003F3583" w:rsidRDefault="003F3583" w:rsidP="00935CB2">
            <w:pPr>
              <w:widowControl w:val="0"/>
              <w:spacing w:line="240" w:lineRule="auto"/>
              <w:jc w:val="both"/>
              <w:rPr>
                <w:b/>
              </w:rPr>
            </w:pPr>
            <w:r>
              <w:rPr>
                <w:b/>
              </w:rPr>
              <w:t>VO:</w:t>
            </w:r>
          </w:p>
          <w:p w14:paraId="0EB7F875" w14:textId="77777777" w:rsidR="003F3583" w:rsidRDefault="003F3583" w:rsidP="00935CB2">
            <w:pPr>
              <w:jc w:val="both"/>
            </w:pPr>
            <w:r>
              <w:t xml:space="preserve">Women undergoing an MRI with the contrast agent gadolinium at any point during pregnancy were also included in the study. These MRIs with contrast were associated with a higher risk of fetal death and a variety of inflammatory and skin conditions in the newborn.  </w:t>
            </w:r>
          </w:p>
          <w:p w14:paraId="5AC4527E" w14:textId="36609913" w:rsidR="003F3583" w:rsidRPr="00B42605" w:rsidRDefault="003F3583" w:rsidP="00935CB2">
            <w:pPr>
              <w:jc w:val="both"/>
            </w:pPr>
          </w:p>
        </w:tc>
      </w:tr>
      <w:tr w:rsidR="003F3583" w14:paraId="4A70B406" w14:textId="77777777" w:rsidTr="00935CB2">
        <w:trPr>
          <w:trHeight w:val="1380"/>
        </w:trPr>
        <w:tc>
          <w:tcPr>
            <w:tcW w:w="9444" w:type="dxa"/>
            <w:tcMar>
              <w:top w:w="100" w:type="dxa"/>
              <w:left w:w="100" w:type="dxa"/>
              <w:bottom w:w="100" w:type="dxa"/>
              <w:right w:w="100" w:type="dxa"/>
            </w:tcMar>
          </w:tcPr>
          <w:p w14:paraId="0F3B1CC7" w14:textId="77777777" w:rsidR="003F3583" w:rsidRPr="00D01966" w:rsidRDefault="003F3583" w:rsidP="00935CB2">
            <w:pPr>
              <w:jc w:val="both"/>
              <w:rPr>
                <w:b/>
              </w:rPr>
            </w:pPr>
            <w:r w:rsidRPr="00135F14">
              <w:rPr>
                <w:b/>
              </w:rPr>
              <w:t>SOT:</w:t>
            </w:r>
          </w:p>
          <w:p w14:paraId="69CBBB35" w14:textId="5F7495C9" w:rsidR="003F3583" w:rsidRDefault="003F3583" w:rsidP="00935CB2">
            <w:pPr>
              <w:jc w:val="both"/>
            </w:pPr>
            <w:r w:rsidRPr="008324BE">
              <w:t>“Gadolinium contrast woul</w:t>
            </w:r>
            <w:r>
              <w:t>d</w:t>
            </w:r>
            <w:r w:rsidR="00810AAE">
              <w:t xml:space="preserve"> be best avoided in pregnancy</w:t>
            </w:r>
            <w:r w:rsidR="00FA56D1">
              <w:t>”</w:t>
            </w:r>
            <w:bookmarkStart w:id="0" w:name="_GoBack"/>
            <w:bookmarkEnd w:id="0"/>
          </w:p>
          <w:p w14:paraId="47D9D3F1" w14:textId="77777777" w:rsidR="003F3583" w:rsidRDefault="003F3583" w:rsidP="00935CB2">
            <w:pPr>
              <w:jc w:val="both"/>
            </w:pPr>
          </w:p>
          <w:p w14:paraId="6AF815FE" w14:textId="32DD4F76" w:rsidR="003F3583" w:rsidRDefault="003F3583" w:rsidP="00935CB2">
            <w:pPr>
              <w:jc w:val="both"/>
            </w:pPr>
            <w:r>
              <w:t xml:space="preserve"> </w:t>
            </w:r>
          </w:p>
        </w:tc>
      </w:tr>
      <w:tr w:rsidR="003F3583" w14:paraId="492A7502" w14:textId="77777777" w:rsidTr="00935CB2">
        <w:trPr>
          <w:trHeight w:val="1123"/>
        </w:trPr>
        <w:tc>
          <w:tcPr>
            <w:tcW w:w="9444" w:type="dxa"/>
            <w:tcMar>
              <w:top w:w="100" w:type="dxa"/>
              <w:left w:w="100" w:type="dxa"/>
              <w:bottom w:w="100" w:type="dxa"/>
              <w:right w:w="100" w:type="dxa"/>
            </w:tcMar>
          </w:tcPr>
          <w:p w14:paraId="60B722AB" w14:textId="77777777" w:rsidR="003F3583" w:rsidRPr="004F5597" w:rsidRDefault="003F3583" w:rsidP="00935CB2">
            <w:pPr>
              <w:widowControl w:val="0"/>
              <w:spacing w:line="240" w:lineRule="auto"/>
              <w:jc w:val="both"/>
              <w:rPr>
                <w:b/>
              </w:rPr>
            </w:pPr>
            <w:r w:rsidRPr="004F5597">
              <w:rPr>
                <w:b/>
              </w:rPr>
              <w:t>VO:</w:t>
            </w:r>
          </w:p>
          <w:p w14:paraId="6CB9E7D0" w14:textId="4CAFA868" w:rsidR="003F3583" w:rsidRDefault="003F3583" w:rsidP="00935CB2">
            <w:pPr>
              <w:widowControl w:val="0"/>
              <w:spacing w:line="240" w:lineRule="auto"/>
              <w:jc w:val="both"/>
            </w:pPr>
            <w:r>
              <w:t xml:space="preserve">More information on this study can be found at The JAMA Report dot com. I’m </w:t>
            </w:r>
            <w:r w:rsidR="00810AAE">
              <w:t xml:space="preserve">Laura </w:t>
            </w:r>
            <w:r w:rsidR="004047B2">
              <w:t xml:space="preserve">Kelly </w:t>
            </w:r>
          </w:p>
          <w:p w14:paraId="7EA6341F" w14:textId="68F28EC0" w:rsidR="003F3583" w:rsidRDefault="003F3583" w:rsidP="00935CB2">
            <w:pPr>
              <w:widowControl w:val="0"/>
              <w:spacing w:line="240" w:lineRule="auto"/>
              <w:jc w:val="both"/>
            </w:pPr>
          </w:p>
        </w:tc>
      </w:tr>
    </w:tbl>
    <w:p w14:paraId="7CD7AF5B" w14:textId="77777777" w:rsidR="003F3583" w:rsidRPr="00474295" w:rsidRDefault="003F3583" w:rsidP="003F3583">
      <w:pPr>
        <w:jc w:val="both"/>
        <w:rPr>
          <w:b/>
        </w:rPr>
      </w:pPr>
    </w:p>
    <w:p w14:paraId="796F29E5" w14:textId="77777777" w:rsidR="001050CE" w:rsidRDefault="001050CE"/>
    <w:sectPr w:rsidR="001050CE" w:rsidSect="00B83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83"/>
    <w:rsid w:val="001050CE"/>
    <w:rsid w:val="003F3583"/>
    <w:rsid w:val="003F5D8D"/>
    <w:rsid w:val="004047B2"/>
    <w:rsid w:val="00810AAE"/>
    <w:rsid w:val="008F2D6B"/>
    <w:rsid w:val="00FA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1E57"/>
  <w15:chartTrackingRefBased/>
  <w15:docId w15:val="{BC0421B8-DE56-4BB8-A7BB-B2E0FE37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3F3583"/>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Hildner</dc:creator>
  <cp:keywords/>
  <dc:description/>
  <cp:lastModifiedBy>Rick Vasta</cp:lastModifiedBy>
  <cp:revision>3</cp:revision>
  <dcterms:created xsi:type="dcterms:W3CDTF">2016-08-31T19:24:00Z</dcterms:created>
  <dcterms:modified xsi:type="dcterms:W3CDTF">2016-08-31T19:32:00Z</dcterms:modified>
</cp:coreProperties>
</file>