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5F008" w14:textId="77777777" w:rsidR="00ED170B" w:rsidRDefault="00ED170B" w:rsidP="00D852A3">
      <w:pPr>
        <w:rPr>
          <w:b/>
          <w:sz w:val="24"/>
          <w:szCs w:val="24"/>
        </w:rPr>
      </w:pPr>
      <w:bookmarkStart w:id="0" w:name="_GoBack"/>
      <w:bookmarkEnd w:id="0"/>
    </w:p>
    <w:p w14:paraId="26762914" w14:textId="77777777"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945ED4">
        <w:rPr>
          <w:b/>
          <w:sz w:val="24"/>
          <w:szCs w:val="24"/>
        </w:rPr>
        <w:t xml:space="preserve">MARCH </w:t>
      </w:r>
      <w:r w:rsidR="00496977">
        <w:rPr>
          <w:b/>
          <w:sz w:val="24"/>
          <w:szCs w:val="24"/>
        </w:rPr>
        <w:t>15</w:t>
      </w:r>
      <w:r w:rsidR="004E20A3">
        <w:rPr>
          <w:b/>
          <w:sz w:val="24"/>
          <w:szCs w:val="24"/>
        </w:rPr>
        <w:t>,</w:t>
      </w:r>
      <w:r w:rsidRPr="00E60B07">
        <w:rPr>
          <w:b/>
          <w:sz w:val="24"/>
          <w:szCs w:val="24"/>
        </w:rPr>
        <w:t xml:space="preserve"> 201</w:t>
      </w:r>
      <w:r w:rsidR="00587DDD">
        <w:rPr>
          <w:b/>
          <w:sz w:val="24"/>
          <w:szCs w:val="24"/>
        </w:rPr>
        <w:t>6</w:t>
      </w:r>
    </w:p>
    <w:p w14:paraId="573B1A96" w14:textId="085E956D" w:rsidR="00DB4FDC" w:rsidRDefault="00E41FB8" w:rsidP="00D852A3">
      <w:pPr>
        <w:rPr>
          <w:sz w:val="24"/>
          <w:szCs w:val="24"/>
        </w:rPr>
      </w:pPr>
      <w:r w:rsidRPr="00E60B07">
        <w:rPr>
          <w:sz w:val="24"/>
          <w:szCs w:val="24"/>
        </w:rPr>
        <w:t>Media Advisory: To contact</w:t>
      </w:r>
      <w:r w:rsidR="00DB4FDC">
        <w:rPr>
          <w:sz w:val="24"/>
          <w:szCs w:val="24"/>
        </w:rPr>
        <w:t xml:space="preserve"> </w:t>
      </w:r>
      <w:proofErr w:type="spellStart"/>
      <w:r w:rsidR="00DB4FDC" w:rsidRPr="00CC3EE0">
        <w:rPr>
          <w:sz w:val="24"/>
          <w:szCs w:val="24"/>
        </w:rPr>
        <w:t>Saad</w:t>
      </w:r>
      <w:proofErr w:type="spellEnd"/>
      <w:r w:rsidR="00DB4FDC" w:rsidRPr="00CC3EE0">
        <w:rPr>
          <w:sz w:val="24"/>
          <w:szCs w:val="24"/>
        </w:rPr>
        <w:t xml:space="preserve"> B. Omer, M</w:t>
      </w:r>
      <w:r w:rsidR="00DB4FDC">
        <w:rPr>
          <w:sz w:val="24"/>
          <w:szCs w:val="24"/>
        </w:rPr>
        <w:t>.</w:t>
      </w:r>
      <w:r w:rsidR="00DB4FDC" w:rsidRPr="00CC3EE0">
        <w:rPr>
          <w:sz w:val="24"/>
          <w:szCs w:val="24"/>
        </w:rPr>
        <w:t>B</w:t>
      </w:r>
      <w:r w:rsidR="00DB4FDC">
        <w:rPr>
          <w:sz w:val="24"/>
          <w:szCs w:val="24"/>
        </w:rPr>
        <w:t>.</w:t>
      </w:r>
      <w:r w:rsidR="00DB4FDC" w:rsidRPr="00CC3EE0">
        <w:rPr>
          <w:sz w:val="24"/>
          <w:szCs w:val="24"/>
        </w:rPr>
        <w:t>B</w:t>
      </w:r>
      <w:r w:rsidR="00DB4FDC">
        <w:rPr>
          <w:sz w:val="24"/>
          <w:szCs w:val="24"/>
        </w:rPr>
        <w:t>.</w:t>
      </w:r>
      <w:r w:rsidR="00DB4FDC" w:rsidRPr="00CC3EE0">
        <w:rPr>
          <w:sz w:val="24"/>
          <w:szCs w:val="24"/>
        </w:rPr>
        <w:t>S.</w:t>
      </w:r>
      <w:r w:rsidR="00DB4FDC">
        <w:rPr>
          <w:sz w:val="24"/>
          <w:szCs w:val="24"/>
        </w:rPr>
        <w:t>,</w:t>
      </w:r>
      <w:r w:rsidR="00DB4FDC" w:rsidRPr="00CC3EE0">
        <w:rPr>
          <w:sz w:val="24"/>
          <w:szCs w:val="24"/>
        </w:rPr>
        <w:t xml:space="preserve"> M</w:t>
      </w:r>
      <w:r w:rsidR="00DB4FDC">
        <w:rPr>
          <w:sz w:val="24"/>
          <w:szCs w:val="24"/>
        </w:rPr>
        <w:t>.</w:t>
      </w:r>
      <w:r w:rsidR="00DB4FDC" w:rsidRPr="00CC3EE0">
        <w:rPr>
          <w:sz w:val="24"/>
          <w:szCs w:val="24"/>
        </w:rPr>
        <w:t>P</w:t>
      </w:r>
      <w:r w:rsidR="00DB4FDC">
        <w:rPr>
          <w:sz w:val="24"/>
          <w:szCs w:val="24"/>
        </w:rPr>
        <w:t>.</w:t>
      </w:r>
      <w:r w:rsidR="00DB4FDC" w:rsidRPr="00CC3EE0">
        <w:rPr>
          <w:sz w:val="24"/>
          <w:szCs w:val="24"/>
        </w:rPr>
        <w:t>H</w:t>
      </w:r>
      <w:r w:rsidR="00DB4FDC">
        <w:rPr>
          <w:sz w:val="24"/>
          <w:szCs w:val="24"/>
        </w:rPr>
        <w:t>.,</w:t>
      </w:r>
      <w:r w:rsidR="00DB4FDC" w:rsidRPr="00CC3EE0">
        <w:rPr>
          <w:sz w:val="24"/>
          <w:szCs w:val="24"/>
        </w:rPr>
        <w:t xml:space="preserve"> Ph</w:t>
      </w:r>
      <w:r w:rsidR="00DB4FDC">
        <w:rPr>
          <w:sz w:val="24"/>
          <w:szCs w:val="24"/>
        </w:rPr>
        <w:t>.</w:t>
      </w:r>
      <w:r w:rsidR="00DB4FDC" w:rsidRPr="00CC3EE0">
        <w:rPr>
          <w:sz w:val="24"/>
          <w:szCs w:val="24"/>
        </w:rPr>
        <w:t>D</w:t>
      </w:r>
      <w:r w:rsidR="00DB4FDC">
        <w:rPr>
          <w:sz w:val="24"/>
          <w:szCs w:val="24"/>
        </w:rPr>
        <w:t>.</w:t>
      </w:r>
      <w:r w:rsidR="00DB4FDC" w:rsidRPr="00CC3EE0">
        <w:rPr>
          <w:sz w:val="24"/>
          <w:szCs w:val="24"/>
        </w:rPr>
        <w:t>,</w:t>
      </w:r>
      <w:r w:rsidR="00DB4FDC">
        <w:rPr>
          <w:sz w:val="24"/>
          <w:szCs w:val="24"/>
        </w:rPr>
        <w:t xml:space="preserve"> email </w:t>
      </w:r>
      <w:r w:rsidR="00DB4FDC" w:rsidRPr="00DB4FDC">
        <w:rPr>
          <w:sz w:val="24"/>
          <w:szCs w:val="24"/>
        </w:rPr>
        <w:t>Melva</w:t>
      </w:r>
      <w:r w:rsidR="00DB4FDC">
        <w:rPr>
          <w:sz w:val="24"/>
          <w:szCs w:val="24"/>
        </w:rPr>
        <w:t xml:space="preserve"> </w:t>
      </w:r>
      <w:r w:rsidR="00DB4FDC" w:rsidRPr="00DB4FDC">
        <w:rPr>
          <w:sz w:val="24"/>
          <w:szCs w:val="24"/>
        </w:rPr>
        <w:t>Robertson</w:t>
      </w:r>
      <w:r w:rsidR="00DB4FDC">
        <w:rPr>
          <w:sz w:val="24"/>
          <w:szCs w:val="24"/>
        </w:rPr>
        <w:t xml:space="preserve"> at </w:t>
      </w:r>
      <w:hyperlink r:id="rId9" w:history="1">
        <w:r w:rsidR="00DB4FDC" w:rsidRPr="00946B13">
          <w:rPr>
            <w:rStyle w:val="Hyperlink"/>
            <w:sz w:val="24"/>
            <w:szCs w:val="24"/>
          </w:rPr>
          <w:t>melva.robertson@emory.edu</w:t>
        </w:r>
      </w:hyperlink>
      <w:r w:rsidR="00DB4FDC">
        <w:rPr>
          <w:sz w:val="24"/>
          <w:szCs w:val="24"/>
        </w:rPr>
        <w:t xml:space="preserve">. To contact editorial author </w:t>
      </w:r>
      <w:r w:rsidR="00DB4FDC" w:rsidRPr="00C339C3">
        <w:rPr>
          <w:sz w:val="24"/>
          <w:szCs w:val="24"/>
        </w:rPr>
        <w:t>Matthew M.</w:t>
      </w:r>
      <w:r w:rsidR="00DB4FDC">
        <w:rPr>
          <w:sz w:val="24"/>
          <w:szCs w:val="24"/>
        </w:rPr>
        <w:t xml:space="preserve"> </w:t>
      </w:r>
      <w:r w:rsidR="00DB4FDC" w:rsidRPr="00C339C3">
        <w:rPr>
          <w:sz w:val="24"/>
          <w:szCs w:val="24"/>
        </w:rPr>
        <w:t>Davis</w:t>
      </w:r>
      <w:r w:rsidR="00DB4FDC">
        <w:rPr>
          <w:sz w:val="24"/>
          <w:szCs w:val="24"/>
        </w:rPr>
        <w:t>,</w:t>
      </w:r>
      <w:r w:rsidR="00DB4FDC" w:rsidRPr="00C339C3">
        <w:rPr>
          <w:sz w:val="24"/>
          <w:szCs w:val="24"/>
        </w:rPr>
        <w:t xml:space="preserve"> M</w:t>
      </w:r>
      <w:r w:rsidR="00DB4FDC">
        <w:rPr>
          <w:sz w:val="24"/>
          <w:szCs w:val="24"/>
        </w:rPr>
        <w:t>.</w:t>
      </w:r>
      <w:r w:rsidR="00DB4FDC" w:rsidRPr="00C339C3">
        <w:rPr>
          <w:sz w:val="24"/>
          <w:szCs w:val="24"/>
        </w:rPr>
        <w:t>D.</w:t>
      </w:r>
      <w:r w:rsidR="00DB4FDC">
        <w:rPr>
          <w:sz w:val="24"/>
          <w:szCs w:val="24"/>
        </w:rPr>
        <w:t>,</w:t>
      </w:r>
      <w:r w:rsidR="00DB4FDC" w:rsidRPr="00C339C3">
        <w:rPr>
          <w:sz w:val="24"/>
          <w:szCs w:val="24"/>
        </w:rPr>
        <w:t xml:space="preserve"> M</w:t>
      </w:r>
      <w:r w:rsidR="00DB4FDC">
        <w:rPr>
          <w:sz w:val="24"/>
          <w:szCs w:val="24"/>
        </w:rPr>
        <w:t>.</w:t>
      </w:r>
      <w:r w:rsidR="00DB4FDC" w:rsidRPr="00C339C3">
        <w:rPr>
          <w:sz w:val="24"/>
          <w:szCs w:val="24"/>
        </w:rPr>
        <w:t>A</w:t>
      </w:r>
      <w:r w:rsidR="00DB4FDC">
        <w:rPr>
          <w:sz w:val="24"/>
          <w:szCs w:val="24"/>
        </w:rPr>
        <w:t>.</w:t>
      </w:r>
      <w:r w:rsidR="00DB4FDC" w:rsidRPr="00C339C3">
        <w:rPr>
          <w:sz w:val="24"/>
          <w:szCs w:val="24"/>
        </w:rPr>
        <w:t>P</w:t>
      </w:r>
      <w:r w:rsidR="00DB4FDC">
        <w:rPr>
          <w:sz w:val="24"/>
          <w:szCs w:val="24"/>
        </w:rPr>
        <w:t>.</w:t>
      </w:r>
      <w:r w:rsidR="00DB4FDC" w:rsidRPr="00C339C3">
        <w:rPr>
          <w:sz w:val="24"/>
          <w:szCs w:val="24"/>
        </w:rPr>
        <w:t>P</w:t>
      </w:r>
      <w:r w:rsidR="00DB4FDC">
        <w:rPr>
          <w:sz w:val="24"/>
          <w:szCs w:val="24"/>
        </w:rPr>
        <w:t>.</w:t>
      </w:r>
      <w:r w:rsidR="00DB4FDC" w:rsidRPr="00C339C3">
        <w:rPr>
          <w:sz w:val="24"/>
          <w:szCs w:val="24"/>
        </w:rPr>
        <w:t>,</w:t>
      </w:r>
      <w:r w:rsidR="00DB4FDC">
        <w:rPr>
          <w:sz w:val="24"/>
          <w:szCs w:val="24"/>
        </w:rPr>
        <w:t xml:space="preserve"> email </w:t>
      </w:r>
      <w:r w:rsidR="00DB4FDC" w:rsidRPr="00DB4FDC">
        <w:rPr>
          <w:sz w:val="24"/>
          <w:szCs w:val="24"/>
        </w:rPr>
        <w:t>Beata Mostafavi</w:t>
      </w:r>
      <w:r w:rsidR="00DB4FDC">
        <w:rPr>
          <w:sz w:val="24"/>
          <w:szCs w:val="24"/>
        </w:rPr>
        <w:t xml:space="preserve"> at </w:t>
      </w:r>
      <w:hyperlink r:id="rId10" w:history="1">
        <w:r w:rsidR="00DB4FDC" w:rsidRPr="00946B13">
          <w:rPr>
            <w:rStyle w:val="Hyperlink"/>
            <w:sz w:val="24"/>
            <w:szCs w:val="24"/>
          </w:rPr>
          <w:t>bmostafa@med.umich.edu</w:t>
        </w:r>
      </w:hyperlink>
      <w:r w:rsidR="00DB4FDC">
        <w:rPr>
          <w:sz w:val="24"/>
          <w:szCs w:val="24"/>
        </w:rPr>
        <w:t>.</w:t>
      </w:r>
    </w:p>
    <w:p w14:paraId="66E12E0A" w14:textId="2F971C23" w:rsidR="00DB4FDC" w:rsidRDefault="00DB4FDC" w:rsidP="00D852A3">
      <w:pPr>
        <w:rPr>
          <w:sz w:val="24"/>
          <w:szCs w:val="24"/>
        </w:rPr>
      </w:pPr>
    </w:p>
    <w:p w14:paraId="599E661A" w14:textId="4FA8ECAC" w:rsidR="00CB57EE" w:rsidRDefault="00CB57EE" w:rsidP="00D852A3">
      <w:pPr>
        <w:rPr>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w:t>
      </w:r>
      <w:r w:rsidR="00F1665E">
        <w:rPr>
          <w:b/>
          <w:sz w:val="24"/>
          <w:szCs w:val="24"/>
          <w:u w:val="single"/>
        </w:rPr>
        <w:t xml:space="preserve">and editorial </w:t>
      </w:r>
      <w:r>
        <w:rPr>
          <w:b/>
          <w:sz w:val="24"/>
          <w:szCs w:val="24"/>
          <w:u w:val="single"/>
        </w:rPr>
        <w:t>in your story</w:t>
      </w:r>
      <w:r w:rsidRPr="004E2C47">
        <w:rPr>
          <w:sz w:val="24"/>
          <w:szCs w:val="24"/>
        </w:rPr>
        <w:t xml:space="preserve">  Th</w:t>
      </w:r>
      <w:r w:rsidR="00F1665E">
        <w:rPr>
          <w:sz w:val="24"/>
          <w:szCs w:val="24"/>
        </w:rPr>
        <w:t>ese</w:t>
      </w:r>
      <w:r>
        <w:rPr>
          <w:sz w:val="24"/>
          <w:szCs w:val="24"/>
        </w:rPr>
        <w:t xml:space="preserve"> link</w:t>
      </w:r>
      <w:r w:rsidR="00F1665E">
        <w:rPr>
          <w:sz w:val="24"/>
          <w:szCs w:val="24"/>
        </w:rPr>
        <w:t>s</w:t>
      </w:r>
      <w:r>
        <w:rPr>
          <w:sz w:val="24"/>
          <w:szCs w:val="24"/>
        </w:rPr>
        <w:t xml:space="preserve"> will </w:t>
      </w:r>
      <w:r w:rsidRPr="004E2C47">
        <w:rPr>
          <w:sz w:val="24"/>
          <w:szCs w:val="24"/>
        </w:rPr>
        <w:t xml:space="preserve">be live at the embargo time: </w:t>
      </w:r>
      <w:hyperlink r:id="rId11" w:history="1">
        <w:r w:rsidR="00496977" w:rsidRPr="00E60FA6">
          <w:rPr>
            <w:rStyle w:val="Hyperlink"/>
            <w:sz w:val="24"/>
            <w:szCs w:val="24"/>
          </w:rPr>
          <w:t>http://jama.jamanetwork.com/article.aspx?doi=10.1001/jama.2016.1353</w:t>
        </w:r>
      </w:hyperlink>
      <w:r w:rsidR="00F1665E">
        <w:rPr>
          <w:sz w:val="24"/>
          <w:szCs w:val="24"/>
        </w:rPr>
        <w:t xml:space="preserve">; </w:t>
      </w:r>
      <w:hyperlink r:id="rId12" w:history="1">
        <w:r w:rsidR="004D0D28" w:rsidRPr="001C3D15">
          <w:rPr>
            <w:rStyle w:val="Hyperlink"/>
            <w:sz w:val="24"/>
            <w:szCs w:val="24"/>
          </w:rPr>
          <w:t>http://jama.jamanetwork.com/article.aspx?doi=10.1001/jama.2016.1529</w:t>
        </w:r>
      </w:hyperlink>
    </w:p>
    <w:p w14:paraId="2EA93556" w14:textId="77777777" w:rsidR="004D0D28" w:rsidRDefault="004D0D28" w:rsidP="00D852A3">
      <w:pPr>
        <w:rPr>
          <w:rStyle w:val="Hyperlink"/>
          <w:sz w:val="24"/>
          <w:szCs w:val="24"/>
        </w:rPr>
      </w:pPr>
    </w:p>
    <w:p w14:paraId="2CBFE93C" w14:textId="77777777" w:rsidR="00496977" w:rsidRDefault="00496977" w:rsidP="00D852A3">
      <w:pPr>
        <w:rPr>
          <w:rStyle w:val="Hyperlink"/>
          <w:sz w:val="24"/>
          <w:szCs w:val="24"/>
        </w:rPr>
      </w:pPr>
    </w:p>
    <w:p w14:paraId="560AE968" w14:textId="77777777" w:rsidR="00CC2D1F" w:rsidRPr="00604AC3" w:rsidRDefault="00905E02" w:rsidP="00AE4A5B">
      <w:pPr>
        <w:rPr>
          <w:b/>
          <w:sz w:val="28"/>
          <w:szCs w:val="28"/>
        </w:rPr>
      </w:pPr>
      <w:r>
        <w:rPr>
          <w:b/>
          <w:sz w:val="28"/>
          <w:szCs w:val="28"/>
        </w:rPr>
        <w:t>Substantial Proportion of U.S. Measles Cases Intentionally Unvaccinated</w:t>
      </w:r>
    </w:p>
    <w:p w14:paraId="7BA921A8" w14:textId="77777777" w:rsidR="00945ED4" w:rsidRDefault="00945ED4" w:rsidP="00AD0F60">
      <w:pPr>
        <w:rPr>
          <w:sz w:val="24"/>
          <w:szCs w:val="24"/>
        </w:rPr>
      </w:pPr>
    </w:p>
    <w:p w14:paraId="00EDED06" w14:textId="35E3EB38" w:rsidR="004E4A48" w:rsidRDefault="004E4A48" w:rsidP="00423DFC">
      <w:pPr>
        <w:spacing w:line="360" w:lineRule="auto"/>
        <w:rPr>
          <w:sz w:val="24"/>
          <w:szCs w:val="24"/>
        </w:rPr>
      </w:pPr>
      <w:r>
        <w:rPr>
          <w:sz w:val="24"/>
          <w:szCs w:val="24"/>
        </w:rPr>
        <w:t xml:space="preserve">An analysis of numerous studies and reports finds that </w:t>
      </w:r>
      <w:r w:rsidR="0006272E" w:rsidRPr="0006272E">
        <w:rPr>
          <w:sz w:val="24"/>
          <w:szCs w:val="24"/>
        </w:rPr>
        <w:t xml:space="preserve">unvaccinated or </w:t>
      </w:r>
      <w:proofErr w:type="spellStart"/>
      <w:r w:rsidR="0006272E" w:rsidRPr="0006272E">
        <w:rPr>
          <w:sz w:val="24"/>
          <w:szCs w:val="24"/>
        </w:rPr>
        <w:t>undervaccinated</w:t>
      </w:r>
      <w:proofErr w:type="spellEnd"/>
      <w:r w:rsidR="0006272E" w:rsidRPr="0006272E">
        <w:rPr>
          <w:sz w:val="24"/>
          <w:szCs w:val="24"/>
        </w:rPr>
        <w:t xml:space="preserve"> individuals comprised</w:t>
      </w:r>
      <w:r w:rsidR="0006272E">
        <w:rPr>
          <w:sz w:val="24"/>
          <w:szCs w:val="24"/>
        </w:rPr>
        <w:t xml:space="preserve"> </w:t>
      </w:r>
      <w:r w:rsidR="0006272E" w:rsidRPr="0006272E">
        <w:rPr>
          <w:sz w:val="24"/>
          <w:szCs w:val="24"/>
        </w:rPr>
        <w:t>substantial proportions of cases in measles and some pertussis</w:t>
      </w:r>
      <w:r w:rsidR="0006272E">
        <w:rPr>
          <w:sz w:val="24"/>
          <w:szCs w:val="24"/>
        </w:rPr>
        <w:t xml:space="preserve"> </w:t>
      </w:r>
      <w:r w:rsidR="0006272E" w:rsidRPr="0006272E">
        <w:rPr>
          <w:sz w:val="24"/>
          <w:szCs w:val="24"/>
        </w:rPr>
        <w:t>outbreaks, and vaccine refusal</w:t>
      </w:r>
      <w:r w:rsidR="00B757C4">
        <w:rPr>
          <w:sz w:val="24"/>
          <w:szCs w:val="24"/>
        </w:rPr>
        <w:t xml:space="preserve"> </w:t>
      </w:r>
      <w:r w:rsidR="0006272E" w:rsidRPr="0006272E">
        <w:rPr>
          <w:sz w:val="24"/>
          <w:szCs w:val="24"/>
        </w:rPr>
        <w:t>was associated with an elevated risk</w:t>
      </w:r>
      <w:r w:rsidR="0006272E">
        <w:rPr>
          <w:sz w:val="24"/>
          <w:szCs w:val="24"/>
        </w:rPr>
        <w:t xml:space="preserve"> </w:t>
      </w:r>
      <w:r w:rsidR="0006272E" w:rsidRPr="0006272E">
        <w:rPr>
          <w:sz w:val="24"/>
          <w:szCs w:val="24"/>
        </w:rPr>
        <w:t>for measles and pertussis, including among fully vaccinated individuals</w:t>
      </w:r>
      <w:r>
        <w:rPr>
          <w:sz w:val="24"/>
          <w:szCs w:val="24"/>
        </w:rPr>
        <w:t xml:space="preserve">, according to a study appearing </w:t>
      </w:r>
      <w:r w:rsidRPr="00E4110B">
        <w:rPr>
          <w:sz w:val="24"/>
          <w:szCs w:val="24"/>
        </w:rPr>
        <w:t xml:space="preserve">in the </w:t>
      </w:r>
      <w:r>
        <w:rPr>
          <w:sz w:val="24"/>
          <w:szCs w:val="24"/>
        </w:rPr>
        <w:t xml:space="preserve">March 15 </w:t>
      </w:r>
      <w:r w:rsidRPr="00E4110B">
        <w:rPr>
          <w:sz w:val="24"/>
          <w:szCs w:val="24"/>
        </w:rPr>
        <w:t xml:space="preserve">issue of </w:t>
      </w:r>
      <w:r w:rsidRPr="00E4110B">
        <w:rPr>
          <w:i/>
          <w:sz w:val="24"/>
          <w:szCs w:val="24"/>
        </w:rPr>
        <w:t>JAMA</w:t>
      </w:r>
      <w:r w:rsidRPr="004A78C6">
        <w:rPr>
          <w:i/>
          <w:sz w:val="24"/>
          <w:szCs w:val="24"/>
        </w:rPr>
        <w:t>.</w:t>
      </w:r>
    </w:p>
    <w:p w14:paraId="42AAB055" w14:textId="77777777" w:rsidR="004E4A48" w:rsidRDefault="004E4A48" w:rsidP="00423DFC">
      <w:pPr>
        <w:spacing w:line="360" w:lineRule="auto"/>
        <w:rPr>
          <w:sz w:val="24"/>
          <w:szCs w:val="24"/>
        </w:rPr>
      </w:pPr>
    </w:p>
    <w:p w14:paraId="09825DFE" w14:textId="77777777" w:rsidR="00093AD7" w:rsidRPr="00093AD7" w:rsidRDefault="00CC3EE0" w:rsidP="00093AD7">
      <w:pPr>
        <w:spacing w:line="360" w:lineRule="auto"/>
        <w:rPr>
          <w:rFonts w:eastAsia="Arial"/>
          <w:sz w:val="24"/>
          <w:szCs w:val="24"/>
        </w:rPr>
      </w:pPr>
      <w:r>
        <w:rPr>
          <w:sz w:val="24"/>
          <w:szCs w:val="24"/>
        </w:rPr>
        <w:t>R</w:t>
      </w:r>
      <w:r w:rsidRPr="00CC3EE0">
        <w:rPr>
          <w:sz w:val="24"/>
          <w:szCs w:val="24"/>
        </w:rPr>
        <w:t xml:space="preserve">ecent outbreaks of vaccine-preventable diseases in the United States have prompted clinicians, public health officials and the public to pay greater attention to the growing phenomenon of vaccine refusal and </w:t>
      </w:r>
      <w:r w:rsidR="00053C03">
        <w:rPr>
          <w:sz w:val="24"/>
          <w:szCs w:val="24"/>
        </w:rPr>
        <w:t>h</w:t>
      </w:r>
      <w:r w:rsidRPr="00CC3EE0">
        <w:rPr>
          <w:sz w:val="24"/>
          <w:szCs w:val="24"/>
        </w:rPr>
        <w:t>esitancy.</w:t>
      </w:r>
      <w:r>
        <w:rPr>
          <w:sz w:val="24"/>
          <w:szCs w:val="24"/>
        </w:rPr>
        <w:t xml:space="preserve"> </w:t>
      </w:r>
      <w:r w:rsidRPr="00093AD7">
        <w:rPr>
          <w:sz w:val="24"/>
          <w:szCs w:val="24"/>
        </w:rPr>
        <w:t>Improved understanding of the association between vaccine refusal and the epidemiology of these diseases is needed.</w:t>
      </w:r>
      <w:r>
        <w:rPr>
          <w:sz w:val="24"/>
          <w:szCs w:val="24"/>
        </w:rPr>
        <w:t xml:space="preserve"> </w:t>
      </w:r>
      <w:r w:rsidRPr="00CC3EE0">
        <w:rPr>
          <w:sz w:val="24"/>
          <w:szCs w:val="24"/>
        </w:rPr>
        <w:t>Saad B. Omer, M</w:t>
      </w:r>
      <w:r>
        <w:rPr>
          <w:sz w:val="24"/>
          <w:szCs w:val="24"/>
        </w:rPr>
        <w:t>.</w:t>
      </w:r>
      <w:r w:rsidRPr="00CC3EE0">
        <w:rPr>
          <w:sz w:val="24"/>
          <w:szCs w:val="24"/>
        </w:rPr>
        <w:t>B</w:t>
      </w:r>
      <w:r>
        <w:rPr>
          <w:sz w:val="24"/>
          <w:szCs w:val="24"/>
        </w:rPr>
        <w:t>.</w:t>
      </w:r>
      <w:r w:rsidRPr="00CC3EE0">
        <w:rPr>
          <w:sz w:val="24"/>
          <w:szCs w:val="24"/>
        </w:rPr>
        <w:t>B</w:t>
      </w:r>
      <w:r>
        <w:rPr>
          <w:sz w:val="24"/>
          <w:szCs w:val="24"/>
        </w:rPr>
        <w:t>.</w:t>
      </w:r>
      <w:r w:rsidRPr="00CC3EE0">
        <w:rPr>
          <w:sz w:val="24"/>
          <w:szCs w:val="24"/>
        </w:rPr>
        <w:t>S.</w:t>
      </w:r>
      <w:r>
        <w:rPr>
          <w:sz w:val="24"/>
          <w:szCs w:val="24"/>
        </w:rPr>
        <w:t>,</w:t>
      </w:r>
      <w:r w:rsidRPr="00CC3EE0">
        <w:rPr>
          <w:sz w:val="24"/>
          <w:szCs w:val="24"/>
        </w:rPr>
        <w:t xml:space="preserve"> M</w:t>
      </w:r>
      <w:r>
        <w:rPr>
          <w:sz w:val="24"/>
          <w:szCs w:val="24"/>
        </w:rPr>
        <w:t>.</w:t>
      </w:r>
      <w:r w:rsidRPr="00CC3EE0">
        <w:rPr>
          <w:sz w:val="24"/>
          <w:szCs w:val="24"/>
        </w:rPr>
        <w:t>P</w:t>
      </w:r>
      <w:r>
        <w:rPr>
          <w:sz w:val="24"/>
          <w:szCs w:val="24"/>
        </w:rPr>
        <w:t>.</w:t>
      </w:r>
      <w:r w:rsidRPr="00CC3EE0">
        <w:rPr>
          <w:sz w:val="24"/>
          <w:szCs w:val="24"/>
        </w:rPr>
        <w:t>H</w:t>
      </w:r>
      <w:r>
        <w:rPr>
          <w:sz w:val="24"/>
          <w:szCs w:val="24"/>
        </w:rPr>
        <w:t>.,</w:t>
      </w:r>
      <w:r w:rsidRPr="00CC3EE0">
        <w:rPr>
          <w:sz w:val="24"/>
          <w:szCs w:val="24"/>
        </w:rPr>
        <w:t xml:space="preserve"> Ph</w:t>
      </w:r>
      <w:r>
        <w:rPr>
          <w:sz w:val="24"/>
          <w:szCs w:val="24"/>
        </w:rPr>
        <w:t>.</w:t>
      </w:r>
      <w:r w:rsidRPr="00CC3EE0">
        <w:rPr>
          <w:sz w:val="24"/>
          <w:szCs w:val="24"/>
        </w:rPr>
        <w:t>D</w:t>
      </w:r>
      <w:r>
        <w:rPr>
          <w:sz w:val="24"/>
          <w:szCs w:val="24"/>
        </w:rPr>
        <w:t>.</w:t>
      </w:r>
      <w:r w:rsidRPr="00CC3EE0">
        <w:rPr>
          <w:sz w:val="24"/>
          <w:szCs w:val="24"/>
        </w:rPr>
        <w:t xml:space="preserve">, </w:t>
      </w:r>
      <w:r>
        <w:rPr>
          <w:sz w:val="24"/>
          <w:szCs w:val="24"/>
        </w:rPr>
        <w:t xml:space="preserve">of </w:t>
      </w:r>
      <w:r w:rsidRPr="00CC3EE0">
        <w:rPr>
          <w:sz w:val="24"/>
          <w:szCs w:val="24"/>
        </w:rPr>
        <w:t>Emory University, Atlanta,</w:t>
      </w:r>
      <w:r>
        <w:rPr>
          <w:sz w:val="24"/>
          <w:szCs w:val="24"/>
        </w:rPr>
        <w:t xml:space="preserve"> and colleagues </w:t>
      </w:r>
      <w:r w:rsidRPr="00CC3EE0">
        <w:rPr>
          <w:sz w:val="24"/>
          <w:szCs w:val="24"/>
        </w:rPr>
        <w:t>e</w:t>
      </w:r>
      <w:r>
        <w:rPr>
          <w:sz w:val="24"/>
          <w:szCs w:val="24"/>
        </w:rPr>
        <w:t xml:space="preserve">xamined </w:t>
      </w:r>
      <w:r w:rsidRPr="00093AD7">
        <w:rPr>
          <w:sz w:val="24"/>
          <w:szCs w:val="24"/>
        </w:rPr>
        <w:t>the association between vaccine delay, refusal</w:t>
      </w:r>
      <w:r>
        <w:rPr>
          <w:sz w:val="24"/>
          <w:szCs w:val="24"/>
        </w:rPr>
        <w:t>,</w:t>
      </w:r>
      <w:r w:rsidRPr="00093AD7">
        <w:rPr>
          <w:sz w:val="24"/>
          <w:szCs w:val="24"/>
        </w:rPr>
        <w:t xml:space="preserve"> or exemption and the epidemiology of measles and pertussis, </w:t>
      </w:r>
      <w:r w:rsidR="00053C03">
        <w:rPr>
          <w:sz w:val="24"/>
          <w:szCs w:val="24"/>
        </w:rPr>
        <w:t>two</w:t>
      </w:r>
      <w:r w:rsidRPr="00093AD7">
        <w:rPr>
          <w:sz w:val="24"/>
          <w:szCs w:val="24"/>
        </w:rPr>
        <w:t xml:space="preserve"> vaccine-preventable diseases with recent U</w:t>
      </w:r>
      <w:r>
        <w:rPr>
          <w:sz w:val="24"/>
          <w:szCs w:val="24"/>
        </w:rPr>
        <w:t>.</w:t>
      </w:r>
      <w:r w:rsidRPr="00093AD7">
        <w:rPr>
          <w:sz w:val="24"/>
          <w:szCs w:val="24"/>
        </w:rPr>
        <w:t>S</w:t>
      </w:r>
      <w:r>
        <w:rPr>
          <w:sz w:val="24"/>
          <w:szCs w:val="24"/>
        </w:rPr>
        <w:t>.</w:t>
      </w:r>
      <w:r w:rsidRPr="00093AD7">
        <w:rPr>
          <w:sz w:val="24"/>
          <w:szCs w:val="24"/>
        </w:rPr>
        <w:t xml:space="preserve"> outbreaks.</w:t>
      </w:r>
      <w:r>
        <w:rPr>
          <w:sz w:val="24"/>
          <w:szCs w:val="24"/>
        </w:rPr>
        <w:t xml:space="preserve"> The authors searched the medical literature </w:t>
      </w:r>
      <w:r w:rsidR="00093AD7" w:rsidRPr="00093AD7">
        <w:rPr>
          <w:sz w:val="24"/>
          <w:szCs w:val="24"/>
        </w:rPr>
        <w:t>for reports of U</w:t>
      </w:r>
      <w:r>
        <w:rPr>
          <w:sz w:val="24"/>
          <w:szCs w:val="24"/>
        </w:rPr>
        <w:t>.</w:t>
      </w:r>
      <w:r w:rsidR="00093AD7" w:rsidRPr="00093AD7">
        <w:rPr>
          <w:sz w:val="24"/>
          <w:szCs w:val="24"/>
        </w:rPr>
        <w:t>S</w:t>
      </w:r>
      <w:r>
        <w:rPr>
          <w:sz w:val="24"/>
          <w:szCs w:val="24"/>
        </w:rPr>
        <w:t>.</w:t>
      </w:r>
      <w:r w:rsidR="00093AD7" w:rsidRPr="00093AD7">
        <w:rPr>
          <w:sz w:val="24"/>
          <w:szCs w:val="24"/>
        </w:rPr>
        <w:t xml:space="preserve"> measles outbreaks that have occurred since measles was declared eliminated in the United States (after January 1, 2000), endemic and epidemic pertussis since the lowest point in U</w:t>
      </w:r>
      <w:r>
        <w:rPr>
          <w:sz w:val="24"/>
          <w:szCs w:val="24"/>
        </w:rPr>
        <w:t>.</w:t>
      </w:r>
      <w:r w:rsidR="00093AD7" w:rsidRPr="00093AD7">
        <w:rPr>
          <w:sz w:val="24"/>
          <w:szCs w:val="24"/>
        </w:rPr>
        <w:t>S</w:t>
      </w:r>
      <w:r>
        <w:rPr>
          <w:sz w:val="24"/>
          <w:szCs w:val="24"/>
        </w:rPr>
        <w:t>.</w:t>
      </w:r>
      <w:r w:rsidR="00093AD7" w:rsidRPr="00093AD7">
        <w:rPr>
          <w:sz w:val="24"/>
          <w:szCs w:val="24"/>
        </w:rPr>
        <w:t xml:space="preserve"> pertussis incidence (after January 1</w:t>
      </w:r>
      <w:r>
        <w:rPr>
          <w:sz w:val="24"/>
          <w:szCs w:val="24"/>
        </w:rPr>
        <w:t>,</w:t>
      </w:r>
      <w:r w:rsidR="00093AD7" w:rsidRPr="00093AD7">
        <w:rPr>
          <w:sz w:val="24"/>
          <w:szCs w:val="24"/>
        </w:rPr>
        <w:t xml:space="preserve"> 1977), and for studies that assessed disease risk in the context of vaccine delay or exemption.</w:t>
      </w:r>
    </w:p>
    <w:p w14:paraId="695C7FB6" w14:textId="77777777" w:rsidR="00093AD7" w:rsidRDefault="00093AD7" w:rsidP="00093AD7">
      <w:pPr>
        <w:spacing w:line="360" w:lineRule="auto"/>
        <w:rPr>
          <w:rFonts w:eastAsia="Arial"/>
          <w:sz w:val="24"/>
          <w:szCs w:val="24"/>
        </w:rPr>
      </w:pPr>
    </w:p>
    <w:p w14:paraId="1C9C49ED" w14:textId="77777777" w:rsidR="00943E82" w:rsidRDefault="00CC3EE0" w:rsidP="00093AD7">
      <w:pPr>
        <w:spacing w:line="360" w:lineRule="auto"/>
        <w:rPr>
          <w:sz w:val="24"/>
          <w:szCs w:val="24"/>
        </w:rPr>
      </w:pPr>
      <w:r>
        <w:rPr>
          <w:rFonts w:eastAsia="Arial"/>
          <w:sz w:val="24"/>
          <w:szCs w:val="24"/>
        </w:rPr>
        <w:t>The researcher</w:t>
      </w:r>
      <w:r w:rsidR="00053C03">
        <w:rPr>
          <w:rFonts w:eastAsia="Arial"/>
          <w:sz w:val="24"/>
          <w:szCs w:val="24"/>
        </w:rPr>
        <w:t>s</w:t>
      </w:r>
      <w:r>
        <w:rPr>
          <w:rFonts w:eastAsia="Arial"/>
          <w:sz w:val="24"/>
          <w:szCs w:val="24"/>
        </w:rPr>
        <w:t xml:space="preserve"> i</w:t>
      </w:r>
      <w:r w:rsidR="00093AD7" w:rsidRPr="00093AD7">
        <w:rPr>
          <w:sz w:val="24"/>
          <w:szCs w:val="24"/>
        </w:rPr>
        <w:t>dentified 18 published measles studies</w:t>
      </w:r>
      <w:r>
        <w:rPr>
          <w:sz w:val="24"/>
          <w:szCs w:val="24"/>
        </w:rPr>
        <w:t>,</w:t>
      </w:r>
      <w:r w:rsidR="00093AD7" w:rsidRPr="00093AD7">
        <w:rPr>
          <w:sz w:val="24"/>
          <w:szCs w:val="24"/>
        </w:rPr>
        <w:t xml:space="preserve"> which described 1</w:t>
      </w:r>
      <w:r>
        <w:rPr>
          <w:sz w:val="24"/>
          <w:szCs w:val="24"/>
        </w:rPr>
        <w:t>,</w:t>
      </w:r>
      <w:r w:rsidR="00093AD7" w:rsidRPr="00093AD7">
        <w:rPr>
          <w:sz w:val="24"/>
          <w:szCs w:val="24"/>
        </w:rPr>
        <w:t>416 measles cases (individual age range, 2 weeks-84 years;</w:t>
      </w:r>
      <w:r>
        <w:rPr>
          <w:sz w:val="24"/>
          <w:szCs w:val="24"/>
        </w:rPr>
        <w:t xml:space="preserve"> </w:t>
      </w:r>
      <w:r w:rsidR="00093AD7" w:rsidRPr="00093AD7">
        <w:rPr>
          <w:sz w:val="24"/>
          <w:szCs w:val="24"/>
        </w:rPr>
        <w:t>178 cases younger than 12 months) and more than half (5</w:t>
      </w:r>
      <w:r>
        <w:rPr>
          <w:sz w:val="24"/>
          <w:szCs w:val="24"/>
        </w:rPr>
        <w:t>7</w:t>
      </w:r>
      <w:r w:rsidR="00F1665E">
        <w:rPr>
          <w:sz w:val="24"/>
          <w:szCs w:val="24"/>
        </w:rPr>
        <w:t xml:space="preserve"> percent</w:t>
      </w:r>
      <w:r w:rsidR="00093AD7" w:rsidRPr="00093AD7">
        <w:rPr>
          <w:sz w:val="24"/>
          <w:szCs w:val="24"/>
        </w:rPr>
        <w:t>) had no history of measles vaccination. Of the 970 measles cases with detailed vaccination data, 574 cases were unvaccinated despite being vaccine eligible and 7</w:t>
      </w:r>
      <w:r>
        <w:rPr>
          <w:sz w:val="24"/>
          <w:szCs w:val="24"/>
        </w:rPr>
        <w:t>1</w:t>
      </w:r>
      <w:r w:rsidR="00F1665E">
        <w:rPr>
          <w:sz w:val="24"/>
          <w:szCs w:val="24"/>
        </w:rPr>
        <w:t xml:space="preserve"> percent</w:t>
      </w:r>
      <w:r w:rsidR="00093AD7" w:rsidRPr="00093AD7">
        <w:rPr>
          <w:sz w:val="24"/>
          <w:szCs w:val="24"/>
        </w:rPr>
        <w:t xml:space="preserve"> of these had nonmedical exemptions (</w:t>
      </w:r>
      <w:r w:rsidR="00EB5B91" w:rsidRPr="00093AD7">
        <w:rPr>
          <w:sz w:val="24"/>
          <w:szCs w:val="24"/>
        </w:rPr>
        <w:t>e.g.</w:t>
      </w:r>
      <w:r w:rsidR="00093AD7" w:rsidRPr="00093AD7">
        <w:rPr>
          <w:sz w:val="24"/>
          <w:szCs w:val="24"/>
        </w:rPr>
        <w:t>,</w:t>
      </w:r>
      <w:r w:rsidR="00053C03">
        <w:rPr>
          <w:sz w:val="24"/>
          <w:szCs w:val="24"/>
        </w:rPr>
        <w:t xml:space="preserve"> </w:t>
      </w:r>
      <w:r w:rsidR="00093AD7" w:rsidRPr="00093AD7">
        <w:rPr>
          <w:sz w:val="24"/>
          <w:szCs w:val="24"/>
        </w:rPr>
        <w:t>for religious or philosophical reasons</w:t>
      </w:r>
      <w:r>
        <w:rPr>
          <w:sz w:val="24"/>
          <w:szCs w:val="24"/>
        </w:rPr>
        <w:t>,</w:t>
      </w:r>
      <w:r w:rsidR="00093AD7" w:rsidRPr="00093AD7">
        <w:rPr>
          <w:sz w:val="24"/>
          <w:szCs w:val="24"/>
        </w:rPr>
        <w:t xml:space="preserve"> as opposed to medical contraindications; 4</w:t>
      </w:r>
      <w:r w:rsidR="00943E82">
        <w:rPr>
          <w:sz w:val="24"/>
          <w:szCs w:val="24"/>
        </w:rPr>
        <w:t>2</w:t>
      </w:r>
      <w:r w:rsidR="00F1665E">
        <w:rPr>
          <w:sz w:val="24"/>
          <w:szCs w:val="24"/>
        </w:rPr>
        <w:t xml:space="preserve"> percent</w:t>
      </w:r>
      <w:r w:rsidR="00093AD7" w:rsidRPr="00093AD7">
        <w:rPr>
          <w:sz w:val="24"/>
          <w:szCs w:val="24"/>
        </w:rPr>
        <w:t xml:space="preserve"> of total). </w:t>
      </w:r>
    </w:p>
    <w:p w14:paraId="32CCD6A6" w14:textId="77777777" w:rsidR="00943E82" w:rsidRDefault="00943E82" w:rsidP="00093AD7">
      <w:pPr>
        <w:spacing w:line="360" w:lineRule="auto"/>
        <w:rPr>
          <w:sz w:val="24"/>
          <w:szCs w:val="24"/>
        </w:rPr>
      </w:pPr>
    </w:p>
    <w:p w14:paraId="77537811" w14:textId="77777777" w:rsidR="00093AD7" w:rsidRPr="00093AD7" w:rsidRDefault="00093AD7" w:rsidP="00093AD7">
      <w:pPr>
        <w:spacing w:line="360" w:lineRule="auto"/>
        <w:rPr>
          <w:rFonts w:eastAsia="Arial"/>
          <w:sz w:val="24"/>
          <w:szCs w:val="24"/>
        </w:rPr>
      </w:pPr>
      <w:r w:rsidRPr="00093AD7">
        <w:rPr>
          <w:sz w:val="24"/>
          <w:szCs w:val="24"/>
        </w:rPr>
        <w:lastRenderedPageBreak/>
        <w:t>Among 32 reports of pertussis outbreaks, which included 10</w:t>
      </w:r>
      <w:r w:rsidR="00943E82">
        <w:rPr>
          <w:sz w:val="24"/>
          <w:szCs w:val="24"/>
        </w:rPr>
        <w:t>,</w:t>
      </w:r>
      <w:r w:rsidRPr="00093AD7">
        <w:rPr>
          <w:sz w:val="24"/>
          <w:szCs w:val="24"/>
        </w:rPr>
        <w:t>609 individuals for whom vaccination status was reported (age range, 10 days-87 years)</w:t>
      </w:r>
      <w:r w:rsidR="00943E82">
        <w:rPr>
          <w:sz w:val="24"/>
          <w:szCs w:val="24"/>
        </w:rPr>
        <w:t>,</w:t>
      </w:r>
      <w:r w:rsidRPr="00093AD7">
        <w:rPr>
          <w:sz w:val="24"/>
          <w:szCs w:val="24"/>
        </w:rPr>
        <w:t xml:space="preserve"> the 5 largest statewide epidemics had substantial proportions (range, 24</w:t>
      </w:r>
      <w:r w:rsidR="00F1665E">
        <w:rPr>
          <w:sz w:val="24"/>
          <w:szCs w:val="24"/>
        </w:rPr>
        <w:t xml:space="preserve"> percent</w:t>
      </w:r>
      <w:r w:rsidRPr="00093AD7">
        <w:rPr>
          <w:sz w:val="24"/>
          <w:szCs w:val="24"/>
        </w:rPr>
        <w:t>-45</w:t>
      </w:r>
      <w:r w:rsidR="00F1665E">
        <w:rPr>
          <w:sz w:val="24"/>
          <w:szCs w:val="24"/>
        </w:rPr>
        <w:t xml:space="preserve"> percent</w:t>
      </w:r>
      <w:r w:rsidRPr="00093AD7">
        <w:rPr>
          <w:sz w:val="24"/>
          <w:szCs w:val="24"/>
        </w:rPr>
        <w:t>) of unvaccinated or undervaccinated individuals. However, several pertussis outbreaks also occurred in highly vaccinated populations</w:t>
      </w:r>
      <w:r w:rsidR="00943E82">
        <w:rPr>
          <w:sz w:val="24"/>
          <w:szCs w:val="24"/>
        </w:rPr>
        <w:t>,</w:t>
      </w:r>
      <w:r w:rsidRPr="00093AD7">
        <w:rPr>
          <w:sz w:val="24"/>
          <w:szCs w:val="24"/>
        </w:rPr>
        <w:t xml:space="preserve"> indicating</w:t>
      </w:r>
      <w:r w:rsidR="00943E82">
        <w:rPr>
          <w:sz w:val="24"/>
          <w:szCs w:val="24"/>
        </w:rPr>
        <w:t xml:space="preserve"> </w:t>
      </w:r>
      <w:r w:rsidRPr="00093AD7">
        <w:rPr>
          <w:sz w:val="24"/>
          <w:szCs w:val="24"/>
        </w:rPr>
        <w:t>waning immunity. Nine reports (describing 12 outbreaks) provided detailed vaccination data on unimmunized cases;</w:t>
      </w:r>
      <w:r w:rsidR="00943E82">
        <w:rPr>
          <w:sz w:val="24"/>
          <w:szCs w:val="24"/>
        </w:rPr>
        <w:t xml:space="preserve"> </w:t>
      </w:r>
      <w:r w:rsidRPr="00093AD7">
        <w:rPr>
          <w:sz w:val="24"/>
          <w:szCs w:val="24"/>
        </w:rPr>
        <w:t>among 8 of these outbreaks</w:t>
      </w:r>
      <w:r w:rsidR="00F00698">
        <w:rPr>
          <w:sz w:val="24"/>
          <w:szCs w:val="24"/>
        </w:rPr>
        <w:t>,</w:t>
      </w:r>
      <w:r w:rsidRPr="00093AD7">
        <w:rPr>
          <w:sz w:val="24"/>
          <w:szCs w:val="24"/>
        </w:rPr>
        <w:t xml:space="preserve"> from 59</w:t>
      </w:r>
      <w:r w:rsidR="00F1665E">
        <w:rPr>
          <w:sz w:val="24"/>
          <w:szCs w:val="24"/>
        </w:rPr>
        <w:t xml:space="preserve"> percent</w:t>
      </w:r>
      <w:r w:rsidRPr="00093AD7">
        <w:rPr>
          <w:sz w:val="24"/>
          <w:szCs w:val="24"/>
        </w:rPr>
        <w:t xml:space="preserve"> through 93</w:t>
      </w:r>
      <w:r w:rsidR="00F1665E">
        <w:rPr>
          <w:sz w:val="24"/>
          <w:szCs w:val="24"/>
        </w:rPr>
        <w:t xml:space="preserve"> percent</w:t>
      </w:r>
      <w:r w:rsidRPr="00093AD7">
        <w:rPr>
          <w:sz w:val="24"/>
          <w:szCs w:val="24"/>
        </w:rPr>
        <w:t xml:space="preserve"> of unvaccinated individuals were intentionally unvaccinated.</w:t>
      </w:r>
    </w:p>
    <w:p w14:paraId="5832153E" w14:textId="77777777" w:rsidR="00093AD7" w:rsidRDefault="00093AD7" w:rsidP="00093AD7">
      <w:pPr>
        <w:spacing w:line="360" w:lineRule="auto"/>
        <w:rPr>
          <w:rFonts w:eastAsia="Arial"/>
          <w:sz w:val="24"/>
          <w:szCs w:val="24"/>
        </w:rPr>
      </w:pPr>
    </w:p>
    <w:p w14:paraId="1465C91D" w14:textId="77777777" w:rsidR="00943E82" w:rsidRPr="00A35E68" w:rsidRDefault="00A35E68" w:rsidP="00A35E68">
      <w:pPr>
        <w:spacing w:line="360" w:lineRule="auto"/>
        <w:rPr>
          <w:rFonts w:eastAsia="Arial"/>
          <w:sz w:val="24"/>
          <w:szCs w:val="24"/>
        </w:rPr>
      </w:pPr>
      <w:r>
        <w:rPr>
          <w:rFonts w:eastAsia="Arial"/>
          <w:sz w:val="24"/>
          <w:szCs w:val="24"/>
        </w:rPr>
        <w:t>“</w:t>
      </w:r>
      <w:r w:rsidRPr="00A35E68">
        <w:rPr>
          <w:sz w:val="24"/>
          <w:szCs w:val="24"/>
        </w:rPr>
        <w:t xml:space="preserve">This review has broad implications for vaccine practice and policy. For instance, fundamental to the strength and legitimacy of justifications to override parental decisions to refuse a vaccine for their child is a clear demonstration that the risks and harms to the child of remaining unimmunized are substantial. Similarly, central to any justification to restrict individual freedom by mandating vaccines to prevent harm to others is an understanding of the nature and magnitude of these risks and harms. However, the risks of vaccine refusal remain imperfectly defined, and the association between vaccine refusal and vaccine-preventable diseases may be both population- and </w:t>
      </w:r>
      <w:r>
        <w:rPr>
          <w:sz w:val="24"/>
          <w:szCs w:val="24"/>
        </w:rPr>
        <w:t>disease-specific,” the authors write.</w:t>
      </w:r>
    </w:p>
    <w:p w14:paraId="1FE10BFE" w14:textId="77777777" w:rsidR="00CB57EE" w:rsidRDefault="00CB7FA4" w:rsidP="00F63A16">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BB4309">
        <w:rPr>
          <w:sz w:val="24"/>
          <w:szCs w:val="24"/>
        </w:rPr>
        <w:t>6</w:t>
      </w:r>
      <w:r>
        <w:rPr>
          <w:sz w:val="24"/>
          <w:szCs w:val="24"/>
        </w:rPr>
        <w:t>.</w:t>
      </w:r>
      <w:r w:rsidR="00945ED4">
        <w:rPr>
          <w:sz w:val="24"/>
          <w:szCs w:val="24"/>
        </w:rPr>
        <w:t>1</w:t>
      </w:r>
      <w:r w:rsidR="00496977">
        <w:rPr>
          <w:sz w:val="24"/>
          <w:szCs w:val="24"/>
        </w:rPr>
        <w:t>353</w:t>
      </w:r>
      <w:r w:rsidR="0003400E">
        <w:rPr>
          <w:sz w:val="24"/>
          <w:szCs w:val="24"/>
        </w:rPr>
        <w:t>;</w:t>
      </w:r>
      <w:r w:rsidRPr="00DE3F0B">
        <w:rPr>
          <w:sz w:val="24"/>
          <w:szCs w:val="24"/>
        </w:rPr>
        <w:t xml:space="preserve"> </w:t>
      </w:r>
      <w:r w:rsidR="00CB57EE">
        <w:rPr>
          <w:sz w:val="24"/>
          <w:szCs w:val="24"/>
        </w:rPr>
        <w:t>this study is a</w:t>
      </w:r>
      <w:r w:rsidRPr="00DE3F0B">
        <w:rPr>
          <w:sz w:val="24"/>
          <w:szCs w:val="24"/>
        </w:rPr>
        <w:t xml:space="preserve">vailable pre-embargo </w:t>
      </w:r>
      <w:r w:rsidR="00CB57EE">
        <w:rPr>
          <w:sz w:val="24"/>
          <w:szCs w:val="24"/>
        </w:rPr>
        <w:t xml:space="preserve">at the </w:t>
      </w:r>
      <w:r w:rsidR="00CB57EE" w:rsidRPr="00EA5626">
        <w:rPr>
          <w:sz w:val="24"/>
          <w:szCs w:val="24"/>
        </w:rPr>
        <w:t xml:space="preserve">For The Media </w:t>
      </w:r>
      <w:hyperlink r:id="rId13" w:history="1">
        <w:r w:rsidR="00CB57EE" w:rsidRPr="00EA5626">
          <w:rPr>
            <w:rStyle w:val="Hyperlink"/>
            <w:sz w:val="24"/>
            <w:szCs w:val="24"/>
          </w:rPr>
          <w:t>website</w:t>
        </w:r>
      </w:hyperlink>
      <w:r w:rsidR="00CB57EE">
        <w:rPr>
          <w:sz w:val="24"/>
          <w:szCs w:val="24"/>
        </w:rPr>
        <w:t>.)</w:t>
      </w:r>
    </w:p>
    <w:p w14:paraId="1795DA6E" w14:textId="77777777" w:rsidR="00CB57EE" w:rsidRDefault="00CB57EE" w:rsidP="00F63A16">
      <w:pPr>
        <w:rPr>
          <w:sz w:val="24"/>
          <w:szCs w:val="24"/>
        </w:rPr>
      </w:pPr>
    </w:p>
    <w:p w14:paraId="6AE9688D" w14:textId="77777777" w:rsidR="00F63A16" w:rsidRDefault="00E41FB8" w:rsidP="00F912EC">
      <w:pPr>
        <w:rPr>
          <w:sz w:val="24"/>
          <w:szCs w:val="24"/>
        </w:rPr>
      </w:pPr>
      <w:r w:rsidRPr="00F912EC">
        <w:rPr>
          <w:b/>
          <w:sz w:val="24"/>
          <w:szCs w:val="24"/>
          <w:u w:val="single"/>
        </w:rPr>
        <w:t>Editor’s Note</w:t>
      </w:r>
      <w:r w:rsidRPr="00F912EC">
        <w:rPr>
          <w:sz w:val="24"/>
          <w:szCs w:val="24"/>
        </w:rPr>
        <w:t>:</w:t>
      </w:r>
      <w:r w:rsidR="00F63A16">
        <w:rPr>
          <w:sz w:val="24"/>
          <w:szCs w:val="24"/>
        </w:rPr>
        <w:t xml:space="preserve"> </w:t>
      </w:r>
      <w:r w:rsidR="00F63A16" w:rsidRPr="00F63A16">
        <w:rPr>
          <w:sz w:val="24"/>
          <w:szCs w:val="24"/>
        </w:rPr>
        <w:t xml:space="preserve">This work is supported by </w:t>
      </w:r>
      <w:r w:rsidR="00F63A16">
        <w:rPr>
          <w:sz w:val="24"/>
          <w:szCs w:val="24"/>
        </w:rPr>
        <w:t xml:space="preserve">an </w:t>
      </w:r>
      <w:r w:rsidR="00F63A16" w:rsidRPr="00F63A16">
        <w:rPr>
          <w:sz w:val="24"/>
          <w:szCs w:val="24"/>
        </w:rPr>
        <w:t>award from the Emory Vaccinology Training Program of the National Institute of Allergy and Infectious Diseases</w:t>
      </w:r>
      <w:r w:rsidR="00F63A16">
        <w:rPr>
          <w:sz w:val="24"/>
          <w:szCs w:val="24"/>
        </w:rPr>
        <w:t xml:space="preserve">. </w:t>
      </w:r>
      <w:r w:rsidR="00F00698" w:rsidRPr="005E5EE4">
        <w:rPr>
          <w:sz w:val="24"/>
          <w:szCs w:val="24"/>
        </w:rPr>
        <w:t>Please see the article for additional information, including other authors, author contributions and affiliations, financial disclosures, etc.</w:t>
      </w:r>
    </w:p>
    <w:p w14:paraId="175CEB14" w14:textId="77777777" w:rsidR="00F00698" w:rsidRDefault="00F00698" w:rsidP="00F912EC">
      <w:pPr>
        <w:rPr>
          <w:sz w:val="24"/>
          <w:szCs w:val="24"/>
        </w:rPr>
      </w:pPr>
    </w:p>
    <w:p w14:paraId="62B3097F" w14:textId="77777777" w:rsidR="00F63A16" w:rsidRPr="00933AA4" w:rsidRDefault="00F63A16" w:rsidP="00933AA4">
      <w:pPr>
        <w:rPr>
          <w:b/>
          <w:sz w:val="28"/>
          <w:szCs w:val="28"/>
        </w:rPr>
      </w:pPr>
      <w:r w:rsidRPr="00933AA4">
        <w:rPr>
          <w:b/>
          <w:sz w:val="28"/>
          <w:szCs w:val="28"/>
        </w:rPr>
        <w:t>Editorial:</w:t>
      </w:r>
      <w:r w:rsidR="00933AA4">
        <w:rPr>
          <w:b/>
          <w:sz w:val="28"/>
          <w:szCs w:val="28"/>
        </w:rPr>
        <w:t xml:space="preserve"> </w:t>
      </w:r>
      <w:r w:rsidRPr="00933AA4">
        <w:rPr>
          <w:b/>
          <w:sz w:val="28"/>
          <w:szCs w:val="28"/>
        </w:rPr>
        <w:t>Toward High-Reliability Vaccination Efforts in the United States</w:t>
      </w:r>
    </w:p>
    <w:p w14:paraId="098045ED" w14:textId="77777777" w:rsidR="00F63A16" w:rsidRDefault="00F63A16" w:rsidP="00F912EC">
      <w:pPr>
        <w:rPr>
          <w:sz w:val="24"/>
          <w:szCs w:val="24"/>
        </w:rPr>
      </w:pPr>
    </w:p>
    <w:p w14:paraId="19074115" w14:textId="77777777" w:rsidR="00C339C3" w:rsidRDefault="00C339C3" w:rsidP="00C339C3">
      <w:pPr>
        <w:spacing w:line="360" w:lineRule="auto"/>
        <w:rPr>
          <w:sz w:val="24"/>
          <w:szCs w:val="24"/>
        </w:rPr>
      </w:pPr>
      <w:r>
        <w:rPr>
          <w:sz w:val="24"/>
          <w:szCs w:val="24"/>
        </w:rPr>
        <w:t>“</w:t>
      </w:r>
      <w:r w:rsidRPr="00C339C3">
        <w:rPr>
          <w:sz w:val="24"/>
          <w:szCs w:val="24"/>
        </w:rPr>
        <w:t>Without a centralized infrastructure focused on the goal of maximizing community immunity, high-reliability vaccine coverage remains challenging in the United States</w:t>
      </w:r>
      <w:r>
        <w:rPr>
          <w:sz w:val="24"/>
          <w:szCs w:val="24"/>
        </w:rPr>
        <w:t xml:space="preserve">,” writes </w:t>
      </w:r>
      <w:r w:rsidRPr="00C339C3">
        <w:rPr>
          <w:sz w:val="24"/>
          <w:szCs w:val="24"/>
        </w:rPr>
        <w:t>Matthew M.</w:t>
      </w:r>
      <w:r>
        <w:rPr>
          <w:sz w:val="24"/>
          <w:szCs w:val="24"/>
        </w:rPr>
        <w:t xml:space="preserve"> </w:t>
      </w:r>
      <w:r w:rsidRPr="00C339C3">
        <w:rPr>
          <w:sz w:val="24"/>
          <w:szCs w:val="24"/>
        </w:rPr>
        <w:t>Davis</w:t>
      </w:r>
      <w:r>
        <w:rPr>
          <w:sz w:val="24"/>
          <w:szCs w:val="24"/>
        </w:rPr>
        <w:t>,</w:t>
      </w:r>
      <w:r w:rsidRPr="00C339C3">
        <w:rPr>
          <w:sz w:val="24"/>
          <w:szCs w:val="24"/>
        </w:rPr>
        <w:t xml:space="preserve"> M</w:t>
      </w:r>
      <w:r>
        <w:rPr>
          <w:sz w:val="24"/>
          <w:szCs w:val="24"/>
        </w:rPr>
        <w:t>.</w:t>
      </w:r>
      <w:r w:rsidRPr="00C339C3">
        <w:rPr>
          <w:sz w:val="24"/>
          <w:szCs w:val="24"/>
        </w:rPr>
        <w:t>D.</w:t>
      </w:r>
      <w:r>
        <w:rPr>
          <w:sz w:val="24"/>
          <w:szCs w:val="24"/>
        </w:rPr>
        <w:t>,</w:t>
      </w:r>
      <w:r w:rsidRPr="00C339C3">
        <w:rPr>
          <w:sz w:val="24"/>
          <w:szCs w:val="24"/>
        </w:rPr>
        <w:t xml:space="preserve"> M</w:t>
      </w:r>
      <w:r>
        <w:rPr>
          <w:sz w:val="24"/>
          <w:szCs w:val="24"/>
        </w:rPr>
        <w:t>.</w:t>
      </w:r>
      <w:r w:rsidRPr="00C339C3">
        <w:rPr>
          <w:sz w:val="24"/>
          <w:szCs w:val="24"/>
        </w:rPr>
        <w:t>A</w:t>
      </w:r>
      <w:r>
        <w:rPr>
          <w:sz w:val="24"/>
          <w:szCs w:val="24"/>
        </w:rPr>
        <w:t>.</w:t>
      </w:r>
      <w:r w:rsidRPr="00C339C3">
        <w:rPr>
          <w:sz w:val="24"/>
          <w:szCs w:val="24"/>
        </w:rPr>
        <w:t>P</w:t>
      </w:r>
      <w:r>
        <w:rPr>
          <w:sz w:val="24"/>
          <w:szCs w:val="24"/>
        </w:rPr>
        <w:t>.</w:t>
      </w:r>
      <w:r w:rsidRPr="00C339C3">
        <w:rPr>
          <w:sz w:val="24"/>
          <w:szCs w:val="24"/>
        </w:rPr>
        <w:t>P</w:t>
      </w:r>
      <w:r>
        <w:rPr>
          <w:sz w:val="24"/>
          <w:szCs w:val="24"/>
        </w:rPr>
        <w:t>.</w:t>
      </w:r>
      <w:r w:rsidRPr="00C339C3">
        <w:rPr>
          <w:sz w:val="24"/>
          <w:szCs w:val="24"/>
        </w:rPr>
        <w:t xml:space="preserve">, </w:t>
      </w:r>
      <w:r>
        <w:rPr>
          <w:sz w:val="24"/>
          <w:szCs w:val="24"/>
        </w:rPr>
        <w:t xml:space="preserve">of the </w:t>
      </w:r>
      <w:r w:rsidRPr="00C339C3">
        <w:rPr>
          <w:sz w:val="24"/>
          <w:szCs w:val="24"/>
        </w:rPr>
        <w:t>University of Michigan</w:t>
      </w:r>
      <w:r>
        <w:rPr>
          <w:sz w:val="24"/>
          <w:szCs w:val="24"/>
        </w:rPr>
        <w:t>,</w:t>
      </w:r>
      <w:r w:rsidRPr="00C339C3">
        <w:rPr>
          <w:sz w:val="24"/>
          <w:szCs w:val="24"/>
        </w:rPr>
        <w:t xml:space="preserve"> Ann Arbor</w:t>
      </w:r>
      <w:r>
        <w:rPr>
          <w:sz w:val="24"/>
          <w:szCs w:val="24"/>
        </w:rPr>
        <w:t>, in an accompanying editorial</w:t>
      </w:r>
      <w:r w:rsidRPr="00C339C3">
        <w:rPr>
          <w:sz w:val="24"/>
          <w:szCs w:val="24"/>
        </w:rPr>
        <w:t xml:space="preserve">. </w:t>
      </w:r>
    </w:p>
    <w:p w14:paraId="46588E02" w14:textId="77777777" w:rsidR="00C339C3" w:rsidRDefault="00C339C3" w:rsidP="00C339C3">
      <w:pPr>
        <w:spacing w:line="360" w:lineRule="auto"/>
        <w:rPr>
          <w:sz w:val="24"/>
          <w:szCs w:val="24"/>
        </w:rPr>
      </w:pPr>
    </w:p>
    <w:p w14:paraId="4E4CB23A" w14:textId="77777777" w:rsidR="00933AA4" w:rsidRPr="00C339C3" w:rsidRDefault="00C339C3" w:rsidP="00C339C3">
      <w:pPr>
        <w:spacing w:line="360" w:lineRule="auto"/>
        <w:rPr>
          <w:sz w:val="24"/>
          <w:szCs w:val="24"/>
        </w:rPr>
      </w:pPr>
      <w:r>
        <w:rPr>
          <w:sz w:val="24"/>
          <w:szCs w:val="24"/>
        </w:rPr>
        <w:t>“</w:t>
      </w:r>
      <w:r w:rsidRPr="00C339C3">
        <w:rPr>
          <w:sz w:val="24"/>
          <w:szCs w:val="24"/>
        </w:rPr>
        <w:t>Nonetheless, if</w:t>
      </w:r>
      <w:r>
        <w:rPr>
          <w:sz w:val="24"/>
          <w:szCs w:val="24"/>
        </w:rPr>
        <w:t xml:space="preserve"> </w:t>
      </w:r>
      <w:r w:rsidRPr="00C339C3">
        <w:rPr>
          <w:sz w:val="24"/>
          <w:szCs w:val="24"/>
        </w:rPr>
        <w:t>vaccines are developed for emerging diseases that threaten the U</w:t>
      </w:r>
      <w:r>
        <w:rPr>
          <w:sz w:val="24"/>
          <w:szCs w:val="24"/>
        </w:rPr>
        <w:t>.</w:t>
      </w:r>
      <w:r w:rsidRPr="00C339C3">
        <w:rPr>
          <w:sz w:val="24"/>
          <w:szCs w:val="24"/>
        </w:rPr>
        <w:t>S</w:t>
      </w:r>
      <w:r>
        <w:rPr>
          <w:sz w:val="24"/>
          <w:szCs w:val="24"/>
        </w:rPr>
        <w:t>.</w:t>
      </w:r>
      <w:r w:rsidRPr="00C339C3">
        <w:rPr>
          <w:sz w:val="24"/>
          <w:szCs w:val="24"/>
        </w:rPr>
        <w:t xml:space="preserve"> population</w:t>
      </w:r>
      <w:r>
        <w:rPr>
          <w:sz w:val="24"/>
          <w:szCs w:val="24"/>
        </w:rPr>
        <w:t>—</w:t>
      </w:r>
      <w:r w:rsidRPr="00C339C3">
        <w:rPr>
          <w:sz w:val="24"/>
          <w:szCs w:val="24"/>
        </w:rPr>
        <w:t>such as Zika, Ebola, or human immunodeficiency virus</w:t>
      </w:r>
      <w:r>
        <w:rPr>
          <w:sz w:val="24"/>
          <w:szCs w:val="24"/>
        </w:rPr>
        <w:t>—</w:t>
      </w:r>
      <w:r w:rsidRPr="00C339C3">
        <w:rPr>
          <w:sz w:val="24"/>
          <w:szCs w:val="24"/>
        </w:rPr>
        <w:t>the public will likely expect the currently complex and heterogeneous vaccination system in the United States to function as a seamless organization. The U</w:t>
      </w:r>
      <w:r>
        <w:rPr>
          <w:sz w:val="24"/>
          <w:szCs w:val="24"/>
        </w:rPr>
        <w:t>.</w:t>
      </w:r>
      <w:r w:rsidRPr="00C339C3">
        <w:rPr>
          <w:sz w:val="24"/>
          <w:szCs w:val="24"/>
        </w:rPr>
        <w:t>S</w:t>
      </w:r>
      <w:r>
        <w:rPr>
          <w:sz w:val="24"/>
          <w:szCs w:val="24"/>
        </w:rPr>
        <w:t>.</w:t>
      </w:r>
      <w:r w:rsidRPr="00C339C3">
        <w:rPr>
          <w:sz w:val="24"/>
          <w:szCs w:val="24"/>
        </w:rPr>
        <w:t xml:space="preserve"> population wants vaccination to be safe, effective and available in a timely manner, and for immunization to be durable. Current challenges with measles and pertussis outbreaks provide an opportunity to develop and evaluate approaches to achieve unprecedented levels of vaccination coverage, limit waning immunity, and minimize vaccine-preventable disease for children and adults alike.</w:t>
      </w:r>
      <w:r>
        <w:rPr>
          <w:sz w:val="24"/>
          <w:szCs w:val="24"/>
        </w:rPr>
        <w:t>”</w:t>
      </w:r>
    </w:p>
    <w:p w14:paraId="6F5E2A31" w14:textId="77F76EDE" w:rsidR="00C339C3" w:rsidRDefault="00C339C3" w:rsidP="00C339C3">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4D0D28" w:rsidRPr="004D0D28">
        <w:rPr>
          <w:sz w:val="24"/>
          <w:szCs w:val="24"/>
        </w:rPr>
        <w:t>1529</w:t>
      </w:r>
      <w:r>
        <w:rPr>
          <w:sz w:val="24"/>
          <w:szCs w:val="24"/>
        </w:rPr>
        <w:t>;</w:t>
      </w:r>
      <w:r w:rsidRPr="00DE3F0B">
        <w:rPr>
          <w:sz w:val="24"/>
          <w:szCs w:val="24"/>
        </w:rPr>
        <w:t xml:space="preserve"> </w:t>
      </w:r>
      <w:r>
        <w:rPr>
          <w:sz w:val="24"/>
          <w:szCs w:val="24"/>
        </w:rPr>
        <w:t>this editorial is a</w:t>
      </w:r>
      <w:r w:rsidRPr="00DE3F0B">
        <w:rPr>
          <w:sz w:val="24"/>
          <w:szCs w:val="24"/>
        </w:rPr>
        <w:t xml:space="preserve">vailable pre-embargo </w:t>
      </w:r>
      <w:r>
        <w:rPr>
          <w:sz w:val="24"/>
          <w:szCs w:val="24"/>
        </w:rPr>
        <w:t xml:space="preserve">at the </w:t>
      </w:r>
      <w:r w:rsidRPr="00EA5626">
        <w:rPr>
          <w:sz w:val="24"/>
          <w:szCs w:val="24"/>
        </w:rPr>
        <w:t xml:space="preserve">For The Media </w:t>
      </w:r>
      <w:hyperlink r:id="rId14" w:history="1">
        <w:r w:rsidRPr="00EA5626">
          <w:rPr>
            <w:rStyle w:val="Hyperlink"/>
            <w:sz w:val="24"/>
            <w:szCs w:val="24"/>
          </w:rPr>
          <w:t>website</w:t>
        </w:r>
      </w:hyperlink>
      <w:r>
        <w:rPr>
          <w:sz w:val="24"/>
          <w:szCs w:val="24"/>
        </w:rPr>
        <w:t>.)</w:t>
      </w:r>
    </w:p>
    <w:p w14:paraId="0A8592D0" w14:textId="77777777" w:rsidR="00C339C3" w:rsidRDefault="00C339C3" w:rsidP="00C339C3">
      <w:pPr>
        <w:rPr>
          <w:sz w:val="24"/>
          <w:szCs w:val="24"/>
        </w:rPr>
      </w:pPr>
    </w:p>
    <w:p w14:paraId="415DF687" w14:textId="77777777" w:rsidR="00C339C3" w:rsidRDefault="00C339C3" w:rsidP="00C339C3">
      <w:pPr>
        <w:rPr>
          <w:sz w:val="24"/>
          <w:szCs w:val="24"/>
        </w:rPr>
      </w:pPr>
      <w:r w:rsidRPr="00F912EC">
        <w:rPr>
          <w:b/>
          <w:sz w:val="24"/>
          <w:szCs w:val="24"/>
          <w:u w:val="single"/>
        </w:rPr>
        <w:t>Editor’s Note</w:t>
      </w:r>
      <w:r w:rsidRPr="00F912EC">
        <w:rPr>
          <w:sz w:val="24"/>
          <w:szCs w:val="24"/>
        </w:rPr>
        <w:t>:</w:t>
      </w:r>
      <w:r>
        <w:rPr>
          <w:sz w:val="24"/>
          <w:szCs w:val="24"/>
        </w:rPr>
        <w:t xml:space="preserve"> The </w:t>
      </w:r>
      <w:r w:rsidRPr="00C339C3">
        <w:rPr>
          <w:sz w:val="24"/>
          <w:szCs w:val="24"/>
        </w:rPr>
        <w:t>author</w:t>
      </w:r>
      <w:r>
        <w:rPr>
          <w:sz w:val="24"/>
          <w:szCs w:val="24"/>
        </w:rPr>
        <w:t xml:space="preserve"> has </w:t>
      </w:r>
      <w:r w:rsidRPr="00C339C3">
        <w:rPr>
          <w:sz w:val="24"/>
          <w:szCs w:val="24"/>
        </w:rPr>
        <w:t>completed and submitted the ICMJE Form for Disclosure of Potential Conflicts of Interest and none were reported.</w:t>
      </w:r>
    </w:p>
    <w:p w14:paraId="4CC75F07" w14:textId="77777777" w:rsidR="00C339C3" w:rsidRPr="00C339C3" w:rsidRDefault="00C339C3" w:rsidP="00C339C3">
      <w:pPr>
        <w:spacing w:line="360" w:lineRule="auto"/>
        <w:rPr>
          <w:sz w:val="24"/>
          <w:szCs w:val="24"/>
        </w:rPr>
      </w:pPr>
    </w:p>
    <w:p w14:paraId="17955C0C" w14:textId="77777777" w:rsidR="005B593B" w:rsidRDefault="005B593B" w:rsidP="005B593B">
      <w:pPr>
        <w:jc w:val="center"/>
        <w:rPr>
          <w:sz w:val="24"/>
          <w:szCs w:val="24"/>
        </w:rPr>
      </w:pPr>
      <w:r>
        <w:rPr>
          <w:sz w:val="24"/>
          <w:szCs w:val="24"/>
        </w:rPr>
        <w:t># # #</w:t>
      </w:r>
    </w:p>
    <w:p w14:paraId="57F8FD4B" w14:textId="77777777" w:rsidR="00695BB6" w:rsidRDefault="00695BB6" w:rsidP="005B593B">
      <w:pPr>
        <w:jc w:val="center"/>
        <w:rPr>
          <w:sz w:val="24"/>
          <w:szCs w:val="24"/>
        </w:rPr>
      </w:pPr>
    </w:p>
    <w:sectPr w:rsidR="00695BB6" w:rsidSect="00932D6A">
      <w:footerReference w:type="default" r:id="rId15"/>
      <w:pgSz w:w="12240" w:h="15840"/>
      <w:pgMar w:top="1440"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316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6C893" w14:textId="77777777" w:rsidR="00BF0358" w:rsidRDefault="00BF0358">
      <w:r>
        <w:separator/>
      </w:r>
    </w:p>
  </w:endnote>
  <w:endnote w:type="continuationSeparator" w:id="0">
    <w:p w14:paraId="5F5B5B72" w14:textId="77777777" w:rsidR="00BF0358" w:rsidRDefault="00BF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E24C" w14:textId="77777777"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8375" w14:textId="77777777" w:rsidR="00BF0358" w:rsidRDefault="00BF0358">
      <w:r>
        <w:separator/>
      </w:r>
    </w:p>
  </w:footnote>
  <w:footnote w:type="continuationSeparator" w:id="0">
    <w:p w14:paraId="76A0C480" w14:textId="77777777" w:rsidR="00BF0358" w:rsidRDefault="00BF0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F0224"/>
    <w:multiLevelType w:val="multilevel"/>
    <w:tmpl w:val="A8880AFE"/>
    <w:lvl w:ilvl="0">
      <w:start w:val="1"/>
      <w:numFmt w:val="decimal"/>
      <w:lvlText w:val="%1"/>
      <w:lvlJc w:val="left"/>
      <w:pPr>
        <w:ind w:left="364" w:hanging="250"/>
      </w:pPr>
      <w:rPr>
        <w:rFonts w:hint="default"/>
      </w:rPr>
    </w:lvl>
    <w:lvl w:ilvl="1">
      <w:start w:val="2"/>
      <w:numFmt w:val="decimal"/>
      <w:lvlText w:val="%1.%2"/>
      <w:lvlJc w:val="left"/>
      <w:pPr>
        <w:ind w:left="364" w:hanging="250"/>
      </w:pPr>
      <w:rPr>
        <w:rFonts w:ascii="Arial" w:eastAsia="Arial" w:hAnsi="Arial" w:hint="default"/>
        <w:color w:val="1A1A1A"/>
        <w:w w:val="99"/>
        <w:sz w:val="16"/>
        <w:szCs w:val="16"/>
      </w:rPr>
    </w:lvl>
    <w:lvl w:ilvl="2">
      <w:start w:val="1"/>
      <w:numFmt w:val="bullet"/>
      <w:lvlText w:val="•"/>
      <w:lvlJc w:val="left"/>
      <w:pPr>
        <w:ind w:left="268" w:hanging="82"/>
      </w:pPr>
      <w:rPr>
        <w:rFonts w:ascii="Times New Roman" w:eastAsia="Times New Roman" w:hAnsi="Times New Roman" w:hint="default"/>
        <w:color w:val="282828"/>
        <w:w w:val="108"/>
        <w:sz w:val="16"/>
        <w:szCs w:val="16"/>
      </w:rPr>
    </w:lvl>
    <w:lvl w:ilvl="3">
      <w:start w:val="1"/>
      <w:numFmt w:val="bullet"/>
      <w:lvlText w:val="•"/>
      <w:lvlJc w:val="left"/>
      <w:pPr>
        <w:ind w:left="738" w:hanging="82"/>
      </w:pPr>
      <w:rPr>
        <w:rFonts w:hint="default"/>
      </w:rPr>
    </w:lvl>
    <w:lvl w:ilvl="4">
      <w:start w:val="1"/>
      <w:numFmt w:val="bullet"/>
      <w:lvlText w:val="•"/>
      <w:lvlJc w:val="left"/>
      <w:pPr>
        <w:ind w:left="925" w:hanging="82"/>
      </w:pPr>
      <w:rPr>
        <w:rFonts w:hint="default"/>
      </w:rPr>
    </w:lvl>
    <w:lvl w:ilvl="5">
      <w:start w:val="1"/>
      <w:numFmt w:val="bullet"/>
      <w:lvlText w:val="•"/>
      <w:lvlJc w:val="left"/>
      <w:pPr>
        <w:ind w:left="1111" w:hanging="82"/>
      </w:pPr>
      <w:rPr>
        <w:rFonts w:hint="default"/>
      </w:rPr>
    </w:lvl>
    <w:lvl w:ilvl="6">
      <w:start w:val="1"/>
      <w:numFmt w:val="bullet"/>
      <w:lvlText w:val="•"/>
      <w:lvlJc w:val="left"/>
      <w:pPr>
        <w:ind w:left="1298" w:hanging="82"/>
      </w:pPr>
      <w:rPr>
        <w:rFonts w:hint="default"/>
      </w:rPr>
    </w:lvl>
    <w:lvl w:ilvl="7">
      <w:start w:val="1"/>
      <w:numFmt w:val="bullet"/>
      <w:lvlText w:val="•"/>
      <w:lvlJc w:val="left"/>
      <w:pPr>
        <w:ind w:left="1485" w:hanging="82"/>
      </w:pPr>
      <w:rPr>
        <w:rFonts w:hint="default"/>
      </w:rPr>
    </w:lvl>
    <w:lvl w:ilvl="8">
      <w:start w:val="1"/>
      <w:numFmt w:val="bullet"/>
      <w:lvlText w:val="•"/>
      <w:lvlJc w:val="left"/>
      <w:pPr>
        <w:ind w:left="1672" w:hanging="82"/>
      </w:pPr>
      <w:rPr>
        <w:rFont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3">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2"/>
  </w:num>
  <w:num w:numId="12">
    <w:abstractNumId w:val="30"/>
  </w:num>
  <w:num w:numId="13">
    <w:abstractNumId w:val="13"/>
  </w:num>
  <w:num w:numId="14">
    <w:abstractNumId w:val="27"/>
  </w:num>
  <w:num w:numId="15">
    <w:abstractNumId w:val="15"/>
  </w:num>
  <w:num w:numId="16">
    <w:abstractNumId w:val="36"/>
  </w:num>
  <w:num w:numId="17">
    <w:abstractNumId w:val="14"/>
  </w:num>
  <w:num w:numId="18">
    <w:abstractNumId w:val="26"/>
  </w:num>
  <w:num w:numId="19">
    <w:abstractNumId w:val="25"/>
  </w:num>
  <w:num w:numId="20">
    <w:abstractNumId w:val="6"/>
  </w:num>
  <w:num w:numId="21">
    <w:abstractNumId w:val="33"/>
  </w:num>
  <w:num w:numId="22">
    <w:abstractNumId w:val="0"/>
  </w:num>
  <w:num w:numId="23">
    <w:abstractNumId w:val="34"/>
  </w:num>
  <w:num w:numId="24">
    <w:abstractNumId w:val="29"/>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1"/>
  </w:num>
  <w:num w:numId="37">
    <w:abstractNumId w:val="35"/>
  </w:num>
  <w:num w:numId="3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2A9F"/>
    <w:rsid w:val="00003D33"/>
    <w:rsid w:val="00005432"/>
    <w:rsid w:val="00005F19"/>
    <w:rsid w:val="00006415"/>
    <w:rsid w:val="000064E7"/>
    <w:rsid w:val="00006A09"/>
    <w:rsid w:val="00006A7D"/>
    <w:rsid w:val="00007080"/>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92"/>
    <w:rsid w:val="00016DB3"/>
    <w:rsid w:val="000177A6"/>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C03"/>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272E"/>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3E5"/>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3AD7"/>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799"/>
    <w:rsid w:val="000C0E0B"/>
    <w:rsid w:val="000C0F21"/>
    <w:rsid w:val="000C13B4"/>
    <w:rsid w:val="000C13DA"/>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3C2"/>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939"/>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08"/>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50E"/>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3AF"/>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2BD"/>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4D70"/>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757"/>
    <w:rsid w:val="00277B35"/>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A5D"/>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696"/>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4F5F"/>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6CA"/>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224"/>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9F7"/>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A0"/>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869"/>
    <w:rsid w:val="003C0910"/>
    <w:rsid w:val="003C0D22"/>
    <w:rsid w:val="003C0FA6"/>
    <w:rsid w:val="003C0FCC"/>
    <w:rsid w:val="003C14D5"/>
    <w:rsid w:val="003C1A06"/>
    <w:rsid w:val="003C1D40"/>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77B"/>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3DFC"/>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6C0"/>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6977"/>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C5"/>
    <w:rsid w:val="004C3BD8"/>
    <w:rsid w:val="004C3C70"/>
    <w:rsid w:val="004C40EB"/>
    <w:rsid w:val="004C4728"/>
    <w:rsid w:val="004C49D4"/>
    <w:rsid w:val="004C5C07"/>
    <w:rsid w:val="004C5C44"/>
    <w:rsid w:val="004C65EA"/>
    <w:rsid w:val="004C7254"/>
    <w:rsid w:val="004C772E"/>
    <w:rsid w:val="004C7956"/>
    <w:rsid w:val="004D0367"/>
    <w:rsid w:val="004D08C7"/>
    <w:rsid w:val="004D0D28"/>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AB"/>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4A48"/>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0AE"/>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801"/>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CB0"/>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ABD"/>
    <w:rsid w:val="00547E97"/>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5C29"/>
    <w:rsid w:val="00586454"/>
    <w:rsid w:val="00586885"/>
    <w:rsid w:val="005869A8"/>
    <w:rsid w:val="0058784D"/>
    <w:rsid w:val="0058791F"/>
    <w:rsid w:val="00587DDD"/>
    <w:rsid w:val="0059026C"/>
    <w:rsid w:val="0059035E"/>
    <w:rsid w:val="00590611"/>
    <w:rsid w:val="005907F6"/>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6DD2"/>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4511"/>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5F29"/>
    <w:rsid w:val="005E69C0"/>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21C"/>
    <w:rsid w:val="00600699"/>
    <w:rsid w:val="00600A3E"/>
    <w:rsid w:val="006012AC"/>
    <w:rsid w:val="006015E4"/>
    <w:rsid w:val="006015EF"/>
    <w:rsid w:val="0060161E"/>
    <w:rsid w:val="00601C7D"/>
    <w:rsid w:val="00602246"/>
    <w:rsid w:val="00602638"/>
    <w:rsid w:val="006028A8"/>
    <w:rsid w:val="00602D2B"/>
    <w:rsid w:val="00602D5E"/>
    <w:rsid w:val="00603CBC"/>
    <w:rsid w:val="00603EB7"/>
    <w:rsid w:val="00603F1B"/>
    <w:rsid w:val="0060428F"/>
    <w:rsid w:val="00604733"/>
    <w:rsid w:val="0060473F"/>
    <w:rsid w:val="00604873"/>
    <w:rsid w:val="00604AC3"/>
    <w:rsid w:val="0060558B"/>
    <w:rsid w:val="006059EA"/>
    <w:rsid w:val="00605D72"/>
    <w:rsid w:val="00606491"/>
    <w:rsid w:val="006066F2"/>
    <w:rsid w:val="0060677A"/>
    <w:rsid w:val="006067A5"/>
    <w:rsid w:val="00606A94"/>
    <w:rsid w:val="00606C54"/>
    <w:rsid w:val="00606D85"/>
    <w:rsid w:val="0060706C"/>
    <w:rsid w:val="006072A8"/>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496"/>
    <w:rsid w:val="006139A5"/>
    <w:rsid w:val="00613B38"/>
    <w:rsid w:val="006148DD"/>
    <w:rsid w:val="00614A6B"/>
    <w:rsid w:val="00615177"/>
    <w:rsid w:val="006157D2"/>
    <w:rsid w:val="00615C66"/>
    <w:rsid w:val="00615D59"/>
    <w:rsid w:val="00615FC1"/>
    <w:rsid w:val="0061655B"/>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5E7C"/>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1B78"/>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216"/>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02E"/>
    <w:rsid w:val="00676555"/>
    <w:rsid w:val="0067660D"/>
    <w:rsid w:val="006767C6"/>
    <w:rsid w:val="006772D6"/>
    <w:rsid w:val="00677990"/>
    <w:rsid w:val="00677EEF"/>
    <w:rsid w:val="00681289"/>
    <w:rsid w:val="006814BC"/>
    <w:rsid w:val="006817B2"/>
    <w:rsid w:val="006818FB"/>
    <w:rsid w:val="00681B85"/>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769A"/>
    <w:rsid w:val="00687F12"/>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B6"/>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043B"/>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59C"/>
    <w:rsid w:val="006C5A6C"/>
    <w:rsid w:val="006C5F3D"/>
    <w:rsid w:val="006C685F"/>
    <w:rsid w:val="006C6974"/>
    <w:rsid w:val="006C6C39"/>
    <w:rsid w:val="006C7479"/>
    <w:rsid w:val="006C773D"/>
    <w:rsid w:val="006C79FF"/>
    <w:rsid w:val="006C7B53"/>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966"/>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472F"/>
    <w:rsid w:val="006E5B86"/>
    <w:rsid w:val="006E5B89"/>
    <w:rsid w:val="006E5DF0"/>
    <w:rsid w:val="006E61AE"/>
    <w:rsid w:val="006E6499"/>
    <w:rsid w:val="006E6B8E"/>
    <w:rsid w:val="006E703F"/>
    <w:rsid w:val="006E72FF"/>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764"/>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0B8"/>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C1"/>
    <w:rsid w:val="007322D9"/>
    <w:rsid w:val="007326A3"/>
    <w:rsid w:val="0073274C"/>
    <w:rsid w:val="007327BE"/>
    <w:rsid w:val="00732BC5"/>
    <w:rsid w:val="00732EA9"/>
    <w:rsid w:val="007332D7"/>
    <w:rsid w:val="00734169"/>
    <w:rsid w:val="007345D4"/>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88E"/>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5C"/>
    <w:rsid w:val="007B7BF7"/>
    <w:rsid w:val="007B7C26"/>
    <w:rsid w:val="007B7F3D"/>
    <w:rsid w:val="007C1228"/>
    <w:rsid w:val="007C1237"/>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911"/>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0E1"/>
    <w:rsid w:val="00800204"/>
    <w:rsid w:val="00800948"/>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048"/>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745"/>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794"/>
    <w:rsid w:val="00860EBA"/>
    <w:rsid w:val="0086195E"/>
    <w:rsid w:val="008619E6"/>
    <w:rsid w:val="00861A34"/>
    <w:rsid w:val="00861D71"/>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2A4"/>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6F8A"/>
    <w:rsid w:val="008973E0"/>
    <w:rsid w:val="00897410"/>
    <w:rsid w:val="008975D1"/>
    <w:rsid w:val="008976AD"/>
    <w:rsid w:val="008A06CC"/>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B6F"/>
    <w:rsid w:val="008A5991"/>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712"/>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5E02"/>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4FE5"/>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3AA4"/>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3E82"/>
    <w:rsid w:val="00944550"/>
    <w:rsid w:val="009447FA"/>
    <w:rsid w:val="00945529"/>
    <w:rsid w:val="00945BC1"/>
    <w:rsid w:val="00945CE9"/>
    <w:rsid w:val="00945DE4"/>
    <w:rsid w:val="00945ED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0FF4"/>
    <w:rsid w:val="009516FA"/>
    <w:rsid w:val="0095198A"/>
    <w:rsid w:val="009519A2"/>
    <w:rsid w:val="00951DFD"/>
    <w:rsid w:val="00951FD2"/>
    <w:rsid w:val="00952033"/>
    <w:rsid w:val="009523A2"/>
    <w:rsid w:val="00952520"/>
    <w:rsid w:val="0095281C"/>
    <w:rsid w:val="009532C9"/>
    <w:rsid w:val="00953624"/>
    <w:rsid w:val="0095496B"/>
    <w:rsid w:val="00954C89"/>
    <w:rsid w:val="00954F21"/>
    <w:rsid w:val="009552D6"/>
    <w:rsid w:val="00955428"/>
    <w:rsid w:val="00955B61"/>
    <w:rsid w:val="00955DA3"/>
    <w:rsid w:val="009560AA"/>
    <w:rsid w:val="00956236"/>
    <w:rsid w:val="009569C1"/>
    <w:rsid w:val="00956F07"/>
    <w:rsid w:val="00957334"/>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44C8"/>
    <w:rsid w:val="009B51D7"/>
    <w:rsid w:val="009B578F"/>
    <w:rsid w:val="009B5ADE"/>
    <w:rsid w:val="009B6584"/>
    <w:rsid w:val="009B6F31"/>
    <w:rsid w:val="009B7133"/>
    <w:rsid w:val="009B7B01"/>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05A3"/>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9B"/>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E68"/>
    <w:rsid w:val="00A35F5D"/>
    <w:rsid w:val="00A367B3"/>
    <w:rsid w:val="00A36AF6"/>
    <w:rsid w:val="00A36AFC"/>
    <w:rsid w:val="00A4020A"/>
    <w:rsid w:val="00A4022E"/>
    <w:rsid w:val="00A4030B"/>
    <w:rsid w:val="00A406BC"/>
    <w:rsid w:val="00A40CD4"/>
    <w:rsid w:val="00A41ECE"/>
    <w:rsid w:val="00A42711"/>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D32"/>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0EA"/>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596"/>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2ED8"/>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046"/>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7DC"/>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0856"/>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0F60"/>
    <w:rsid w:val="00AD1023"/>
    <w:rsid w:val="00AD1863"/>
    <w:rsid w:val="00AD1AE9"/>
    <w:rsid w:val="00AD1D87"/>
    <w:rsid w:val="00AD1F21"/>
    <w:rsid w:val="00AD1F25"/>
    <w:rsid w:val="00AD21D8"/>
    <w:rsid w:val="00AD228C"/>
    <w:rsid w:val="00AD2678"/>
    <w:rsid w:val="00AD26D8"/>
    <w:rsid w:val="00AD27C4"/>
    <w:rsid w:val="00AD2843"/>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4A5B"/>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2CC"/>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180"/>
    <w:rsid w:val="00B1139D"/>
    <w:rsid w:val="00B1170F"/>
    <w:rsid w:val="00B117A1"/>
    <w:rsid w:val="00B12682"/>
    <w:rsid w:val="00B12711"/>
    <w:rsid w:val="00B130B5"/>
    <w:rsid w:val="00B13775"/>
    <w:rsid w:val="00B139EB"/>
    <w:rsid w:val="00B13C70"/>
    <w:rsid w:val="00B13E49"/>
    <w:rsid w:val="00B14738"/>
    <w:rsid w:val="00B14A40"/>
    <w:rsid w:val="00B15169"/>
    <w:rsid w:val="00B15B0F"/>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6A54"/>
    <w:rsid w:val="00B374E8"/>
    <w:rsid w:val="00B37681"/>
    <w:rsid w:val="00B378CB"/>
    <w:rsid w:val="00B37990"/>
    <w:rsid w:val="00B37A05"/>
    <w:rsid w:val="00B4000D"/>
    <w:rsid w:val="00B407AE"/>
    <w:rsid w:val="00B41177"/>
    <w:rsid w:val="00B415D9"/>
    <w:rsid w:val="00B41813"/>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390"/>
    <w:rsid w:val="00B7191D"/>
    <w:rsid w:val="00B7192B"/>
    <w:rsid w:val="00B719CC"/>
    <w:rsid w:val="00B71BA4"/>
    <w:rsid w:val="00B71C5B"/>
    <w:rsid w:val="00B71CB1"/>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57C4"/>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309"/>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0E6"/>
    <w:rsid w:val="00BD51BE"/>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358"/>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160"/>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380A"/>
    <w:rsid w:val="00C339BF"/>
    <w:rsid w:val="00C339C3"/>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0FE7"/>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B73"/>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5F55"/>
    <w:rsid w:val="00CA692A"/>
    <w:rsid w:val="00CA6D52"/>
    <w:rsid w:val="00CA77CF"/>
    <w:rsid w:val="00CA79E7"/>
    <w:rsid w:val="00CB025C"/>
    <w:rsid w:val="00CB0BCF"/>
    <w:rsid w:val="00CB1391"/>
    <w:rsid w:val="00CB1811"/>
    <w:rsid w:val="00CB1A5D"/>
    <w:rsid w:val="00CB206F"/>
    <w:rsid w:val="00CB2326"/>
    <w:rsid w:val="00CB2A63"/>
    <w:rsid w:val="00CB2EB1"/>
    <w:rsid w:val="00CB2EEE"/>
    <w:rsid w:val="00CB34B3"/>
    <w:rsid w:val="00CB3BA0"/>
    <w:rsid w:val="00CB3BC3"/>
    <w:rsid w:val="00CB4203"/>
    <w:rsid w:val="00CB4829"/>
    <w:rsid w:val="00CB4878"/>
    <w:rsid w:val="00CB4999"/>
    <w:rsid w:val="00CB4B1C"/>
    <w:rsid w:val="00CB57EE"/>
    <w:rsid w:val="00CB5D7A"/>
    <w:rsid w:val="00CB671C"/>
    <w:rsid w:val="00CB73A0"/>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3EE0"/>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899"/>
    <w:rsid w:val="00CD1E7E"/>
    <w:rsid w:val="00CD2EF4"/>
    <w:rsid w:val="00CD30C5"/>
    <w:rsid w:val="00CD46AA"/>
    <w:rsid w:val="00CD4AB1"/>
    <w:rsid w:val="00CD4F6B"/>
    <w:rsid w:val="00CD5138"/>
    <w:rsid w:val="00CD5418"/>
    <w:rsid w:val="00CD5742"/>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3FF"/>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2"/>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3B"/>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4A0"/>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2"/>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14"/>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C3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21B"/>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A71"/>
    <w:rsid w:val="00DB1F23"/>
    <w:rsid w:val="00DB281F"/>
    <w:rsid w:val="00DB2B7F"/>
    <w:rsid w:val="00DB363F"/>
    <w:rsid w:val="00DB3877"/>
    <w:rsid w:val="00DB3E65"/>
    <w:rsid w:val="00DB44C9"/>
    <w:rsid w:val="00DB44FC"/>
    <w:rsid w:val="00DB4DBE"/>
    <w:rsid w:val="00DB4FDC"/>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5E1"/>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719"/>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5A6"/>
    <w:rsid w:val="00E918EA"/>
    <w:rsid w:val="00E91D05"/>
    <w:rsid w:val="00E91F21"/>
    <w:rsid w:val="00E925EE"/>
    <w:rsid w:val="00E931CC"/>
    <w:rsid w:val="00E93636"/>
    <w:rsid w:val="00E93B17"/>
    <w:rsid w:val="00E93FF4"/>
    <w:rsid w:val="00E946EF"/>
    <w:rsid w:val="00E948DA"/>
    <w:rsid w:val="00E954E9"/>
    <w:rsid w:val="00E95727"/>
    <w:rsid w:val="00E9585D"/>
    <w:rsid w:val="00E9586C"/>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5B91"/>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698"/>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65E"/>
    <w:rsid w:val="00F16809"/>
    <w:rsid w:val="00F16BEC"/>
    <w:rsid w:val="00F178E7"/>
    <w:rsid w:val="00F17D4D"/>
    <w:rsid w:val="00F17DA8"/>
    <w:rsid w:val="00F17E91"/>
    <w:rsid w:val="00F20565"/>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064"/>
    <w:rsid w:val="00F55D33"/>
    <w:rsid w:val="00F55DB0"/>
    <w:rsid w:val="00F55EE1"/>
    <w:rsid w:val="00F5690F"/>
    <w:rsid w:val="00F57D3A"/>
    <w:rsid w:val="00F60795"/>
    <w:rsid w:val="00F60D69"/>
    <w:rsid w:val="00F618DB"/>
    <w:rsid w:val="00F61B1B"/>
    <w:rsid w:val="00F61CD7"/>
    <w:rsid w:val="00F62163"/>
    <w:rsid w:val="00F63A16"/>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6EB"/>
    <w:rsid w:val="00F81767"/>
    <w:rsid w:val="00F817AF"/>
    <w:rsid w:val="00F826D8"/>
    <w:rsid w:val="00F82849"/>
    <w:rsid w:val="00F829B8"/>
    <w:rsid w:val="00F82F83"/>
    <w:rsid w:val="00F830E6"/>
    <w:rsid w:val="00F839AD"/>
    <w:rsid w:val="00F844AA"/>
    <w:rsid w:val="00F84A9A"/>
    <w:rsid w:val="00F8559A"/>
    <w:rsid w:val="00F858B8"/>
    <w:rsid w:val="00F85BA4"/>
    <w:rsid w:val="00F85D48"/>
    <w:rsid w:val="00F85E4B"/>
    <w:rsid w:val="00F860F0"/>
    <w:rsid w:val="00F865C3"/>
    <w:rsid w:val="00F86809"/>
    <w:rsid w:val="00F87B96"/>
    <w:rsid w:val="00F90059"/>
    <w:rsid w:val="00F90D5D"/>
    <w:rsid w:val="00F90EEB"/>
    <w:rsid w:val="00F9101B"/>
    <w:rsid w:val="00F91058"/>
    <w:rsid w:val="00F912EC"/>
    <w:rsid w:val="00F919C9"/>
    <w:rsid w:val="00F91AF2"/>
    <w:rsid w:val="00F91F3C"/>
    <w:rsid w:val="00F92533"/>
    <w:rsid w:val="00F9277B"/>
    <w:rsid w:val="00F92906"/>
    <w:rsid w:val="00F9307E"/>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DC"/>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D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2975289">
      <w:bodyDiv w:val="1"/>
      <w:marLeft w:val="0"/>
      <w:marRight w:val="0"/>
      <w:marTop w:val="0"/>
      <w:marBottom w:val="0"/>
      <w:divBdr>
        <w:top w:val="none" w:sz="0" w:space="0" w:color="auto"/>
        <w:left w:val="none" w:sz="0" w:space="0" w:color="auto"/>
        <w:bottom w:val="none" w:sz="0" w:space="0" w:color="auto"/>
        <w:right w:val="none" w:sz="0" w:space="0" w:color="auto"/>
      </w:divBdr>
      <w:divsChild>
        <w:div w:id="389423232">
          <w:marLeft w:val="0"/>
          <w:marRight w:val="0"/>
          <w:marTop w:val="0"/>
          <w:marBottom w:val="0"/>
          <w:divBdr>
            <w:top w:val="none" w:sz="0" w:space="0" w:color="auto"/>
            <w:left w:val="none" w:sz="0" w:space="0" w:color="auto"/>
            <w:bottom w:val="none" w:sz="0" w:space="0" w:color="auto"/>
            <w:right w:val="none" w:sz="0" w:space="0" w:color="auto"/>
          </w:divBdr>
        </w:div>
      </w:divsChild>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55085410">
      <w:bodyDiv w:val="1"/>
      <w:marLeft w:val="0"/>
      <w:marRight w:val="0"/>
      <w:marTop w:val="0"/>
      <w:marBottom w:val="0"/>
      <w:divBdr>
        <w:top w:val="none" w:sz="0" w:space="0" w:color="auto"/>
        <w:left w:val="none" w:sz="0" w:space="0" w:color="auto"/>
        <w:bottom w:val="none" w:sz="0" w:space="0" w:color="auto"/>
        <w:right w:val="none" w:sz="0" w:space="0" w:color="auto"/>
      </w:divBdr>
      <w:divsChild>
        <w:div w:id="1305887571">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17936480">
      <w:bodyDiv w:val="1"/>
      <w:marLeft w:val="0"/>
      <w:marRight w:val="0"/>
      <w:marTop w:val="0"/>
      <w:marBottom w:val="0"/>
      <w:divBdr>
        <w:top w:val="none" w:sz="0" w:space="0" w:color="auto"/>
        <w:left w:val="none" w:sz="0" w:space="0" w:color="auto"/>
        <w:bottom w:val="none" w:sz="0" w:space="0" w:color="auto"/>
        <w:right w:val="none" w:sz="0" w:space="0" w:color="auto"/>
      </w:divBdr>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jamanetwork.com/article.aspx?doi=10.1001/jama.2016.15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a.jamanetwork.com/article.aspx?doi=10.1001/jama.2016.135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mostafa@med.umich.ed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elva.robertson@emory.edu"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69E0B-8FD2-4280-A958-0FE22B65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763</Words>
  <Characters>5140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5892</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5</cp:revision>
  <cp:lastPrinted>2016-02-29T23:23:00Z</cp:lastPrinted>
  <dcterms:created xsi:type="dcterms:W3CDTF">2016-03-07T18:46:00Z</dcterms:created>
  <dcterms:modified xsi:type="dcterms:W3CDTF">2016-03-10T19:45:00Z</dcterms:modified>
</cp:coreProperties>
</file>