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94227B">
        <w:rPr>
          <w:b/>
          <w:sz w:val="24"/>
          <w:szCs w:val="24"/>
        </w:rPr>
        <w:t>AUGUST 1</w:t>
      </w:r>
      <w:r w:rsidR="00A74E2E">
        <w:rPr>
          <w:b/>
          <w:sz w:val="24"/>
          <w:szCs w:val="24"/>
        </w:rPr>
        <w:t>8</w:t>
      </w:r>
      <w:r w:rsidR="004E20A3">
        <w:rPr>
          <w:b/>
          <w:sz w:val="24"/>
          <w:szCs w:val="24"/>
        </w:rPr>
        <w:t>,</w:t>
      </w:r>
      <w:r w:rsidRPr="00E60B07">
        <w:rPr>
          <w:b/>
          <w:sz w:val="24"/>
          <w:szCs w:val="24"/>
        </w:rPr>
        <w:t xml:space="preserve"> 201</w:t>
      </w:r>
      <w:r w:rsidR="004A20B5">
        <w:rPr>
          <w:b/>
          <w:sz w:val="24"/>
          <w:szCs w:val="24"/>
        </w:rPr>
        <w:t>5</w:t>
      </w:r>
    </w:p>
    <w:p w:rsidR="00596D8A" w:rsidRPr="00596D8A" w:rsidRDefault="00E41FB8" w:rsidP="00596D8A">
      <w:pPr>
        <w:rPr>
          <w:sz w:val="24"/>
          <w:szCs w:val="24"/>
        </w:rPr>
      </w:pPr>
      <w:r w:rsidRPr="00E60B07">
        <w:rPr>
          <w:sz w:val="24"/>
          <w:szCs w:val="24"/>
        </w:rPr>
        <w:t xml:space="preserve">Media Advisory: To contact </w:t>
      </w:r>
      <w:r w:rsidR="00596D8A" w:rsidRPr="006E0343">
        <w:rPr>
          <w:sz w:val="24"/>
          <w:szCs w:val="24"/>
        </w:rPr>
        <w:t xml:space="preserve">Adam M. </w:t>
      </w:r>
      <w:proofErr w:type="spellStart"/>
      <w:r w:rsidR="00596D8A" w:rsidRPr="006E0343">
        <w:rPr>
          <w:sz w:val="24"/>
          <w:szCs w:val="24"/>
        </w:rPr>
        <w:t>Leventhal</w:t>
      </w:r>
      <w:proofErr w:type="spellEnd"/>
      <w:r w:rsidR="00596D8A" w:rsidRPr="006E0343">
        <w:rPr>
          <w:sz w:val="24"/>
          <w:szCs w:val="24"/>
        </w:rPr>
        <w:t>, Ph</w:t>
      </w:r>
      <w:r w:rsidR="00596D8A">
        <w:rPr>
          <w:sz w:val="24"/>
          <w:szCs w:val="24"/>
        </w:rPr>
        <w:t>.</w:t>
      </w:r>
      <w:r w:rsidR="00596D8A" w:rsidRPr="006E0343">
        <w:rPr>
          <w:sz w:val="24"/>
          <w:szCs w:val="24"/>
        </w:rPr>
        <w:t>D</w:t>
      </w:r>
      <w:r w:rsidR="00596D8A">
        <w:rPr>
          <w:sz w:val="24"/>
          <w:szCs w:val="24"/>
        </w:rPr>
        <w:t>.</w:t>
      </w:r>
      <w:r w:rsidR="00596D8A" w:rsidRPr="006E0343">
        <w:rPr>
          <w:sz w:val="24"/>
          <w:szCs w:val="24"/>
        </w:rPr>
        <w:t>,</w:t>
      </w:r>
      <w:r w:rsidR="00596D8A">
        <w:rPr>
          <w:sz w:val="24"/>
          <w:szCs w:val="24"/>
        </w:rPr>
        <w:t xml:space="preserve"> call </w:t>
      </w:r>
      <w:r w:rsidR="00596D8A" w:rsidRPr="00596D8A">
        <w:rPr>
          <w:sz w:val="24"/>
          <w:szCs w:val="24"/>
        </w:rPr>
        <w:t>Leslie Ridgeway</w:t>
      </w:r>
      <w:r w:rsidR="00596D8A">
        <w:rPr>
          <w:sz w:val="24"/>
          <w:szCs w:val="24"/>
        </w:rPr>
        <w:t xml:space="preserve"> at </w:t>
      </w:r>
      <w:r w:rsidR="00596D8A" w:rsidRPr="00596D8A">
        <w:rPr>
          <w:sz w:val="24"/>
          <w:szCs w:val="24"/>
        </w:rPr>
        <w:t>323-442-2823</w:t>
      </w:r>
      <w:r w:rsidR="00596D8A">
        <w:rPr>
          <w:sz w:val="24"/>
          <w:szCs w:val="24"/>
        </w:rPr>
        <w:t xml:space="preserve"> or email </w:t>
      </w:r>
      <w:hyperlink r:id="rId9" w:history="1">
        <w:r w:rsidR="00596D8A" w:rsidRPr="00596D8A">
          <w:rPr>
            <w:rStyle w:val="Hyperlink"/>
            <w:sz w:val="24"/>
            <w:szCs w:val="24"/>
          </w:rPr>
          <w:t>lridgewa@usc.edu</w:t>
        </w:r>
      </w:hyperlink>
      <w:r w:rsidR="00596D8A">
        <w:rPr>
          <w:sz w:val="24"/>
          <w:szCs w:val="24"/>
        </w:rPr>
        <w:t xml:space="preserve">. To contact editorial author </w:t>
      </w:r>
      <w:r w:rsidR="00596D8A" w:rsidRPr="009156A2">
        <w:rPr>
          <w:sz w:val="24"/>
          <w:szCs w:val="24"/>
        </w:rPr>
        <w:t xml:space="preserve">Nancy A. </w:t>
      </w:r>
      <w:proofErr w:type="spellStart"/>
      <w:r w:rsidR="00596D8A" w:rsidRPr="009156A2">
        <w:rPr>
          <w:sz w:val="24"/>
          <w:szCs w:val="24"/>
        </w:rPr>
        <w:t>Rigotti</w:t>
      </w:r>
      <w:proofErr w:type="spellEnd"/>
      <w:r w:rsidR="00596D8A" w:rsidRPr="009156A2">
        <w:rPr>
          <w:sz w:val="24"/>
          <w:szCs w:val="24"/>
        </w:rPr>
        <w:t>, M</w:t>
      </w:r>
      <w:r w:rsidR="00596D8A">
        <w:rPr>
          <w:sz w:val="24"/>
          <w:szCs w:val="24"/>
        </w:rPr>
        <w:t>.</w:t>
      </w:r>
      <w:r w:rsidR="00596D8A" w:rsidRPr="009156A2">
        <w:rPr>
          <w:sz w:val="24"/>
          <w:szCs w:val="24"/>
        </w:rPr>
        <w:t>D</w:t>
      </w:r>
      <w:r w:rsidR="00596D8A">
        <w:rPr>
          <w:sz w:val="24"/>
          <w:szCs w:val="24"/>
        </w:rPr>
        <w:t>.</w:t>
      </w:r>
      <w:r w:rsidR="00596D8A" w:rsidRPr="009156A2">
        <w:rPr>
          <w:sz w:val="24"/>
          <w:szCs w:val="24"/>
        </w:rPr>
        <w:t>,</w:t>
      </w:r>
      <w:r w:rsidR="00596D8A">
        <w:rPr>
          <w:sz w:val="24"/>
          <w:szCs w:val="24"/>
        </w:rPr>
        <w:t xml:space="preserve"> call </w:t>
      </w:r>
      <w:proofErr w:type="spellStart"/>
      <w:r w:rsidR="00596D8A" w:rsidRPr="00596D8A">
        <w:rPr>
          <w:sz w:val="24"/>
          <w:szCs w:val="24"/>
        </w:rPr>
        <w:t>Mckenzie</w:t>
      </w:r>
      <w:proofErr w:type="spellEnd"/>
      <w:r w:rsidR="00596D8A" w:rsidRPr="00596D8A">
        <w:rPr>
          <w:sz w:val="24"/>
          <w:szCs w:val="24"/>
        </w:rPr>
        <w:t xml:space="preserve"> Ridings</w:t>
      </w:r>
      <w:r w:rsidR="00596D8A">
        <w:rPr>
          <w:sz w:val="24"/>
          <w:szCs w:val="24"/>
        </w:rPr>
        <w:t xml:space="preserve"> at </w:t>
      </w:r>
      <w:r w:rsidR="00596D8A" w:rsidRPr="00596D8A">
        <w:rPr>
          <w:sz w:val="24"/>
          <w:szCs w:val="24"/>
        </w:rPr>
        <w:t>617-726-0274</w:t>
      </w:r>
      <w:r w:rsidR="00596D8A">
        <w:rPr>
          <w:sz w:val="24"/>
          <w:szCs w:val="24"/>
        </w:rPr>
        <w:t xml:space="preserve"> or email </w:t>
      </w:r>
      <w:hyperlink r:id="rId10" w:history="1">
        <w:r w:rsidR="00596D8A" w:rsidRPr="00596D8A">
          <w:rPr>
            <w:rStyle w:val="Hyperlink"/>
            <w:sz w:val="24"/>
            <w:szCs w:val="24"/>
          </w:rPr>
          <w:t>mridings@mgh.harvard.edu</w:t>
        </w:r>
      </w:hyperlink>
      <w:r w:rsidR="00596D8A">
        <w:rPr>
          <w:sz w:val="24"/>
          <w:szCs w:val="24"/>
        </w:rPr>
        <w:t xml:space="preserve">. To contact Viewpoint co-author </w:t>
      </w:r>
      <w:r w:rsidR="00596D8A" w:rsidRPr="00B73451">
        <w:rPr>
          <w:sz w:val="24"/>
          <w:szCs w:val="24"/>
        </w:rPr>
        <w:t>Michele Barry, M</w:t>
      </w:r>
      <w:r w:rsidR="00596D8A">
        <w:rPr>
          <w:sz w:val="24"/>
          <w:szCs w:val="24"/>
        </w:rPr>
        <w:t>.</w:t>
      </w:r>
      <w:r w:rsidR="00596D8A" w:rsidRPr="00B73451">
        <w:rPr>
          <w:sz w:val="24"/>
          <w:szCs w:val="24"/>
        </w:rPr>
        <w:t>D</w:t>
      </w:r>
      <w:r w:rsidR="00596D8A">
        <w:rPr>
          <w:sz w:val="24"/>
          <w:szCs w:val="24"/>
        </w:rPr>
        <w:t>.,</w:t>
      </w:r>
      <w:r w:rsidR="00596D8A">
        <w:rPr>
          <w:sz w:val="24"/>
          <w:szCs w:val="24"/>
        </w:rPr>
        <w:t xml:space="preserve"> call </w:t>
      </w:r>
      <w:r w:rsidR="00596D8A" w:rsidRPr="00596D8A">
        <w:rPr>
          <w:sz w:val="24"/>
          <w:szCs w:val="24"/>
        </w:rPr>
        <w:t>Rosanne Spector at 650-725-5374</w:t>
      </w:r>
      <w:r w:rsidR="00596D8A">
        <w:rPr>
          <w:sz w:val="24"/>
          <w:szCs w:val="24"/>
        </w:rPr>
        <w:t xml:space="preserve"> or email </w:t>
      </w:r>
      <w:hyperlink r:id="rId11" w:history="1">
        <w:r w:rsidR="00596D8A" w:rsidRPr="00596D8A">
          <w:rPr>
            <w:rStyle w:val="Hyperlink"/>
            <w:sz w:val="24"/>
            <w:szCs w:val="24"/>
          </w:rPr>
          <w:t>manishma@stanford.edu</w:t>
        </w:r>
      </w:hyperlink>
      <w:r w:rsidR="00596D8A" w:rsidRPr="00596D8A">
        <w:rPr>
          <w:sz w:val="24"/>
          <w:szCs w:val="24"/>
        </w:rPr>
        <w:t>.</w:t>
      </w:r>
    </w:p>
    <w:p w:rsidR="00E863A9" w:rsidRDefault="00E863A9" w:rsidP="00D852A3">
      <w:pPr>
        <w:rPr>
          <w:sz w:val="24"/>
          <w:szCs w:val="24"/>
        </w:rPr>
      </w:pPr>
    </w:p>
    <w:p w:rsidR="00BC370F" w:rsidRDefault="00BC370F" w:rsidP="00596D8A">
      <w:pPr>
        <w:rPr>
          <w:sz w:val="24"/>
          <w:szCs w:val="24"/>
        </w:rPr>
      </w:pPr>
      <w:r>
        <w:rPr>
          <w:b/>
          <w:sz w:val="28"/>
          <w:szCs w:val="28"/>
        </w:rPr>
        <w:t xml:space="preserve">Teens </w:t>
      </w:r>
      <w:proofErr w:type="gramStart"/>
      <w:r>
        <w:rPr>
          <w:b/>
          <w:sz w:val="28"/>
          <w:szCs w:val="28"/>
        </w:rPr>
        <w:t>Who</w:t>
      </w:r>
      <w:proofErr w:type="gramEnd"/>
      <w:r>
        <w:rPr>
          <w:b/>
          <w:sz w:val="28"/>
          <w:szCs w:val="28"/>
        </w:rPr>
        <w:t xml:space="preserve"> Use E-Cigarettes May Be More Likely to Begin Smoking</w:t>
      </w:r>
    </w:p>
    <w:p w:rsidR="00BC370F" w:rsidRDefault="00BC370F" w:rsidP="00961713">
      <w:pPr>
        <w:spacing w:line="360" w:lineRule="auto"/>
        <w:rPr>
          <w:sz w:val="24"/>
          <w:szCs w:val="24"/>
        </w:rPr>
      </w:pPr>
    </w:p>
    <w:p w:rsidR="00945529" w:rsidRDefault="00AE0E52" w:rsidP="00945529">
      <w:pPr>
        <w:spacing w:line="360" w:lineRule="auto"/>
        <w:rPr>
          <w:sz w:val="24"/>
          <w:szCs w:val="24"/>
        </w:rPr>
      </w:pPr>
      <w:r w:rsidRPr="00AE0E52">
        <w:rPr>
          <w:sz w:val="24"/>
          <w:szCs w:val="24"/>
        </w:rPr>
        <w:t xml:space="preserve">Among high school students in Los Angeles, those who had ever used </w:t>
      </w:r>
      <w:r w:rsidR="006E0343">
        <w:rPr>
          <w:sz w:val="24"/>
          <w:szCs w:val="24"/>
        </w:rPr>
        <w:t xml:space="preserve">electronic </w:t>
      </w:r>
      <w:r w:rsidRPr="00AE0E52">
        <w:rPr>
          <w:sz w:val="24"/>
          <w:szCs w:val="24"/>
        </w:rPr>
        <w:t xml:space="preserve">cigarettes were more likely to report initiation of </w:t>
      </w:r>
      <w:proofErr w:type="spellStart"/>
      <w:r w:rsidR="00E563A7">
        <w:rPr>
          <w:sz w:val="24"/>
          <w:szCs w:val="24"/>
        </w:rPr>
        <w:t>smokable</w:t>
      </w:r>
      <w:proofErr w:type="spellEnd"/>
      <w:r w:rsidR="00E563A7">
        <w:rPr>
          <w:sz w:val="24"/>
          <w:szCs w:val="24"/>
        </w:rPr>
        <w:t xml:space="preserve"> (“</w:t>
      </w:r>
      <w:r w:rsidRPr="00AE0E52">
        <w:rPr>
          <w:sz w:val="24"/>
          <w:szCs w:val="24"/>
        </w:rPr>
        <w:t>combustible</w:t>
      </w:r>
      <w:r w:rsidR="00E563A7">
        <w:rPr>
          <w:sz w:val="24"/>
          <w:szCs w:val="24"/>
        </w:rPr>
        <w:t>”)</w:t>
      </w:r>
      <w:r w:rsidRPr="00AE0E52">
        <w:rPr>
          <w:sz w:val="24"/>
          <w:szCs w:val="24"/>
        </w:rPr>
        <w:t xml:space="preserve"> tobacco </w:t>
      </w:r>
      <w:r w:rsidR="006E0343">
        <w:rPr>
          <w:sz w:val="24"/>
          <w:szCs w:val="24"/>
        </w:rPr>
        <w:t>(</w:t>
      </w:r>
      <w:r w:rsidR="00A860C9">
        <w:rPr>
          <w:sz w:val="24"/>
          <w:szCs w:val="24"/>
        </w:rPr>
        <w:t xml:space="preserve">such as </w:t>
      </w:r>
      <w:r w:rsidR="00A860C9" w:rsidRPr="00AE0E52">
        <w:rPr>
          <w:sz w:val="24"/>
          <w:szCs w:val="24"/>
        </w:rPr>
        <w:t>cigarettes, cigars, and hookah</w:t>
      </w:r>
      <w:r w:rsidR="006E0343">
        <w:rPr>
          <w:sz w:val="24"/>
          <w:szCs w:val="24"/>
        </w:rPr>
        <w:t xml:space="preserve">) </w:t>
      </w:r>
      <w:r w:rsidRPr="00AE0E52">
        <w:rPr>
          <w:sz w:val="24"/>
          <w:szCs w:val="24"/>
        </w:rPr>
        <w:t>use over the next year</w:t>
      </w:r>
      <w:r w:rsidR="00BC370F">
        <w:rPr>
          <w:sz w:val="24"/>
          <w:szCs w:val="24"/>
        </w:rPr>
        <w:t xml:space="preserve"> </w:t>
      </w:r>
      <w:r w:rsidR="00BC370F" w:rsidRPr="00AE0E52">
        <w:rPr>
          <w:sz w:val="24"/>
          <w:szCs w:val="24"/>
        </w:rPr>
        <w:t>compared with nonusers</w:t>
      </w:r>
      <w:r w:rsidR="006E0343">
        <w:rPr>
          <w:sz w:val="24"/>
          <w:szCs w:val="24"/>
        </w:rPr>
        <w:t xml:space="preserve">, </w:t>
      </w:r>
      <w:r w:rsidR="00945529" w:rsidRPr="00E4110B">
        <w:rPr>
          <w:sz w:val="24"/>
          <w:szCs w:val="24"/>
        </w:rPr>
        <w:t xml:space="preserve">according to a study in the </w:t>
      </w:r>
      <w:r w:rsidR="00945529">
        <w:rPr>
          <w:sz w:val="24"/>
          <w:szCs w:val="24"/>
        </w:rPr>
        <w:t>August 1</w:t>
      </w:r>
      <w:r w:rsidR="00B52C5C">
        <w:rPr>
          <w:sz w:val="24"/>
          <w:szCs w:val="24"/>
        </w:rPr>
        <w:t>8</w:t>
      </w:r>
      <w:r w:rsidR="00945529">
        <w:rPr>
          <w:sz w:val="24"/>
          <w:szCs w:val="24"/>
        </w:rPr>
        <w:t xml:space="preserve"> </w:t>
      </w:r>
      <w:r w:rsidR="00945529" w:rsidRPr="00E4110B">
        <w:rPr>
          <w:sz w:val="24"/>
          <w:szCs w:val="24"/>
        </w:rPr>
        <w:t xml:space="preserve">issue of </w:t>
      </w:r>
      <w:r w:rsidR="00945529" w:rsidRPr="00E4110B">
        <w:rPr>
          <w:i/>
          <w:sz w:val="24"/>
          <w:szCs w:val="24"/>
        </w:rPr>
        <w:t>JAMA</w:t>
      </w:r>
      <w:r w:rsidR="00945529">
        <w:rPr>
          <w:sz w:val="24"/>
          <w:szCs w:val="24"/>
        </w:rPr>
        <w:t xml:space="preserve">. </w:t>
      </w:r>
    </w:p>
    <w:p w:rsidR="00335998" w:rsidRPr="006E0343" w:rsidRDefault="00335998" w:rsidP="006E0343">
      <w:pPr>
        <w:spacing w:line="360" w:lineRule="auto"/>
        <w:rPr>
          <w:sz w:val="24"/>
          <w:szCs w:val="24"/>
        </w:rPr>
      </w:pPr>
    </w:p>
    <w:p w:rsidR="006E0343" w:rsidRDefault="006E0343" w:rsidP="006E0343">
      <w:pPr>
        <w:spacing w:line="360" w:lineRule="auto"/>
        <w:rPr>
          <w:sz w:val="24"/>
          <w:szCs w:val="24"/>
        </w:rPr>
      </w:pPr>
      <w:r w:rsidRPr="006E0343">
        <w:rPr>
          <w:sz w:val="24"/>
          <w:szCs w:val="24"/>
        </w:rPr>
        <w:t>Combustible tobacco</w:t>
      </w:r>
      <w:r>
        <w:rPr>
          <w:sz w:val="24"/>
          <w:szCs w:val="24"/>
        </w:rPr>
        <w:t>,</w:t>
      </w:r>
      <w:r w:rsidRPr="006E0343">
        <w:rPr>
          <w:sz w:val="24"/>
          <w:szCs w:val="24"/>
        </w:rPr>
        <w:t xml:space="preserve"> which has well-known health consequences, has long been the </w:t>
      </w:r>
      <w:r w:rsidR="008E568E">
        <w:rPr>
          <w:sz w:val="24"/>
          <w:szCs w:val="24"/>
        </w:rPr>
        <w:t xml:space="preserve">most common </w:t>
      </w:r>
      <w:r w:rsidRPr="006E0343">
        <w:rPr>
          <w:sz w:val="24"/>
          <w:szCs w:val="24"/>
        </w:rPr>
        <w:t xml:space="preserve">nicotine-delivering product used. Electronic cigarettes (e-cigarettes), which are devices that deliver inhaled aerosol </w:t>
      </w:r>
      <w:r w:rsidR="00E563A7">
        <w:rPr>
          <w:sz w:val="24"/>
          <w:szCs w:val="24"/>
        </w:rPr>
        <w:t>usually</w:t>
      </w:r>
      <w:r w:rsidRPr="006E0343">
        <w:rPr>
          <w:sz w:val="24"/>
          <w:szCs w:val="24"/>
        </w:rPr>
        <w:t xml:space="preserve"> containing nicotine, are becoming increasingly popular, particularly among adolescents, including teens </w:t>
      </w:r>
      <w:proofErr w:type="gramStart"/>
      <w:r w:rsidRPr="006E0343">
        <w:rPr>
          <w:sz w:val="24"/>
          <w:szCs w:val="24"/>
        </w:rPr>
        <w:t>who</w:t>
      </w:r>
      <w:proofErr w:type="gramEnd"/>
      <w:r w:rsidRPr="006E0343">
        <w:rPr>
          <w:sz w:val="24"/>
          <w:szCs w:val="24"/>
        </w:rPr>
        <w:t xml:space="preserve"> have never used combustible tobacco.</w:t>
      </w:r>
      <w:r>
        <w:rPr>
          <w:sz w:val="24"/>
          <w:szCs w:val="24"/>
        </w:rPr>
        <w:t xml:space="preserve"> </w:t>
      </w:r>
      <w:r w:rsidRPr="006E0343">
        <w:rPr>
          <w:sz w:val="24"/>
          <w:szCs w:val="24"/>
        </w:rPr>
        <w:t>According to 2014 U</w:t>
      </w:r>
      <w:r>
        <w:rPr>
          <w:sz w:val="24"/>
          <w:szCs w:val="24"/>
        </w:rPr>
        <w:t>.</w:t>
      </w:r>
      <w:r w:rsidRPr="006E0343">
        <w:rPr>
          <w:sz w:val="24"/>
          <w:szCs w:val="24"/>
        </w:rPr>
        <w:t>S</w:t>
      </w:r>
      <w:r>
        <w:rPr>
          <w:sz w:val="24"/>
          <w:szCs w:val="24"/>
        </w:rPr>
        <w:t>.</w:t>
      </w:r>
      <w:r w:rsidRPr="006E0343">
        <w:rPr>
          <w:sz w:val="24"/>
          <w:szCs w:val="24"/>
        </w:rPr>
        <w:t xml:space="preserve"> estimates, 16</w:t>
      </w:r>
      <w:r w:rsidR="00BC370F">
        <w:rPr>
          <w:sz w:val="24"/>
          <w:szCs w:val="24"/>
        </w:rPr>
        <w:t xml:space="preserve"> percent</w:t>
      </w:r>
      <w:r w:rsidRPr="006E0343">
        <w:rPr>
          <w:sz w:val="24"/>
          <w:szCs w:val="24"/>
        </w:rPr>
        <w:t xml:space="preserve"> of 10th graders reported use of e-cigarettes within the past 30 days, of whom 43</w:t>
      </w:r>
      <w:r w:rsidR="00BC370F">
        <w:rPr>
          <w:sz w:val="24"/>
          <w:szCs w:val="24"/>
        </w:rPr>
        <w:t xml:space="preserve"> percent</w:t>
      </w:r>
      <w:r w:rsidRPr="006E0343">
        <w:rPr>
          <w:sz w:val="24"/>
          <w:szCs w:val="24"/>
        </w:rPr>
        <w:t xml:space="preserve"> reported never having tried combustible cigarettes. Whether use of e-cigarettes is associated with risk of initiating combustible tobacco use </w:t>
      </w:r>
      <w:r>
        <w:rPr>
          <w:sz w:val="24"/>
          <w:szCs w:val="24"/>
        </w:rPr>
        <w:t xml:space="preserve">has </w:t>
      </w:r>
      <w:r w:rsidR="00BC370F">
        <w:rPr>
          <w:sz w:val="24"/>
          <w:szCs w:val="24"/>
        </w:rPr>
        <w:t xml:space="preserve">not </w:t>
      </w:r>
      <w:r>
        <w:rPr>
          <w:sz w:val="24"/>
          <w:szCs w:val="24"/>
        </w:rPr>
        <w:t xml:space="preserve">been </w:t>
      </w:r>
      <w:r w:rsidRPr="006E0343">
        <w:rPr>
          <w:sz w:val="24"/>
          <w:szCs w:val="24"/>
        </w:rPr>
        <w:t>known</w:t>
      </w:r>
      <w:r>
        <w:rPr>
          <w:sz w:val="24"/>
          <w:szCs w:val="24"/>
        </w:rPr>
        <w:t>, according to background information in the article</w:t>
      </w:r>
      <w:r w:rsidRPr="006E0343">
        <w:rPr>
          <w:sz w:val="24"/>
          <w:szCs w:val="24"/>
        </w:rPr>
        <w:t>.</w:t>
      </w:r>
      <w:r>
        <w:rPr>
          <w:sz w:val="24"/>
          <w:szCs w:val="24"/>
        </w:rPr>
        <w:t xml:space="preserve"> </w:t>
      </w:r>
    </w:p>
    <w:p w:rsidR="006E0343" w:rsidRDefault="006E0343" w:rsidP="006E0343">
      <w:pPr>
        <w:spacing w:line="360" w:lineRule="auto"/>
        <w:rPr>
          <w:sz w:val="24"/>
          <w:szCs w:val="24"/>
        </w:rPr>
      </w:pPr>
    </w:p>
    <w:p w:rsidR="00B564CA" w:rsidRPr="00AE0E52" w:rsidRDefault="006E0343" w:rsidP="00B564CA">
      <w:pPr>
        <w:spacing w:line="360" w:lineRule="auto"/>
        <w:rPr>
          <w:rFonts w:eastAsia="Arial"/>
          <w:sz w:val="24"/>
          <w:szCs w:val="24"/>
        </w:rPr>
      </w:pPr>
      <w:r w:rsidRPr="006E0343">
        <w:rPr>
          <w:sz w:val="24"/>
          <w:szCs w:val="24"/>
        </w:rPr>
        <w:t>Adam M. Leventhal, Ph</w:t>
      </w:r>
      <w:r>
        <w:rPr>
          <w:sz w:val="24"/>
          <w:szCs w:val="24"/>
        </w:rPr>
        <w:t>.</w:t>
      </w:r>
      <w:r w:rsidRPr="006E0343">
        <w:rPr>
          <w:sz w:val="24"/>
          <w:szCs w:val="24"/>
        </w:rPr>
        <w:t>D</w:t>
      </w:r>
      <w:r>
        <w:rPr>
          <w:sz w:val="24"/>
          <w:szCs w:val="24"/>
        </w:rPr>
        <w:t>.</w:t>
      </w:r>
      <w:r w:rsidRPr="006E0343">
        <w:rPr>
          <w:sz w:val="24"/>
          <w:szCs w:val="24"/>
        </w:rPr>
        <w:t xml:space="preserve">, </w:t>
      </w:r>
      <w:r>
        <w:rPr>
          <w:sz w:val="24"/>
          <w:szCs w:val="24"/>
        </w:rPr>
        <w:t xml:space="preserve">of the </w:t>
      </w:r>
      <w:r w:rsidRPr="006E0343">
        <w:rPr>
          <w:sz w:val="24"/>
          <w:szCs w:val="24"/>
        </w:rPr>
        <w:t>University of Southern California,</w:t>
      </w:r>
      <w:r>
        <w:rPr>
          <w:sz w:val="24"/>
          <w:szCs w:val="24"/>
        </w:rPr>
        <w:t xml:space="preserve"> </w:t>
      </w:r>
      <w:r w:rsidRPr="006E0343">
        <w:rPr>
          <w:sz w:val="24"/>
          <w:szCs w:val="24"/>
        </w:rPr>
        <w:t xml:space="preserve">Los Angeles, </w:t>
      </w:r>
      <w:r>
        <w:rPr>
          <w:sz w:val="24"/>
          <w:szCs w:val="24"/>
        </w:rPr>
        <w:t xml:space="preserve">and colleagues </w:t>
      </w:r>
      <w:r w:rsidR="00A860C9">
        <w:rPr>
          <w:sz w:val="24"/>
          <w:szCs w:val="24"/>
        </w:rPr>
        <w:t xml:space="preserve">examined whether </w:t>
      </w:r>
      <w:r w:rsidRPr="006E0343">
        <w:rPr>
          <w:sz w:val="24"/>
          <w:szCs w:val="24"/>
        </w:rPr>
        <w:t xml:space="preserve">adolescents who reported ever using e-cigarettes were more likely to initiate the use of combustible tobacco </w:t>
      </w:r>
      <w:r w:rsidR="00BC370F">
        <w:rPr>
          <w:sz w:val="24"/>
          <w:szCs w:val="24"/>
        </w:rPr>
        <w:t>(</w:t>
      </w:r>
      <w:r w:rsidR="00BC370F" w:rsidRPr="00AE0E52">
        <w:rPr>
          <w:sz w:val="24"/>
          <w:szCs w:val="24"/>
        </w:rPr>
        <w:t>cigarettes, cigars, and hookah</w:t>
      </w:r>
      <w:r w:rsidR="00BC370F">
        <w:rPr>
          <w:sz w:val="24"/>
          <w:szCs w:val="24"/>
        </w:rPr>
        <w:t xml:space="preserve">) </w:t>
      </w:r>
      <w:r w:rsidRPr="006E0343">
        <w:rPr>
          <w:sz w:val="24"/>
          <w:szCs w:val="24"/>
        </w:rPr>
        <w:t>during the subsequent year.</w:t>
      </w:r>
      <w:r w:rsidR="00A860C9">
        <w:rPr>
          <w:sz w:val="24"/>
          <w:szCs w:val="24"/>
        </w:rPr>
        <w:t xml:space="preserve"> The study included </w:t>
      </w:r>
      <w:r w:rsidR="00A860C9" w:rsidRPr="00AE0E52">
        <w:rPr>
          <w:sz w:val="24"/>
          <w:szCs w:val="24"/>
        </w:rPr>
        <w:t>2</w:t>
      </w:r>
      <w:r w:rsidR="00A860C9">
        <w:rPr>
          <w:sz w:val="24"/>
          <w:szCs w:val="24"/>
        </w:rPr>
        <w:t>,</w:t>
      </w:r>
      <w:r w:rsidR="00A860C9" w:rsidRPr="00AE0E52">
        <w:rPr>
          <w:sz w:val="24"/>
          <w:szCs w:val="24"/>
        </w:rPr>
        <w:t>530</w:t>
      </w:r>
      <w:r w:rsidR="00A860C9">
        <w:rPr>
          <w:sz w:val="24"/>
          <w:szCs w:val="24"/>
        </w:rPr>
        <w:t xml:space="preserve"> students from t</w:t>
      </w:r>
      <w:r w:rsidR="00A860C9" w:rsidRPr="00AE0E52">
        <w:rPr>
          <w:sz w:val="24"/>
          <w:szCs w:val="24"/>
        </w:rPr>
        <w:t>en public high schools in Los Angeles</w:t>
      </w:r>
      <w:r w:rsidR="00A860C9">
        <w:rPr>
          <w:sz w:val="24"/>
          <w:szCs w:val="24"/>
        </w:rPr>
        <w:t xml:space="preserve"> </w:t>
      </w:r>
      <w:r w:rsidR="00A860C9" w:rsidRPr="00AE0E52">
        <w:rPr>
          <w:sz w:val="24"/>
          <w:szCs w:val="24"/>
        </w:rPr>
        <w:t>who reported never using</w:t>
      </w:r>
      <w:r w:rsidR="00A860C9">
        <w:rPr>
          <w:sz w:val="24"/>
          <w:szCs w:val="24"/>
        </w:rPr>
        <w:t xml:space="preserve"> </w:t>
      </w:r>
      <w:r w:rsidR="00A860C9" w:rsidRPr="00AE0E52">
        <w:rPr>
          <w:sz w:val="24"/>
          <w:szCs w:val="24"/>
        </w:rPr>
        <w:t xml:space="preserve">combustible tobacco at </w:t>
      </w:r>
      <w:r w:rsidR="00A860C9">
        <w:rPr>
          <w:sz w:val="24"/>
          <w:szCs w:val="24"/>
        </w:rPr>
        <w:t xml:space="preserve">study entry </w:t>
      </w:r>
      <w:r w:rsidR="00A860C9" w:rsidRPr="00AE0E52">
        <w:rPr>
          <w:sz w:val="24"/>
          <w:szCs w:val="24"/>
        </w:rPr>
        <w:t>(fall 2013, 9th grade</w:t>
      </w:r>
      <w:r w:rsidR="00A860C9">
        <w:rPr>
          <w:sz w:val="24"/>
          <w:szCs w:val="24"/>
        </w:rPr>
        <w:t xml:space="preserve">, average </w:t>
      </w:r>
      <w:r w:rsidR="00A860C9" w:rsidRPr="00AE0E52">
        <w:rPr>
          <w:sz w:val="24"/>
          <w:szCs w:val="24"/>
        </w:rPr>
        <w:t>age = 14</w:t>
      </w:r>
      <w:r w:rsidR="00A860C9">
        <w:rPr>
          <w:sz w:val="24"/>
          <w:szCs w:val="24"/>
        </w:rPr>
        <w:t xml:space="preserve"> </w:t>
      </w:r>
      <w:r w:rsidR="00A860C9" w:rsidRPr="00AE0E52">
        <w:rPr>
          <w:sz w:val="24"/>
          <w:szCs w:val="24"/>
        </w:rPr>
        <w:t>years)</w:t>
      </w:r>
      <w:r w:rsidR="00A860C9">
        <w:rPr>
          <w:sz w:val="24"/>
          <w:szCs w:val="24"/>
        </w:rPr>
        <w:t xml:space="preserve"> </w:t>
      </w:r>
      <w:r w:rsidR="00A860C9" w:rsidRPr="00AE0E52">
        <w:rPr>
          <w:sz w:val="24"/>
          <w:szCs w:val="24"/>
        </w:rPr>
        <w:t>and completed</w:t>
      </w:r>
      <w:r w:rsidR="00A860C9">
        <w:rPr>
          <w:sz w:val="24"/>
          <w:szCs w:val="24"/>
        </w:rPr>
        <w:t xml:space="preserve"> </w:t>
      </w:r>
      <w:r w:rsidR="00A860C9" w:rsidRPr="00AE0E52">
        <w:rPr>
          <w:sz w:val="24"/>
          <w:szCs w:val="24"/>
        </w:rPr>
        <w:t xml:space="preserve">follow-up assessments at 6 </w:t>
      </w:r>
      <w:r w:rsidR="00BC370F">
        <w:rPr>
          <w:sz w:val="24"/>
          <w:szCs w:val="24"/>
        </w:rPr>
        <w:t xml:space="preserve">months </w:t>
      </w:r>
      <w:r w:rsidR="00A860C9" w:rsidRPr="00AE0E52">
        <w:rPr>
          <w:sz w:val="24"/>
          <w:szCs w:val="24"/>
        </w:rPr>
        <w:t>(spring 2014,</w:t>
      </w:r>
      <w:r w:rsidR="00A860C9">
        <w:rPr>
          <w:sz w:val="24"/>
          <w:szCs w:val="24"/>
        </w:rPr>
        <w:t xml:space="preserve"> </w:t>
      </w:r>
      <w:r w:rsidR="00A860C9" w:rsidRPr="00AE0E52">
        <w:rPr>
          <w:sz w:val="24"/>
          <w:szCs w:val="24"/>
        </w:rPr>
        <w:t>9th grade)</w:t>
      </w:r>
      <w:r w:rsidR="00A860C9">
        <w:rPr>
          <w:sz w:val="24"/>
          <w:szCs w:val="24"/>
        </w:rPr>
        <w:t xml:space="preserve"> </w:t>
      </w:r>
      <w:r w:rsidR="00A860C9" w:rsidRPr="00AE0E52">
        <w:rPr>
          <w:sz w:val="24"/>
          <w:szCs w:val="24"/>
        </w:rPr>
        <w:t>or</w:t>
      </w:r>
      <w:r w:rsidR="00A860C9">
        <w:rPr>
          <w:sz w:val="24"/>
          <w:szCs w:val="24"/>
        </w:rPr>
        <w:t xml:space="preserve"> </w:t>
      </w:r>
      <w:r w:rsidR="00A860C9" w:rsidRPr="00AE0E52">
        <w:rPr>
          <w:sz w:val="24"/>
          <w:szCs w:val="24"/>
        </w:rPr>
        <w:t>12 months (fall 2014,</w:t>
      </w:r>
      <w:r w:rsidR="00A860C9">
        <w:rPr>
          <w:sz w:val="24"/>
          <w:szCs w:val="24"/>
        </w:rPr>
        <w:t xml:space="preserve"> </w:t>
      </w:r>
      <w:r w:rsidR="00A860C9" w:rsidRPr="00AE0E52">
        <w:rPr>
          <w:sz w:val="24"/>
          <w:szCs w:val="24"/>
        </w:rPr>
        <w:t>10th grade). At each time point, students completed</w:t>
      </w:r>
      <w:r w:rsidR="00A860C9">
        <w:rPr>
          <w:sz w:val="24"/>
          <w:szCs w:val="24"/>
        </w:rPr>
        <w:t xml:space="preserve"> </w:t>
      </w:r>
      <w:r w:rsidR="00A860C9" w:rsidRPr="00AE0E52">
        <w:rPr>
          <w:sz w:val="24"/>
          <w:szCs w:val="24"/>
        </w:rPr>
        <w:t xml:space="preserve">self-report surveys </w:t>
      </w:r>
      <w:r w:rsidR="00B564CA" w:rsidRPr="00AE0E52">
        <w:rPr>
          <w:sz w:val="24"/>
          <w:szCs w:val="24"/>
        </w:rPr>
        <w:t xml:space="preserve">on </w:t>
      </w:r>
      <w:r w:rsidR="00040B3D">
        <w:rPr>
          <w:sz w:val="24"/>
          <w:szCs w:val="24"/>
        </w:rPr>
        <w:t xml:space="preserve">any use </w:t>
      </w:r>
      <w:r w:rsidR="00B564CA" w:rsidRPr="00AE0E52">
        <w:rPr>
          <w:sz w:val="24"/>
          <w:szCs w:val="24"/>
        </w:rPr>
        <w:t>of combustible tobacco products.</w:t>
      </w:r>
    </w:p>
    <w:p w:rsidR="00040B3D" w:rsidRPr="00D55C1B" w:rsidRDefault="00040B3D" w:rsidP="00D55C1B">
      <w:pPr>
        <w:spacing w:line="360" w:lineRule="auto"/>
        <w:rPr>
          <w:sz w:val="24"/>
          <w:szCs w:val="24"/>
        </w:rPr>
      </w:pPr>
    </w:p>
    <w:p w:rsidR="00BC370F" w:rsidRPr="00BC370F" w:rsidRDefault="00D55C1B" w:rsidP="00BC370F">
      <w:pPr>
        <w:spacing w:line="360" w:lineRule="auto"/>
        <w:rPr>
          <w:sz w:val="24"/>
          <w:szCs w:val="24"/>
        </w:rPr>
      </w:pPr>
      <w:r>
        <w:rPr>
          <w:sz w:val="24"/>
          <w:szCs w:val="24"/>
        </w:rPr>
        <w:t xml:space="preserve">The researchers found that </w:t>
      </w:r>
      <w:r w:rsidRPr="00D55C1B">
        <w:rPr>
          <w:sz w:val="24"/>
          <w:szCs w:val="24"/>
        </w:rPr>
        <w:t xml:space="preserve">e-cigarette users </w:t>
      </w:r>
      <w:r w:rsidR="00236B45" w:rsidRPr="00AE0E52">
        <w:rPr>
          <w:sz w:val="24"/>
          <w:szCs w:val="24"/>
        </w:rPr>
        <w:t>(n = 222)</w:t>
      </w:r>
      <w:r w:rsidR="00236B45">
        <w:rPr>
          <w:sz w:val="24"/>
          <w:szCs w:val="24"/>
        </w:rPr>
        <w:t xml:space="preserve"> </w:t>
      </w:r>
      <w:r w:rsidRPr="00D55C1B">
        <w:rPr>
          <w:sz w:val="24"/>
          <w:szCs w:val="24"/>
        </w:rPr>
        <w:t xml:space="preserve">were more likely </w:t>
      </w:r>
      <w:r w:rsidR="00BC370F">
        <w:rPr>
          <w:sz w:val="24"/>
          <w:szCs w:val="24"/>
        </w:rPr>
        <w:t xml:space="preserve">than </w:t>
      </w:r>
      <w:r w:rsidR="00BC370F" w:rsidRPr="00D55C1B">
        <w:rPr>
          <w:sz w:val="24"/>
          <w:szCs w:val="24"/>
        </w:rPr>
        <w:t>never users</w:t>
      </w:r>
      <w:r w:rsidR="00BC370F">
        <w:rPr>
          <w:sz w:val="24"/>
          <w:szCs w:val="24"/>
        </w:rPr>
        <w:t xml:space="preserve"> (</w:t>
      </w:r>
      <w:r w:rsidR="00BC370F" w:rsidRPr="00AE0E52">
        <w:rPr>
          <w:sz w:val="24"/>
          <w:szCs w:val="24"/>
        </w:rPr>
        <w:t>n = 2</w:t>
      </w:r>
      <w:r w:rsidR="00BC370F">
        <w:rPr>
          <w:sz w:val="24"/>
          <w:szCs w:val="24"/>
        </w:rPr>
        <w:t>,</w:t>
      </w:r>
      <w:r w:rsidR="00BC370F" w:rsidRPr="00AE0E52">
        <w:rPr>
          <w:sz w:val="24"/>
          <w:szCs w:val="24"/>
        </w:rPr>
        <w:t>308</w:t>
      </w:r>
      <w:r w:rsidR="00BC370F" w:rsidRPr="00D55C1B">
        <w:rPr>
          <w:sz w:val="24"/>
          <w:szCs w:val="24"/>
        </w:rPr>
        <w:t>)</w:t>
      </w:r>
      <w:r w:rsidR="00BC370F">
        <w:rPr>
          <w:sz w:val="24"/>
          <w:szCs w:val="24"/>
        </w:rPr>
        <w:t xml:space="preserve"> </w:t>
      </w:r>
      <w:r w:rsidRPr="00D55C1B">
        <w:rPr>
          <w:sz w:val="24"/>
          <w:szCs w:val="24"/>
        </w:rPr>
        <w:t>to report past 6-month use of</w:t>
      </w:r>
      <w:r>
        <w:rPr>
          <w:sz w:val="24"/>
          <w:szCs w:val="24"/>
        </w:rPr>
        <w:t xml:space="preserve"> </w:t>
      </w:r>
      <w:r w:rsidRPr="00D55C1B">
        <w:rPr>
          <w:sz w:val="24"/>
          <w:szCs w:val="24"/>
        </w:rPr>
        <w:t>any combustible tobacco product at the 6-month follow-up (3</w:t>
      </w:r>
      <w:r>
        <w:rPr>
          <w:sz w:val="24"/>
          <w:szCs w:val="24"/>
        </w:rPr>
        <w:t>1</w:t>
      </w:r>
      <w:r w:rsidR="00BC370F">
        <w:rPr>
          <w:sz w:val="24"/>
          <w:szCs w:val="24"/>
        </w:rPr>
        <w:t xml:space="preserve"> percent</w:t>
      </w:r>
      <w:r w:rsidRPr="00D55C1B">
        <w:rPr>
          <w:sz w:val="24"/>
          <w:szCs w:val="24"/>
        </w:rPr>
        <w:t xml:space="preserve"> vs 8</w:t>
      </w:r>
      <w:r w:rsidR="00BC370F">
        <w:rPr>
          <w:sz w:val="24"/>
          <w:szCs w:val="24"/>
        </w:rPr>
        <w:t xml:space="preserve"> percent</w:t>
      </w:r>
      <w:r w:rsidRPr="00D55C1B">
        <w:rPr>
          <w:sz w:val="24"/>
          <w:szCs w:val="24"/>
        </w:rPr>
        <w:t>) and at the 12-month follow-up (25</w:t>
      </w:r>
      <w:r w:rsidR="00BC370F">
        <w:rPr>
          <w:sz w:val="24"/>
          <w:szCs w:val="24"/>
        </w:rPr>
        <w:t xml:space="preserve"> percent</w:t>
      </w:r>
      <w:r w:rsidRPr="00D55C1B">
        <w:rPr>
          <w:sz w:val="24"/>
          <w:szCs w:val="24"/>
        </w:rPr>
        <w:t xml:space="preserve"> vs 9</w:t>
      </w:r>
      <w:r w:rsidR="00BC370F">
        <w:rPr>
          <w:sz w:val="24"/>
          <w:szCs w:val="24"/>
        </w:rPr>
        <w:t xml:space="preserve"> percent</w:t>
      </w:r>
      <w:r>
        <w:rPr>
          <w:sz w:val="24"/>
          <w:szCs w:val="24"/>
        </w:rPr>
        <w:t xml:space="preserve">). </w:t>
      </w:r>
      <w:r w:rsidR="00AE0E52" w:rsidRPr="00AE0E52">
        <w:rPr>
          <w:sz w:val="24"/>
          <w:szCs w:val="24"/>
        </w:rPr>
        <w:t xml:space="preserve">Baseline e-cigarette use was associated with </w:t>
      </w:r>
      <w:r w:rsidR="00236B45">
        <w:rPr>
          <w:sz w:val="24"/>
          <w:szCs w:val="24"/>
        </w:rPr>
        <w:t xml:space="preserve">a </w:t>
      </w:r>
      <w:r w:rsidR="00AE0E52" w:rsidRPr="00AE0E52">
        <w:rPr>
          <w:sz w:val="24"/>
          <w:szCs w:val="24"/>
        </w:rPr>
        <w:t>greater likelihood of use of any combustible tobacco product averaged across the 2 follow-up periods in the analyses adjusted for sociodemographic, environmental</w:t>
      </w:r>
      <w:r w:rsidR="00236B45">
        <w:rPr>
          <w:sz w:val="24"/>
          <w:szCs w:val="24"/>
        </w:rPr>
        <w:t>,</w:t>
      </w:r>
      <w:r w:rsidR="00AE0E52" w:rsidRPr="00AE0E52">
        <w:rPr>
          <w:sz w:val="24"/>
          <w:szCs w:val="24"/>
        </w:rPr>
        <w:t xml:space="preserve"> and intrapersonal</w:t>
      </w:r>
      <w:r w:rsidR="00236B45">
        <w:rPr>
          <w:sz w:val="24"/>
          <w:szCs w:val="24"/>
        </w:rPr>
        <w:t xml:space="preserve"> </w:t>
      </w:r>
      <w:r w:rsidR="00AE0E52" w:rsidRPr="00AE0E52">
        <w:rPr>
          <w:sz w:val="24"/>
          <w:szCs w:val="24"/>
        </w:rPr>
        <w:t xml:space="preserve">risk factors for </w:t>
      </w:r>
      <w:r w:rsidR="00AE0E52" w:rsidRPr="00AE0E52">
        <w:rPr>
          <w:sz w:val="24"/>
          <w:szCs w:val="24"/>
        </w:rPr>
        <w:lastRenderedPageBreak/>
        <w:t>smoking.</w:t>
      </w:r>
      <w:r w:rsidR="00BC370F">
        <w:rPr>
          <w:sz w:val="24"/>
          <w:szCs w:val="24"/>
        </w:rPr>
        <w:t xml:space="preserve"> </w:t>
      </w:r>
      <w:r w:rsidR="00BC370F" w:rsidRPr="00BC370F">
        <w:rPr>
          <w:sz w:val="24"/>
          <w:szCs w:val="24"/>
        </w:rPr>
        <w:t>In addition, relative to baseline e-cigarette never users, e-cigarette ever users were more likely to be using at least 1 more combustible tobacco product averaged across the 2 follow-up assessments.</w:t>
      </w:r>
    </w:p>
    <w:p w:rsidR="00AE0E52" w:rsidRPr="00AE0E52" w:rsidRDefault="00AE0E52" w:rsidP="00AE0E52">
      <w:pPr>
        <w:spacing w:line="360" w:lineRule="auto"/>
        <w:rPr>
          <w:rFonts w:eastAsia="Arial"/>
          <w:sz w:val="24"/>
          <w:szCs w:val="24"/>
        </w:rPr>
      </w:pPr>
    </w:p>
    <w:p w:rsidR="00352A3A" w:rsidRDefault="00352A3A" w:rsidP="00AE0E52">
      <w:pPr>
        <w:spacing w:line="360" w:lineRule="auto"/>
        <w:rPr>
          <w:sz w:val="24"/>
          <w:szCs w:val="24"/>
        </w:rPr>
      </w:pPr>
      <w:r>
        <w:rPr>
          <w:sz w:val="24"/>
          <w:szCs w:val="24"/>
        </w:rPr>
        <w:t>“</w:t>
      </w:r>
      <w:r w:rsidR="00AE0E52" w:rsidRPr="00AE0E52">
        <w:rPr>
          <w:sz w:val="24"/>
          <w:szCs w:val="24"/>
        </w:rPr>
        <w:t>These data provide new evidence that e-cigarette use is prospectively associated with increased risk of combustible tobacco use initiation during early adolescence. Associations were consistent across unadjusted and adjusted models, multiple tobacco product outcomes, and various sensitivity analyses</w:t>
      </w:r>
      <w:r>
        <w:rPr>
          <w:sz w:val="24"/>
          <w:szCs w:val="24"/>
        </w:rPr>
        <w:t>,” the authors write.</w:t>
      </w:r>
    </w:p>
    <w:p w:rsidR="00352A3A" w:rsidRDefault="00352A3A" w:rsidP="00AE0E52">
      <w:pPr>
        <w:spacing w:line="360" w:lineRule="auto"/>
        <w:rPr>
          <w:sz w:val="24"/>
          <w:szCs w:val="24"/>
        </w:rPr>
      </w:pPr>
    </w:p>
    <w:p w:rsidR="00352A3A" w:rsidRDefault="00352A3A" w:rsidP="00352A3A">
      <w:pPr>
        <w:spacing w:line="360" w:lineRule="auto"/>
        <w:rPr>
          <w:sz w:val="24"/>
          <w:szCs w:val="24"/>
        </w:rPr>
      </w:pPr>
      <w:r>
        <w:rPr>
          <w:sz w:val="24"/>
          <w:szCs w:val="24"/>
        </w:rPr>
        <w:t>They add that “s</w:t>
      </w:r>
      <w:r w:rsidRPr="00352A3A">
        <w:rPr>
          <w:sz w:val="24"/>
          <w:szCs w:val="24"/>
        </w:rPr>
        <w:t>ome teens may be more likely to use e-cigarettes prior to combustible tobacco because of beliefs that e-cigarettes are not harmful or addictive, youth­targeted marketing, availability of e-cigarettes in flavors attractive to youths, and ease of accessing e-cigarettes due to either an absence or inconsistent enforcement of restrictions against sales to minors.</w:t>
      </w:r>
      <w:r>
        <w:rPr>
          <w:sz w:val="24"/>
          <w:szCs w:val="24"/>
        </w:rPr>
        <w:t>”</w:t>
      </w:r>
    </w:p>
    <w:p w:rsidR="00352A3A" w:rsidRDefault="00352A3A" w:rsidP="00352A3A">
      <w:pPr>
        <w:spacing w:line="360" w:lineRule="auto"/>
        <w:rPr>
          <w:sz w:val="24"/>
          <w:szCs w:val="24"/>
        </w:rPr>
      </w:pPr>
    </w:p>
    <w:p w:rsidR="00AE0E52" w:rsidRPr="00AE0E52" w:rsidRDefault="00352A3A" w:rsidP="00AE0E52">
      <w:pPr>
        <w:spacing w:line="360" w:lineRule="auto"/>
        <w:rPr>
          <w:sz w:val="24"/>
          <w:szCs w:val="24"/>
        </w:rPr>
      </w:pPr>
      <w:r>
        <w:rPr>
          <w:sz w:val="24"/>
          <w:szCs w:val="24"/>
        </w:rPr>
        <w:t>“</w:t>
      </w:r>
      <w:r w:rsidR="00AE0E52" w:rsidRPr="00AE0E52">
        <w:rPr>
          <w:sz w:val="24"/>
          <w:szCs w:val="24"/>
        </w:rPr>
        <w:t>Further research is needed to understand whether this association may be causal.</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423235">
        <w:rPr>
          <w:sz w:val="24"/>
          <w:szCs w:val="24"/>
        </w:rPr>
        <w:t>8950</w:t>
      </w:r>
      <w:r w:rsidR="001B5DB7">
        <w:rPr>
          <w:sz w:val="24"/>
          <w:szCs w:val="24"/>
        </w:rPr>
        <w:t>;</w:t>
      </w:r>
      <w:r w:rsidRPr="00DE3F0B">
        <w:rPr>
          <w:sz w:val="24"/>
          <w:szCs w:val="24"/>
        </w:rPr>
        <w:t xml:space="preserve"> Available pre-embargo to the media at</w:t>
      </w:r>
      <w:r>
        <w:rPr>
          <w:sz w:val="24"/>
          <w:szCs w:val="24"/>
        </w:rPr>
        <w:t xml:space="preserve"> </w:t>
      </w:r>
      <w:hyperlink r:id="rId12"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352A3A" w:rsidRPr="00352A3A" w:rsidRDefault="00E41FB8" w:rsidP="00352A3A">
      <w:pPr>
        <w:rPr>
          <w:rFonts w:eastAsia="Arial"/>
          <w:sz w:val="24"/>
          <w:szCs w:val="24"/>
        </w:rPr>
      </w:pPr>
      <w:r w:rsidRPr="000E751C">
        <w:rPr>
          <w:b/>
          <w:sz w:val="24"/>
          <w:szCs w:val="24"/>
          <w:u w:val="single"/>
        </w:rPr>
        <w:t>Editor’s Note</w:t>
      </w:r>
      <w:r w:rsidRPr="00DE3F0B">
        <w:rPr>
          <w:sz w:val="24"/>
          <w:szCs w:val="24"/>
        </w:rPr>
        <w:t>:</w:t>
      </w:r>
      <w:r w:rsidR="00857E85">
        <w:rPr>
          <w:sz w:val="24"/>
          <w:szCs w:val="24"/>
        </w:rPr>
        <w:t xml:space="preserve"> </w:t>
      </w:r>
      <w:r w:rsidR="00352A3A" w:rsidRPr="00352A3A">
        <w:rPr>
          <w:sz w:val="24"/>
          <w:szCs w:val="24"/>
        </w:rPr>
        <w:t>This research was supported by grants from the National Institutes of Health.</w:t>
      </w:r>
      <w:r w:rsidR="00352A3A">
        <w:rPr>
          <w:sz w:val="24"/>
          <w:szCs w:val="24"/>
        </w:rPr>
        <w:t xml:space="preserve"> </w:t>
      </w:r>
      <w:r w:rsidR="00352A3A" w:rsidRPr="00352A3A">
        <w:rPr>
          <w:sz w:val="24"/>
          <w:szCs w:val="24"/>
        </w:rPr>
        <w:t>The authors have completed and submitted the ICMJE Form for Disclosure of Potential Conflicts of Interest and none were reported.</w:t>
      </w:r>
    </w:p>
    <w:p w:rsidR="00352A3A" w:rsidRDefault="00352A3A" w:rsidP="000F2ADA">
      <w:pPr>
        <w:rPr>
          <w:sz w:val="24"/>
          <w:szCs w:val="24"/>
        </w:rPr>
      </w:pPr>
    </w:p>
    <w:p w:rsidR="00352A3A" w:rsidRPr="009156A2" w:rsidRDefault="00352A3A" w:rsidP="009156A2">
      <w:pPr>
        <w:rPr>
          <w:b/>
          <w:sz w:val="28"/>
          <w:szCs w:val="28"/>
        </w:rPr>
      </w:pPr>
      <w:r w:rsidRPr="009156A2">
        <w:rPr>
          <w:b/>
          <w:sz w:val="28"/>
          <w:szCs w:val="28"/>
        </w:rPr>
        <w:t xml:space="preserve">Editorial: </w:t>
      </w:r>
      <w:r w:rsidR="009156A2">
        <w:rPr>
          <w:b/>
          <w:sz w:val="28"/>
          <w:szCs w:val="28"/>
        </w:rPr>
        <w:t>E</w:t>
      </w:r>
      <w:r w:rsidR="009156A2" w:rsidRPr="009156A2">
        <w:rPr>
          <w:b/>
          <w:sz w:val="28"/>
          <w:szCs w:val="28"/>
        </w:rPr>
        <w:t>-Cigarette Use and Subsequent Tobacco Use by Adolescents</w:t>
      </w:r>
    </w:p>
    <w:p w:rsidR="00352A3A" w:rsidRDefault="00352A3A" w:rsidP="000F2ADA">
      <w:pPr>
        <w:rPr>
          <w:sz w:val="24"/>
          <w:szCs w:val="24"/>
        </w:rPr>
      </w:pPr>
    </w:p>
    <w:p w:rsidR="009156A2" w:rsidRDefault="009156A2" w:rsidP="009156A2">
      <w:pPr>
        <w:spacing w:line="360" w:lineRule="auto"/>
        <w:rPr>
          <w:sz w:val="24"/>
          <w:szCs w:val="24"/>
        </w:rPr>
      </w:pPr>
      <w:r>
        <w:rPr>
          <w:sz w:val="24"/>
          <w:szCs w:val="24"/>
        </w:rPr>
        <w:t>T</w:t>
      </w:r>
      <w:r w:rsidRPr="009156A2">
        <w:rPr>
          <w:sz w:val="24"/>
          <w:szCs w:val="24"/>
        </w:rPr>
        <w:t>he report by Leventhal and colleagues is the strongest evidence to date that e-cigarettes might pose a health hazard by encouraging</w:t>
      </w:r>
      <w:r>
        <w:rPr>
          <w:sz w:val="24"/>
          <w:szCs w:val="24"/>
        </w:rPr>
        <w:t xml:space="preserve"> </w:t>
      </w:r>
      <w:r w:rsidRPr="009156A2">
        <w:rPr>
          <w:sz w:val="24"/>
          <w:szCs w:val="24"/>
        </w:rPr>
        <w:t>adolescents to start smoking conventional tobacco products</w:t>
      </w:r>
      <w:r>
        <w:rPr>
          <w:sz w:val="24"/>
          <w:szCs w:val="24"/>
        </w:rPr>
        <w:t xml:space="preserve">, writes </w:t>
      </w:r>
      <w:r w:rsidRPr="009156A2">
        <w:rPr>
          <w:sz w:val="24"/>
          <w:szCs w:val="24"/>
        </w:rPr>
        <w:t>Nancy A. Rigotti, M</w:t>
      </w:r>
      <w:r>
        <w:rPr>
          <w:sz w:val="24"/>
          <w:szCs w:val="24"/>
        </w:rPr>
        <w:t>.</w:t>
      </w:r>
      <w:r w:rsidRPr="009156A2">
        <w:rPr>
          <w:sz w:val="24"/>
          <w:szCs w:val="24"/>
        </w:rPr>
        <w:t>D</w:t>
      </w:r>
      <w:r>
        <w:rPr>
          <w:sz w:val="24"/>
          <w:szCs w:val="24"/>
        </w:rPr>
        <w:t>.</w:t>
      </w:r>
      <w:r w:rsidRPr="009156A2">
        <w:rPr>
          <w:sz w:val="24"/>
          <w:szCs w:val="24"/>
        </w:rPr>
        <w:t xml:space="preserve">, </w:t>
      </w:r>
      <w:r>
        <w:rPr>
          <w:sz w:val="24"/>
          <w:szCs w:val="24"/>
        </w:rPr>
        <w:t xml:space="preserve">of </w:t>
      </w:r>
      <w:r w:rsidRPr="009156A2">
        <w:rPr>
          <w:sz w:val="24"/>
          <w:szCs w:val="24"/>
        </w:rPr>
        <w:t>Massachusetts General Hospital and Harvard Medical School, Boston</w:t>
      </w:r>
      <w:r>
        <w:rPr>
          <w:sz w:val="24"/>
          <w:szCs w:val="24"/>
        </w:rPr>
        <w:t xml:space="preserve">, </w:t>
      </w:r>
    </w:p>
    <w:p w:rsidR="009156A2" w:rsidRDefault="009156A2" w:rsidP="009156A2">
      <w:pPr>
        <w:spacing w:line="360" w:lineRule="auto"/>
        <w:rPr>
          <w:sz w:val="24"/>
          <w:szCs w:val="24"/>
        </w:rPr>
      </w:pPr>
    </w:p>
    <w:p w:rsidR="009156A2" w:rsidRPr="009156A2" w:rsidRDefault="009156A2" w:rsidP="009156A2">
      <w:pPr>
        <w:spacing w:line="360" w:lineRule="auto"/>
        <w:rPr>
          <w:sz w:val="24"/>
          <w:szCs w:val="24"/>
        </w:rPr>
      </w:pPr>
      <w:r>
        <w:rPr>
          <w:rFonts w:eastAsia="Arial"/>
          <w:sz w:val="24"/>
          <w:szCs w:val="24"/>
        </w:rPr>
        <w:t>“</w:t>
      </w:r>
      <w:r w:rsidRPr="009156A2">
        <w:rPr>
          <w:sz w:val="24"/>
          <w:szCs w:val="24"/>
        </w:rPr>
        <w:t>Regardless of whether e-cigarettes are a gateway to tobacco product initiation, there is no reason for adolescents to use a product for which the hypothesized public health benefit is harm reduction for adult smokers. However, there is ample evidence that e-cigarettes are marketed in ways that appeal to children and adolescents. Prompt, effective action is needed to protect youth and reduce the demand for e-</w:t>
      </w:r>
      <w:r>
        <w:rPr>
          <w:sz w:val="24"/>
          <w:szCs w:val="24"/>
        </w:rPr>
        <w:t>c</w:t>
      </w:r>
      <w:r w:rsidRPr="009156A2">
        <w:rPr>
          <w:sz w:val="24"/>
          <w:szCs w:val="24"/>
        </w:rPr>
        <w:t>igarettes by nonsmokers of all ages. A rational approach is to extend to e-cigarettes the same sales, marketing, and use restrictions that apply to combustible cigarettes.</w:t>
      </w:r>
      <w:r>
        <w:rPr>
          <w:sz w:val="24"/>
          <w:szCs w:val="24"/>
        </w:rPr>
        <w:t>”</w:t>
      </w:r>
    </w:p>
    <w:p w:rsidR="009156A2" w:rsidRDefault="009156A2" w:rsidP="009156A2">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596D8A" w:rsidRPr="00596D8A">
        <w:rPr>
          <w:sz w:val="24"/>
          <w:szCs w:val="24"/>
        </w:rPr>
        <w:t>8382</w:t>
      </w:r>
      <w:r>
        <w:rPr>
          <w:sz w:val="24"/>
          <w:szCs w:val="24"/>
        </w:rPr>
        <w:t>;</w:t>
      </w:r>
      <w:r w:rsidRPr="00DE3F0B">
        <w:rPr>
          <w:sz w:val="24"/>
          <w:szCs w:val="24"/>
        </w:rPr>
        <w:t xml:space="preserve"> Available pre-embargo to the media at</w:t>
      </w:r>
      <w:r>
        <w:rPr>
          <w:sz w:val="24"/>
          <w:szCs w:val="24"/>
        </w:rPr>
        <w:t xml:space="preserve"> </w:t>
      </w:r>
      <w:hyperlink r:id="rId13" w:history="1">
        <w:r w:rsidRPr="00F55D07">
          <w:rPr>
            <w:rStyle w:val="Hyperlink"/>
            <w:sz w:val="24"/>
            <w:szCs w:val="24"/>
          </w:rPr>
          <w:t>http://media.jamanetwork.com</w:t>
        </w:r>
      </w:hyperlink>
      <w:r>
        <w:rPr>
          <w:sz w:val="24"/>
          <w:szCs w:val="24"/>
        </w:rPr>
        <w:t>)</w:t>
      </w:r>
    </w:p>
    <w:p w:rsidR="009156A2" w:rsidRDefault="009156A2" w:rsidP="009156A2">
      <w:pPr>
        <w:rPr>
          <w:sz w:val="24"/>
          <w:szCs w:val="24"/>
        </w:rPr>
      </w:pPr>
    </w:p>
    <w:p w:rsidR="00352A3A" w:rsidRDefault="009156A2" w:rsidP="009156A2">
      <w:pPr>
        <w:rPr>
          <w:sz w:val="24"/>
          <w:szCs w:val="24"/>
        </w:rPr>
      </w:pPr>
      <w:r w:rsidRPr="000E751C">
        <w:rPr>
          <w:b/>
          <w:sz w:val="24"/>
          <w:szCs w:val="24"/>
          <w:u w:val="single"/>
        </w:rPr>
        <w:lastRenderedPageBreak/>
        <w:t>Editor’s Note</w:t>
      </w:r>
      <w:r w:rsidRPr="00DE3F0B">
        <w:rPr>
          <w:sz w:val="24"/>
          <w:szCs w:val="24"/>
        </w:rPr>
        <w:t>:</w:t>
      </w:r>
      <w:r>
        <w:rPr>
          <w:sz w:val="24"/>
          <w:szCs w:val="24"/>
        </w:rPr>
        <w:t xml:space="preserve"> </w:t>
      </w:r>
      <w:r w:rsidR="009A0EF9" w:rsidRPr="005E5EE4">
        <w:rPr>
          <w:sz w:val="24"/>
          <w:szCs w:val="24"/>
        </w:rPr>
        <w:t>Please see the article for additional information, including financial disclosures, funding and support, etc.</w:t>
      </w:r>
    </w:p>
    <w:p w:rsidR="00537959" w:rsidRDefault="00537959" w:rsidP="00B73451">
      <w:pPr>
        <w:rPr>
          <w:b/>
          <w:sz w:val="28"/>
          <w:szCs w:val="28"/>
        </w:rPr>
      </w:pPr>
    </w:p>
    <w:p w:rsidR="00B73451" w:rsidRPr="00B73451" w:rsidRDefault="00537959" w:rsidP="00B73451">
      <w:pPr>
        <w:rPr>
          <w:b/>
          <w:sz w:val="28"/>
          <w:szCs w:val="28"/>
        </w:rPr>
      </w:pPr>
      <w:r>
        <w:rPr>
          <w:b/>
          <w:sz w:val="28"/>
          <w:szCs w:val="28"/>
        </w:rPr>
        <w:t xml:space="preserve">Related </w:t>
      </w:r>
      <w:r w:rsidR="00B73451" w:rsidRPr="00B73451">
        <w:rPr>
          <w:b/>
          <w:sz w:val="28"/>
          <w:szCs w:val="28"/>
        </w:rPr>
        <w:t>Viewpoint: The Global Health Implications of e-Cigarettes</w:t>
      </w:r>
    </w:p>
    <w:p w:rsidR="00B73451" w:rsidRDefault="00B73451" w:rsidP="000F2ADA">
      <w:pPr>
        <w:rPr>
          <w:b/>
          <w:sz w:val="28"/>
          <w:szCs w:val="28"/>
        </w:rPr>
      </w:pPr>
    </w:p>
    <w:p w:rsidR="00B73451" w:rsidRPr="00B73451" w:rsidRDefault="00B73451" w:rsidP="00B73451">
      <w:pPr>
        <w:spacing w:line="360" w:lineRule="auto"/>
        <w:rPr>
          <w:rFonts w:eastAsia="Arial"/>
          <w:sz w:val="24"/>
          <w:szCs w:val="24"/>
        </w:rPr>
      </w:pPr>
      <w:r>
        <w:rPr>
          <w:sz w:val="24"/>
          <w:szCs w:val="24"/>
        </w:rPr>
        <w:t xml:space="preserve">In an accompanying Viewpoint, </w:t>
      </w:r>
      <w:r w:rsidRPr="00B73451">
        <w:rPr>
          <w:sz w:val="24"/>
          <w:szCs w:val="24"/>
        </w:rPr>
        <w:t>Andrew Y. Chang, M</w:t>
      </w:r>
      <w:r>
        <w:rPr>
          <w:sz w:val="24"/>
          <w:szCs w:val="24"/>
        </w:rPr>
        <w:t>.</w:t>
      </w:r>
      <w:r w:rsidRPr="00B73451">
        <w:rPr>
          <w:sz w:val="24"/>
          <w:szCs w:val="24"/>
        </w:rPr>
        <w:t>D</w:t>
      </w:r>
      <w:r>
        <w:rPr>
          <w:sz w:val="24"/>
          <w:szCs w:val="24"/>
        </w:rPr>
        <w:t xml:space="preserve">., and </w:t>
      </w:r>
      <w:r w:rsidRPr="00B73451">
        <w:rPr>
          <w:sz w:val="24"/>
          <w:szCs w:val="24"/>
        </w:rPr>
        <w:t>Michele Barry, M</w:t>
      </w:r>
      <w:r>
        <w:rPr>
          <w:sz w:val="24"/>
          <w:szCs w:val="24"/>
        </w:rPr>
        <w:t>.</w:t>
      </w:r>
      <w:r w:rsidRPr="00B73451">
        <w:rPr>
          <w:sz w:val="24"/>
          <w:szCs w:val="24"/>
        </w:rPr>
        <w:t>D</w:t>
      </w:r>
      <w:r>
        <w:rPr>
          <w:sz w:val="24"/>
          <w:szCs w:val="24"/>
        </w:rPr>
        <w:t xml:space="preserve">., of the </w:t>
      </w:r>
      <w:r w:rsidRPr="00B73451">
        <w:rPr>
          <w:sz w:val="24"/>
          <w:szCs w:val="24"/>
        </w:rPr>
        <w:t>Stanford University School of Medicine, Stanford, Calif</w:t>
      </w:r>
      <w:r>
        <w:rPr>
          <w:sz w:val="24"/>
          <w:szCs w:val="24"/>
        </w:rPr>
        <w:t xml:space="preserve">., discuss </w:t>
      </w:r>
      <w:r w:rsidRPr="00B73451">
        <w:rPr>
          <w:sz w:val="24"/>
          <w:szCs w:val="24"/>
        </w:rPr>
        <w:t>health considerations of e-cigarettes unique to low- and middle-income countries.</w:t>
      </w:r>
    </w:p>
    <w:p w:rsidR="00B73451" w:rsidRDefault="00B73451" w:rsidP="000F2ADA">
      <w:pPr>
        <w:rPr>
          <w:sz w:val="24"/>
          <w:szCs w:val="24"/>
        </w:rPr>
      </w:pPr>
    </w:p>
    <w:p w:rsidR="00B73451" w:rsidRDefault="00B73451" w:rsidP="00B73451">
      <w:pPr>
        <w:spacing w:line="360" w:lineRule="auto"/>
        <w:rPr>
          <w:sz w:val="24"/>
          <w:szCs w:val="24"/>
        </w:rPr>
      </w:pPr>
      <w:r>
        <w:rPr>
          <w:sz w:val="24"/>
          <w:szCs w:val="24"/>
        </w:rPr>
        <w:t>“</w:t>
      </w:r>
      <w:r w:rsidRPr="00B73451">
        <w:rPr>
          <w:sz w:val="24"/>
          <w:szCs w:val="24"/>
        </w:rPr>
        <w:t>Developing nations should not underestimate the availability and targeted marketing of electronic nicotine delivery systems (ENDS)</w:t>
      </w:r>
      <w:r>
        <w:rPr>
          <w:sz w:val="24"/>
          <w:szCs w:val="24"/>
        </w:rPr>
        <w:t xml:space="preserve"> </w:t>
      </w:r>
      <w:r w:rsidRPr="00B73451">
        <w:rPr>
          <w:sz w:val="24"/>
          <w:szCs w:val="24"/>
        </w:rPr>
        <w:t>within their borders and should place e-cigarettes under the purview of their medical and pharmaceutical regulatory boards. Low- and middle-income countries can feel empowered to exclude multinational tobacco companies from this regulatory process in accordance with Article 5.3 of WHO's Framework Convention on Tobacco Control, which warns against the conflict of interest posed by the industry in this sphere.</w:t>
      </w:r>
      <w:r>
        <w:rPr>
          <w:sz w:val="24"/>
          <w:szCs w:val="24"/>
        </w:rPr>
        <w:t>”</w:t>
      </w:r>
    </w:p>
    <w:p w:rsidR="00B73451" w:rsidRDefault="00B73451" w:rsidP="00B73451">
      <w:pPr>
        <w:spacing w:line="360" w:lineRule="auto"/>
        <w:rPr>
          <w:sz w:val="24"/>
          <w:szCs w:val="24"/>
        </w:rPr>
      </w:pPr>
    </w:p>
    <w:p w:rsidR="00B73451" w:rsidRPr="00B73451" w:rsidRDefault="00B73451" w:rsidP="00B73451">
      <w:pPr>
        <w:spacing w:line="360" w:lineRule="auto"/>
        <w:rPr>
          <w:sz w:val="24"/>
          <w:szCs w:val="24"/>
        </w:rPr>
      </w:pPr>
      <w:r>
        <w:rPr>
          <w:sz w:val="24"/>
          <w:szCs w:val="24"/>
        </w:rPr>
        <w:t>“</w:t>
      </w:r>
      <w:r w:rsidRPr="00B73451">
        <w:rPr>
          <w:sz w:val="24"/>
          <w:szCs w:val="24"/>
        </w:rPr>
        <w:t>International nongovernmental organizations such as the Gates Foundation and the Bloomberg Initiative to Reduce Tobacco Use should support these efforts to provide consistency in control and enforcement of ENDS legislation. Even though e-cigarettes may have a future as smoking cessation tools, evidence to support this indication is lacking. More rigorous studies must be conducted regarding the awareness, usage patterns, and potential for harm of these devices in low-income countries</w:t>
      </w:r>
      <w:r>
        <w:rPr>
          <w:sz w:val="24"/>
          <w:szCs w:val="24"/>
        </w:rPr>
        <w:t>,</w:t>
      </w:r>
      <w:r w:rsidRPr="00B73451">
        <w:rPr>
          <w:sz w:val="24"/>
          <w:szCs w:val="24"/>
        </w:rPr>
        <w:t xml:space="preserve"> particularly Africa and South Asia, where data are currently missing.</w:t>
      </w:r>
      <w:r>
        <w:rPr>
          <w:sz w:val="24"/>
          <w:szCs w:val="24"/>
        </w:rPr>
        <w:t>”</w:t>
      </w:r>
    </w:p>
    <w:p w:rsidR="00B73451" w:rsidRDefault="00B73451" w:rsidP="00B73451">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596D8A" w:rsidRPr="00596D8A">
        <w:rPr>
          <w:sz w:val="24"/>
          <w:szCs w:val="24"/>
        </w:rPr>
        <w:t>8676</w:t>
      </w:r>
      <w:r>
        <w:rPr>
          <w:sz w:val="24"/>
          <w:szCs w:val="24"/>
        </w:rPr>
        <w:t>;</w:t>
      </w:r>
      <w:r w:rsidRPr="00DE3F0B">
        <w:rPr>
          <w:sz w:val="24"/>
          <w:szCs w:val="24"/>
        </w:rPr>
        <w:t xml:space="preserve"> Available pre-embargo to the media at</w:t>
      </w:r>
      <w:r>
        <w:rPr>
          <w:sz w:val="24"/>
          <w:szCs w:val="24"/>
        </w:rPr>
        <w:t xml:space="preserve"> </w:t>
      </w:r>
      <w:hyperlink r:id="rId14" w:history="1">
        <w:r w:rsidRPr="00F55D07">
          <w:rPr>
            <w:rStyle w:val="Hyperlink"/>
            <w:sz w:val="24"/>
            <w:szCs w:val="24"/>
          </w:rPr>
          <w:t>http://media.jamanetwork.com</w:t>
        </w:r>
      </w:hyperlink>
      <w:r>
        <w:rPr>
          <w:sz w:val="24"/>
          <w:szCs w:val="24"/>
        </w:rPr>
        <w:t>)</w:t>
      </w:r>
    </w:p>
    <w:p w:rsidR="00B73451" w:rsidRDefault="00B73451" w:rsidP="00B73451">
      <w:pPr>
        <w:rPr>
          <w:sz w:val="24"/>
          <w:szCs w:val="24"/>
        </w:rPr>
      </w:pPr>
    </w:p>
    <w:p w:rsidR="00B73451" w:rsidRPr="00B73451" w:rsidRDefault="00B73451" w:rsidP="00B73451">
      <w:pPr>
        <w:rPr>
          <w:sz w:val="24"/>
          <w:szCs w:val="24"/>
        </w:rPr>
      </w:pPr>
      <w:r w:rsidRPr="000E751C">
        <w:rPr>
          <w:b/>
          <w:sz w:val="24"/>
          <w:szCs w:val="24"/>
          <w:u w:val="single"/>
        </w:rPr>
        <w:t>Editor’s Note</w:t>
      </w:r>
      <w:r w:rsidRPr="00DE3F0B">
        <w:rPr>
          <w:sz w:val="24"/>
          <w:szCs w:val="24"/>
        </w:rPr>
        <w:t>:</w:t>
      </w:r>
      <w:r>
        <w:rPr>
          <w:sz w:val="24"/>
          <w:szCs w:val="24"/>
        </w:rPr>
        <w:t xml:space="preserve"> </w:t>
      </w:r>
      <w:r w:rsidRPr="00B73451">
        <w:rPr>
          <w:sz w:val="24"/>
          <w:szCs w:val="24"/>
        </w:rPr>
        <w:t>The authors have completed and submitted the ICMJE Form for Disclosure of Potential Conflicts of Interest and none were reported.</w:t>
      </w:r>
    </w:p>
    <w:p w:rsidR="00B73451" w:rsidRDefault="00B73451" w:rsidP="000F2ADA">
      <w:pPr>
        <w:rPr>
          <w:sz w:val="24"/>
          <w:szCs w:val="24"/>
        </w:rPr>
      </w:pPr>
    </w:p>
    <w:p w:rsidR="005B593B" w:rsidRDefault="005B593B" w:rsidP="005B593B">
      <w:pPr>
        <w:jc w:val="center"/>
        <w:rPr>
          <w:sz w:val="24"/>
          <w:szCs w:val="24"/>
        </w:rPr>
      </w:pPr>
      <w:r>
        <w:rPr>
          <w:sz w:val="24"/>
          <w:szCs w:val="24"/>
        </w:rPr>
        <w:t># # #</w:t>
      </w:r>
    </w:p>
    <w:p w:rsidR="00331F3F" w:rsidRPr="00AB5683" w:rsidRDefault="00331F3F" w:rsidP="005E201F">
      <w:pPr>
        <w:spacing w:line="360" w:lineRule="auto"/>
        <w:rPr>
          <w:rFonts w:eastAsia="Arial Unicode MS"/>
          <w:sz w:val="24"/>
          <w:szCs w:val="24"/>
        </w:rPr>
      </w:pPr>
    </w:p>
    <w:sectPr w:rsidR="00331F3F" w:rsidRPr="00AB5683" w:rsidSect="00932D6A">
      <w:footerReference w:type="default" r:id="rId15"/>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8D" w:rsidRDefault="00C8178D">
      <w:r>
        <w:separator/>
      </w:r>
    </w:p>
  </w:endnote>
  <w:endnote w:type="continuationSeparator" w:id="0">
    <w:p w:rsidR="00C8178D" w:rsidRDefault="00C8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8D" w:rsidRDefault="00C8178D">
      <w:r>
        <w:separator/>
      </w:r>
    </w:p>
  </w:footnote>
  <w:footnote w:type="continuationSeparator" w:id="0">
    <w:p w:rsidR="00C8178D" w:rsidRDefault="00C81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1"/>
  </w:num>
  <w:num w:numId="30">
    <w:abstractNumId w:val="21"/>
  </w:num>
  <w:num w:numId="31">
    <w:abstractNumId w:val="3"/>
  </w:num>
  <w:num w:numId="3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5B0D"/>
    <w:rsid w:val="0003624D"/>
    <w:rsid w:val="0003629F"/>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AD9"/>
    <w:rsid w:val="000A0B03"/>
    <w:rsid w:val="000A0C95"/>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97C"/>
    <w:rsid w:val="00147B88"/>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24B5"/>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7BB"/>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5F0"/>
    <w:rsid w:val="00515649"/>
    <w:rsid w:val="005156F6"/>
    <w:rsid w:val="00515806"/>
    <w:rsid w:val="00515A3A"/>
    <w:rsid w:val="0051694A"/>
    <w:rsid w:val="00516BB5"/>
    <w:rsid w:val="00516E70"/>
    <w:rsid w:val="00516E7D"/>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959"/>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46"/>
    <w:rsid w:val="00596C80"/>
    <w:rsid w:val="00596D8A"/>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01F"/>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0C4"/>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0A0F"/>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68E"/>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E6B"/>
    <w:rsid w:val="00902F23"/>
    <w:rsid w:val="00903A6D"/>
    <w:rsid w:val="0090451B"/>
    <w:rsid w:val="00905B7E"/>
    <w:rsid w:val="009061AE"/>
    <w:rsid w:val="0090753E"/>
    <w:rsid w:val="00907848"/>
    <w:rsid w:val="00907F7E"/>
    <w:rsid w:val="009103D5"/>
    <w:rsid w:val="009104A9"/>
    <w:rsid w:val="00910F7E"/>
    <w:rsid w:val="009111B8"/>
    <w:rsid w:val="0091161D"/>
    <w:rsid w:val="009117F8"/>
    <w:rsid w:val="0091180B"/>
    <w:rsid w:val="00912035"/>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90537"/>
    <w:rsid w:val="00990745"/>
    <w:rsid w:val="00991189"/>
    <w:rsid w:val="00991D5E"/>
    <w:rsid w:val="0099204F"/>
    <w:rsid w:val="0099216D"/>
    <w:rsid w:val="00992411"/>
    <w:rsid w:val="009925F4"/>
    <w:rsid w:val="0099331E"/>
    <w:rsid w:val="009946E0"/>
    <w:rsid w:val="00994A62"/>
    <w:rsid w:val="0099514D"/>
    <w:rsid w:val="009960E9"/>
    <w:rsid w:val="0099693B"/>
    <w:rsid w:val="00996A69"/>
    <w:rsid w:val="00997E1D"/>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4E2E"/>
    <w:rsid w:val="00A7517D"/>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A68"/>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F04"/>
    <w:rsid w:val="00B725FE"/>
    <w:rsid w:val="00B72B93"/>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178D"/>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20B9"/>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C1B"/>
    <w:rsid w:val="00D55ECE"/>
    <w:rsid w:val="00D56489"/>
    <w:rsid w:val="00D568EA"/>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144"/>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63A7"/>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331"/>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80204264">
      <w:bodyDiv w:val="1"/>
      <w:marLeft w:val="0"/>
      <w:marRight w:val="0"/>
      <w:marTop w:val="0"/>
      <w:marBottom w:val="0"/>
      <w:divBdr>
        <w:top w:val="none" w:sz="0" w:space="0" w:color="auto"/>
        <w:left w:val="none" w:sz="0" w:space="0" w:color="auto"/>
        <w:bottom w:val="none" w:sz="0" w:space="0" w:color="auto"/>
        <w:right w:val="none" w:sz="0" w:space="0" w:color="auto"/>
      </w:divBdr>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64662222">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4867693">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ishma@stanford.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ridings@mgh.harvard.edu" TargetMode="External"/><Relationship Id="rId4" Type="http://schemas.microsoft.com/office/2007/relationships/stylesWithEffects" Target="stylesWithEffects.xml"/><Relationship Id="rId9" Type="http://schemas.openxmlformats.org/officeDocument/2006/relationships/hyperlink" Target="mailto:alison.trinidad@usc.edu"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67D13-1EF5-4624-919F-7F8FF655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7125</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2015-08-10T19:35:00Z</cp:lastPrinted>
  <dcterms:created xsi:type="dcterms:W3CDTF">2015-08-11T20:51:00Z</dcterms:created>
  <dcterms:modified xsi:type="dcterms:W3CDTF">2015-08-11T20:51:00Z</dcterms:modified>
</cp:coreProperties>
</file>